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0F" w:rsidRDefault="0022630F" w:rsidP="009F02F2">
      <w:pPr>
        <w:ind w:right="-2"/>
      </w:pPr>
    </w:p>
    <w:p w:rsidR="001C3562" w:rsidRPr="00241A5F" w:rsidRDefault="00930991" w:rsidP="009F02F2">
      <w:pPr>
        <w:ind w:right="-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Stockholm 2015-08-31</w:t>
      </w:r>
      <w:bookmarkStart w:id="0" w:name="_GoBack"/>
      <w:bookmarkEnd w:id="0"/>
    </w:p>
    <w:p w:rsidR="000D358D" w:rsidRDefault="000D358D" w:rsidP="009F02F2">
      <w:pPr>
        <w:ind w:right="-2"/>
      </w:pPr>
    </w:p>
    <w:p w:rsidR="000D358D" w:rsidRDefault="000D358D" w:rsidP="009F02F2">
      <w:pPr>
        <w:ind w:right="-2"/>
      </w:pPr>
    </w:p>
    <w:p w:rsidR="00C536E8" w:rsidRDefault="00AB0702" w:rsidP="009F02F2">
      <w:pPr>
        <w:ind w:right="-2"/>
        <w:rPr>
          <w:rStyle w:val="BoldForaCharacterLarge"/>
          <w:sz w:val="24"/>
          <w:szCs w:val="24"/>
        </w:rPr>
      </w:pPr>
      <w:r w:rsidRPr="00AB0702">
        <w:rPr>
          <w:rStyle w:val="BoldForaCharacterLarge"/>
          <w:sz w:val="24"/>
          <w:szCs w:val="24"/>
        </w:rPr>
        <w:t xml:space="preserve">Premievolymen </w:t>
      </w:r>
      <w:r w:rsidR="00660995">
        <w:rPr>
          <w:rStyle w:val="BoldForaCharacterLarge"/>
          <w:sz w:val="24"/>
          <w:szCs w:val="24"/>
        </w:rPr>
        <w:t xml:space="preserve">för Avtalspension SAF-LO ökade med </w:t>
      </w:r>
      <w:r w:rsidR="00241A5F">
        <w:rPr>
          <w:rStyle w:val="BoldForaCharacterLarge"/>
          <w:sz w:val="24"/>
          <w:szCs w:val="24"/>
        </w:rPr>
        <w:t>1 miljard</w:t>
      </w:r>
    </w:p>
    <w:p w:rsidR="00660995" w:rsidRDefault="00660995" w:rsidP="009F02F2">
      <w:pPr>
        <w:ind w:right="-2"/>
      </w:pPr>
    </w:p>
    <w:p w:rsidR="009F02F2" w:rsidRDefault="00C536E8" w:rsidP="009F02F2">
      <w:pPr>
        <w:ind w:right="-2"/>
        <w:rPr>
          <w:rFonts w:ascii="Times New Roman" w:hAnsi="Times New Roman" w:cs="Times New Roman"/>
          <w:b/>
        </w:rPr>
      </w:pPr>
      <w:r w:rsidRPr="0022630F">
        <w:rPr>
          <w:rFonts w:ascii="Times New Roman" w:hAnsi="Times New Roman" w:cs="Times New Roman"/>
          <w:b/>
        </w:rPr>
        <w:t>Halvårs</w:t>
      </w:r>
      <w:r w:rsidR="00316017">
        <w:rPr>
          <w:rFonts w:ascii="Times New Roman" w:hAnsi="Times New Roman" w:cs="Times New Roman"/>
          <w:b/>
        </w:rPr>
        <w:t xml:space="preserve">statistiken 2015 </w:t>
      </w:r>
      <w:r w:rsidRPr="0022630F">
        <w:rPr>
          <w:rFonts w:ascii="Times New Roman" w:hAnsi="Times New Roman" w:cs="Times New Roman"/>
          <w:b/>
        </w:rPr>
        <w:t xml:space="preserve">visar en </w:t>
      </w:r>
      <w:r w:rsidR="00316017">
        <w:rPr>
          <w:rFonts w:ascii="Times New Roman" w:hAnsi="Times New Roman" w:cs="Times New Roman"/>
          <w:b/>
        </w:rPr>
        <w:t>premievolymökning på 10,3</w:t>
      </w:r>
      <w:r w:rsidR="000D358D" w:rsidRPr="0022630F">
        <w:rPr>
          <w:rFonts w:ascii="Times New Roman" w:hAnsi="Times New Roman" w:cs="Times New Roman"/>
          <w:b/>
        </w:rPr>
        <w:t xml:space="preserve"> </w:t>
      </w:r>
      <w:r w:rsidR="00660995" w:rsidRPr="0022630F">
        <w:rPr>
          <w:rFonts w:ascii="Times New Roman" w:hAnsi="Times New Roman" w:cs="Times New Roman"/>
          <w:b/>
        </w:rPr>
        <w:t>%</w:t>
      </w:r>
      <w:r w:rsidR="000D358D" w:rsidRPr="0022630F">
        <w:rPr>
          <w:rFonts w:ascii="Times New Roman" w:hAnsi="Times New Roman" w:cs="Times New Roman"/>
          <w:b/>
        </w:rPr>
        <w:t xml:space="preserve"> </w:t>
      </w:r>
      <w:r w:rsidR="00AB0702" w:rsidRPr="0022630F">
        <w:rPr>
          <w:rFonts w:ascii="Times New Roman" w:hAnsi="Times New Roman" w:cs="Times New Roman"/>
          <w:b/>
        </w:rPr>
        <w:t>vilket</w:t>
      </w:r>
      <w:r w:rsidR="00DF3EE6" w:rsidRPr="0022630F">
        <w:rPr>
          <w:rFonts w:ascii="Times New Roman" w:hAnsi="Times New Roman" w:cs="Times New Roman"/>
          <w:b/>
        </w:rPr>
        <w:t xml:space="preserve"> motsvarar </w:t>
      </w:r>
      <w:r w:rsidR="00316017">
        <w:rPr>
          <w:rFonts w:ascii="Times New Roman" w:hAnsi="Times New Roman" w:cs="Times New Roman"/>
          <w:b/>
        </w:rPr>
        <w:t>drygt</w:t>
      </w:r>
      <w:r w:rsidR="00241A5F">
        <w:rPr>
          <w:rFonts w:ascii="Times New Roman" w:hAnsi="Times New Roman" w:cs="Times New Roman"/>
          <w:b/>
        </w:rPr>
        <w:t xml:space="preserve"> 1 miljard kronor. Färre personer har flyttat sitt kapital i år, me</w:t>
      </w:r>
      <w:r w:rsidR="005431D9">
        <w:rPr>
          <w:rFonts w:ascii="Times New Roman" w:hAnsi="Times New Roman" w:cs="Times New Roman"/>
          <w:b/>
        </w:rPr>
        <w:t>n man har flyttat högre belopp.</w:t>
      </w:r>
    </w:p>
    <w:p w:rsidR="005431D9" w:rsidRDefault="005431D9" w:rsidP="009F02F2">
      <w:pPr>
        <w:ind w:right="-2"/>
      </w:pPr>
    </w:p>
    <w:p w:rsidR="003A1B01" w:rsidRPr="0022630F" w:rsidRDefault="00D4398C" w:rsidP="009F02F2">
      <w:pPr>
        <w:ind w:right="-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Det totala k</w:t>
      </w:r>
      <w:r w:rsidR="00D76210" w:rsidRPr="0022630F">
        <w:rPr>
          <w:rFonts w:ascii="Times New Roman" w:hAnsi="Times New Roman" w:cs="Times New Roman"/>
          <w:sz w:val="20"/>
          <w:szCs w:val="20"/>
        </w:rPr>
        <w:t xml:space="preserve">apitalvärdet </w:t>
      </w:r>
      <w:r w:rsidR="00316017">
        <w:rPr>
          <w:rFonts w:ascii="Times New Roman" w:hAnsi="Times New Roman" w:cs="Times New Roman"/>
          <w:sz w:val="20"/>
          <w:szCs w:val="20"/>
        </w:rPr>
        <w:t xml:space="preserve">i Avtalspension SAF-LO </w:t>
      </w:r>
      <w:r w:rsidR="00D76210" w:rsidRPr="0022630F">
        <w:rPr>
          <w:rFonts w:ascii="Times New Roman" w:hAnsi="Times New Roman" w:cs="Times New Roman"/>
          <w:sz w:val="20"/>
          <w:szCs w:val="20"/>
        </w:rPr>
        <w:t xml:space="preserve">har </w:t>
      </w:r>
      <w:r>
        <w:rPr>
          <w:rFonts w:ascii="Times New Roman" w:hAnsi="Times New Roman" w:cs="Times New Roman"/>
          <w:sz w:val="20"/>
          <w:szCs w:val="20"/>
        </w:rPr>
        <w:t xml:space="preserve">stadigt ökat </w:t>
      </w:r>
      <w:r w:rsidR="00660995" w:rsidRPr="0022630F">
        <w:rPr>
          <w:rFonts w:ascii="Times New Roman" w:hAnsi="Times New Roman" w:cs="Times New Roman"/>
          <w:sz w:val="20"/>
          <w:szCs w:val="20"/>
        </w:rPr>
        <w:t>de tre senaste åren</w:t>
      </w:r>
      <w:r w:rsidR="003A1B01" w:rsidRPr="0022630F">
        <w:rPr>
          <w:rFonts w:ascii="Times New Roman" w:hAnsi="Times New Roman" w:cs="Times New Roman"/>
          <w:sz w:val="20"/>
          <w:szCs w:val="20"/>
        </w:rPr>
        <w:t xml:space="preserve"> och </w:t>
      </w:r>
      <w:r>
        <w:rPr>
          <w:rFonts w:ascii="Times New Roman" w:hAnsi="Times New Roman" w:cs="Times New Roman"/>
          <w:sz w:val="20"/>
          <w:szCs w:val="20"/>
        </w:rPr>
        <w:t xml:space="preserve">uppgick </w:t>
      </w:r>
      <w:r w:rsidR="00316017">
        <w:rPr>
          <w:rFonts w:ascii="Times New Roman" w:hAnsi="Times New Roman" w:cs="Times New Roman"/>
          <w:sz w:val="20"/>
          <w:szCs w:val="20"/>
        </w:rPr>
        <w:t xml:space="preserve">den 31 december </w:t>
      </w:r>
      <w:r>
        <w:rPr>
          <w:rFonts w:ascii="Times New Roman" w:hAnsi="Times New Roman" w:cs="Times New Roman"/>
          <w:sz w:val="20"/>
          <w:szCs w:val="20"/>
        </w:rPr>
        <w:t xml:space="preserve">2014 till </w:t>
      </w:r>
      <w:r w:rsidR="00D76210" w:rsidRPr="0022630F">
        <w:rPr>
          <w:rFonts w:ascii="Times New Roman" w:hAnsi="Times New Roman" w:cs="Times New Roman"/>
          <w:sz w:val="20"/>
          <w:szCs w:val="20"/>
        </w:rPr>
        <w:t xml:space="preserve">212 miljarder kronor. </w:t>
      </w:r>
      <w:r w:rsidR="003A1B01" w:rsidRPr="0022630F">
        <w:rPr>
          <w:rFonts w:ascii="Times New Roman" w:hAnsi="Times New Roman" w:cs="Times New Roman"/>
          <w:sz w:val="20"/>
          <w:szCs w:val="20"/>
        </w:rPr>
        <w:t>Under första halvåret 2015 har Fora fört över</w:t>
      </w:r>
      <w:r>
        <w:rPr>
          <w:rFonts w:ascii="Times New Roman" w:hAnsi="Times New Roman" w:cs="Times New Roman"/>
          <w:sz w:val="20"/>
          <w:szCs w:val="20"/>
        </w:rPr>
        <w:t xml:space="preserve"> ytterligare</w:t>
      </w:r>
      <w:r w:rsidR="003A1B01" w:rsidRPr="0022630F">
        <w:rPr>
          <w:rFonts w:ascii="Times New Roman" w:hAnsi="Times New Roman" w:cs="Times New Roman"/>
          <w:sz w:val="20"/>
          <w:szCs w:val="20"/>
        </w:rPr>
        <w:t xml:space="preserve"> cirka 15 miljarder kronor </w:t>
      </w:r>
      <w:r w:rsidR="000B0F5B" w:rsidRPr="0022630F">
        <w:rPr>
          <w:rFonts w:ascii="Times New Roman" w:hAnsi="Times New Roman" w:cs="Times New Roman"/>
          <w:sz w:val="20"/>
          <w:szCs w:val="20"/>
        </w:rPr>
        <w:t>t</w:t>
      </w:r>
      <w:r w:rsidR="003A1B01" w:rsidRPr="0022630F">
        <w:rPr>
          <w:rFonts w:ascii="Times New Roman" w:hAnsi="Times New Roman" w:cs="Times New Roman"/>
          <w:sz w:val="20"/>
          <w:szCs w:val="20"/>
        </w:rPr>
        <w:t>ill</w:t>
      </w:r>
      <w:r w:rsidR="000B0F5B" w:rsidRPr="0022630F">
        <w:rPr>
          <w:rFonts w:ascii="Times New Roman" w:hAnsi="Times New Roman" w:cs="Times New Roman"/>
          <w:sz w:val="20"/>
          <w:szCs w:val="20"/>
        </w:rPr>
        <w:t xml:space="preserve"> försäkringsbolagen vilket motsvarar en ökning på cirka </w:t>
      </w:r>
      <w:r w:rsidR="00316017">
        <w:rPr>
          <w:rFonts w:ascii="Times New Roman" w:hAnsi="Times New Roman" w:cs="Times New Roman"/>
          <w:sz w:val="20"/>
          <w:szCs w:val="20"/>
        </w:rPr>
        <w:t>10,3</w:t>
      </w:r>
      <w:r w:rsidR="00242147" w:rsidRPr="0022630F">
        <w:rPr>
          <w:rFonts w:ascii="Times New Roman" w:hAnsi="Times New Roman" w:cs="Times New Roman"/>
          <w:sz w:val="20"/>
          <w:szCs w:val="20"/>
        </w:rPr>
        <w:t xml:space="preserve"> % </w:t>
      </w:r>
      <w:r w:rsidR="003A1B01" w:rsidRPr="0022630F">
        <w:rPr>
          <w:rFonts w:ascii="Times New Roman" w:hAnsi="Times New Roman" w:cs="Times New Roman"/>
          <w:sz w:val="20"/>
          <w:szCs w:val="20"/>
        </w:rPr>
        <w:t xml:space="preserve">jämfört </w:t>
      </w:r>
      <w:r w:rsidR="000B0F5B" w:rsidRPr="0022630F">
        <w:rPr>
          <w:rFonts w:ascii="Times New Roman" w:hAnsi="Times New Roman" w:cs="Times New Roman"/>
          <w:sz w:val="20"/>
          <w:szCs w:val="20"/>
        </w:rPr>
        <w:t xml:space="preserve">med </w:t>
      </w:r>
      <w:r w:rsidR="003A1B01" w:rsidRPr="0022630F">
        <w:rPr>
          <w:rFonts w:ascii="Times New Roman" w:hAnsi="Times New Roman" w:cs="Times New Roman"/>
          <w:sz w:val="20"/>
          <w:szCs w:val="20"/>
        </w:rPr>
        <w:t>2014</w:t>
      </w:r>
      <w:r w:rsidR="00242147" w:rsidRPr="0022630F">
        <w:rPr>
          <w:rFonts w:ascii="Times New Roman" w:hAnsi="Times New Roman" w:cs="Times New Roman"/>
          <w:sz w:val="20"/>
          <w:szCs w:val="20"/>
        </w:rPr>
        <w:t xml:space="preserve">. </w:t>
      </w:r>
      <w:r w:rsidR="000B0F5B" w:rsidRPr="0022630F">
        <w:rPr>
          <w:rFonts w:ascii="Times New Roman" w:hAnsi="Times New Roman" w:cs="Times New Roman"/>
          <w:sz w:val="20"/>
          <w:szCs w:val="20"/>
        </w:rPr>
        <w:t xml:space="preserve">Den </w:t>
      </w:r>
      <w:r w:rsidR="00241A5F">
        <w:rPr>
          <w:rFonts w:ascii="Times New Roman" w:hAnsi="Times New Roman" w:cs="Times New Roman"/>
          <w:sz w:val="20"/>
          <w:szCs w:val="20"/>
        </w:rPr>
        <w:t>främsta</w:t>
      </w:r>
      <w:r w:rsidR="00B405BC" w:rsidRPr="0022630F">
        <w:rPr>
          <w:rFonts w:ascii="Times New Roman" w:hAnsi="Times New Roman" w:cs="Times New Roman"/>
          <w:sz w:val="20"/>
          <w:szCs w:val="20"/>
        </w:rPr>
        <w:t xml:space="preserve"> förklaringen till premievolymökningen </w:t>
      </w:r>
      <w:r w:rsidR="000B0F5B" w:rsidRPr="0022630F">
        <w:rPr>
          <w:rFonts w:ascii="Times New Roman" w:hAnsi="Times New Roman" w:cs="Times New Roman"/>
          <w:sz w:val="20"/>
          <w:szCs w:val="20"/>
        </w:rPr>
        <w:t xml:space="preserve">är deltidspensionspremierna </w:t>
      </w:r>
      <w:r w:rsidR="00316017">
        <w:rPr>
          <w:rFonts w:ascii="Times New Roman" w:hAnsi="Times New Roman" w:cs="Times New Roman"/>
          <w:sz w:val="20"/>
          <w:szCs w:val="20"/>
        </w:rPr>
        <w:t>på</w:t>
      </w:r>
      <w:r w:rsidR="0022630F" w:rsidRPr="0022630F">
        <w:rPr>
          <w:rFonts w:ascii="Times New Roman" w:hAnsi="Times New Roman" w:cs="Times New Roman"/>
          <w:sz w:val="20"/>
          <w:szCs w:val="20"/>
        </w:rPr>
        <w:t xml:space="preserve"> 887 miljoner kronor.</w:t>
      </w:r>
      <w:r w:rsidR="00B405BC" w:rsidRPr="0022630F">
        <w:rPr>
          <w:rFonts w:ascii="Times New Roman" w:hAnsi="Times New Roman" w:cs="Times New Roman"/>
          <w:sz w:val="20"/>
          <w:szCs w:val="20"/>
        </w:rPr>
        <w:t xml:space="preserve"> </w:t>
      </w:r>
      <w:r w:rsidR="0022630F" w:rsidRPr="0022630F">
        <w:rPr>
          <w:rFonts w:ascii="Times New Roman" w:hAnsi="Times New Roman" w:cs="Times New Roman"/>
          <w:sz w:val="20"/>
          <w:szCs w:val="20"/>
        </w:rPr>
        <w:t>D</w:t>
      </w:r>
      <w:r w:rsidR="00B405BC" w:rsidRPr="0022630F">
        <w:rPr>
          <w:rFonts w:ascii="Times New Roman" w:hAnsi="Times New Roman" w:cs="Times New Roman"/>
          <w:sz w:val="20"/>
          <w:szCs w:val="20"/>
        </w:rPr>
        <w:t xml:space="preserve">eltidspensionspremierna fakturerades för första gången 2015 och </w:t>
      </w:r>
      <w:r w:rsidR="000B0F5B" w:rsidRPr="0022630F">
        <w:rPr>
          <w:rFonts w:ascii="Times New Roman" w:hAnsi="Times New Roman" w:cs="Times New Roman"/>
          <w:sz w:val="20"/>
          <w:szCs w:val="20"/>
        </w:rPr>
        <w:t>avser t</w:t>
      </w:r>
      <w:r w:rsidR="00B405BC" w:rsidRPr="0022630F">
        <w:rPr>
          <w:rFonts w:ascii="Times New Roman" w:hAnsi="Times New Roman" w:cs="Times New Roman"/>
          <w:sz w:val="20"/>
          <w:szCs w:val="20"/>
        </w:rPr>
        <w:t>vå intjänade år, 2013 och 2014.</w:t>
      </w:r>
    </w:p>
    <w:p w:rsidR="00B405BC" w:rsidRPr="0022630F" w:rsidRDefault="00B405BC" w:rsidP="009F02F2">
      <w:pPr>
        <w:ind w:right="-2"/>
        <w:rPr>
          <w:rFonts w:ascii="Times New Roman" w:hAnsi="Times New Roman" w:cs="Times New Roman"/>
          <w:sz w:val="20"/>
          <w:szCs w:val="20"/>
        </w:rPr>
      </w:pPr>
    </w:p>
    <w:p w:rsidR="00241A5F" w:rsidRDefault="00D4398C" w:rsidP="009F2B81">
      <w:pPr>
        <w:rPr>
          <w:rFonts w:ascii="Times New Roman" w:hAnsi="Times New Roman" w:cs="Times New Roman"/>
          <w:sz w:val="20"/>
          <w:szCs w:val="20"/>
        </w:rPr>
      </w:pPr>
      <w:r w:rsidRPr="0022630F">
        <w:rPr>
          <w:rFonts w:ascii="Times New Roman" w:hAnsi="Times New Roman" w:cs="Times New Roman"/>
          <w:sz w:val="20"/>
          <w:szCs w:val="20"/>
        </w:rPr>
        <w:t xml:space="preserve">– </w:t>
      </w:r>
      <w:r w:rsidR="009F02F2" w:rsidRPr="0022630F">
        <w:rPr>
          <w:rFonts w:ascii="Times New Roman" w:hAnsi="Times New Roman" w:cs="Times New Roman"/>
          <w:sz w:val="20"/>
          <w:szCs w:val="20"/>
        </w:rPr>
        <w:t xml:space="preserve">Det finns mycket pengar i Avtalspension SAF-LO </w:t>
      </w:r>
      <w:r w:rsidR="0036734F" w:rsidRPr="0022630F">
        <w:rPr>
          <w:rFonts w:ascii="Times New Roman" w:hAnsi="Times New Roman" w:cs="Times New Roman"/>
          <w:sz w:val="20"/>
          <w:szCs w:val="20"/>
        </w:rPr>
        <w:t>och allt är flyttbart, säger Foras pensions</w:t>
      </w:r>
      <w:r w:rsidR="00171604">
        <w:rPr>
          <w:rFonts w:ascii="Times New Roman" w:hAnsi="Times New Roman" w:cs="Times New Roman"/>
          <w:sz w:val="20"/>
          <w:szCs w:val="20"/>
        </w:rPr>
        <w:t>specialist</w:t>
      </w:r>
      <w:r w:rsidR="0036734F" w:rsidRPr="0022630F">
        <w:rPr>
          <w:rFonts w:ascii="Times New Roman" w:hAnsi="Times New Roman" w:cs="Times New Roman"/>
          <w:sz w:val="20"/>
          <w:szCs w:val="20"/>
        </w:rPr>
        <w:t xml:space="preserve"> Åsa Gidlund. </w:t>
      </w:r>
      <w:r w:rsidR="009F2B81" w:rsidRPr="0022630F">
        <w:rPr>
          <w:rFonts w:ascii="Times New Roman" w:hAnsi="Times New Roman" w:cs="Times New Roman"/>
          <w:sz w:val="20"/>
          <w:szCs w:val="20"/>
        </w:rPr>
        <w:t xml:space="preserve">Flytträtten har funnits i Avtalspension SAF-LO ända sedan 2004. Men </w:t>
      </w:r>
      <w:r>
        <w:rPr>
          <w:rFonts w:ascii="Times New Roman" w:hAnsi="Times New Roman" w:cs="Times New Roman"/>
          <w:sz w:val="20"/>
          <w:szCs w:val="20"/>
        </w:rPr>
        <w:t>Foras statistik</w:t>
      </w:r>
      <w:r w:rsidR="009F2B81" w:rsidRPr="0022630F">
        <w:rPr>
          <w:rFonts w:ascii="Times New Roman" w:hAnsi="Times New Roman" w:cs="Times New Roman"/>
          <w:sz w:val="20"/>
          <w:szCs w:val="20"/>
        </w:rPr>
        <w:t xml:space="preserve"> visar att det bara är en bråkdel av hela beståndet som har valt att </w:t>
      </w:r>
      <w:r w:rsidR="00B63523">
        <w:rPr>
          <w:rFonts w:ascii="Times New Roman" w:hAnsi="Times New Roman" w:cs="Times New Roman"/>
          <w:sz w:val="20"/>
          <w:szCs w:val="20"/>
        </w:rPr>
        <w:t>ut</w:t>
      </w:r>
      <w:r w:rsidR="009F2B81" w:rsidRPr="0022630F">
        <w:rPr>
          <w:rFonts w:ascii="Times New Roman" w:hAnsi="Times New Roman" w:cs="Times New Roman"/>
          <w:sz w:val="20"/>
          <w:szCs w:val="20"/>
        </w:rPr>
        <w:t>nyttja möjligheten att flytta sitt pensions</w:t>
      </w:r>
      <w:r w:rsidR="00241A5F">
        <w:rPr>
          <w:rFonts w:ascii="Times New Roman" w:hAnsi="Times New Roman" w:cs="Times New Roman"/>
          <w:sz w:val="20"/>
          <w:szCs w:val="20"/>
        </w:rPr>
        <w:t>kapital i Avtalspension SAF-LO.</w:t>
      </w:r>
    </w:p>
    <w:p w:rsidR="00241A5F" w:rsidRDefault="009F2B81" w:rsidP="009F2B81">
      <w:pPr>
        <w:rPr>
          <w:rFonts w:ascii="Times New Roman" w:hAnsi="Times New Roman" w:cs="Times New Roman"/>
          <w:sz w:val="20"/>
          <w:szCs w:val="20"/>
        </w:rPr>
      </w:pPr>
      <w:r w:rsidRPr="0022630F">
        <w:rPr>
          <w:rFonts w:ascii="Times New Roman" w:hAnsi="Times New Roman" w:cs="Times New Roman"/>
          <w:sz w:val="20"/>
          <w:szCs w:val="20"/>
        </w:rPr>
        <w:t>– De som flyttar gör i snitt fler än en flytt per per</w:t>
      </w:r>
      <w:r w:rsidR="005431D9">
        <w:rPr>
          <w:rFonts w:ascii="Times New Roman" w:hAnsi="Times New Roman" w:cs="Times New Roman"/>
          <w:sz w:val="20"/>
          <w:szCs w:val="20"/>
        </w:rPr>
        <w:t>son. Under första halvåret 2015 har antalet flyttar</w:t>
      </w:r>
      <w:r w:rsidRPr="0022630F">
        <w:rPr>
          <w:rFonts w:ascii="Times New Roman" w:hAnsi="Times New Roman" w:cs="Times New Roman"/>
          <w:sz w:val="20"/>
          <w:szCs w:val="20"/>
        </w:rPr>
        <w:t xml:space="preserve"> ökat jämfört med helåret 2014. Mätt i flyttat kapital har beloppet för 2015 redan överstigit siffran både för helåret 201</w:t>
      </w:r>
      <w:r w:rsidR="00D4398C">
        <w:rPr>
          <w:rFonts w:ascii="Times New Roman" w:hAnsi="Times New Roman" w:cs="Times New Roman"/>
          <w:sz w:val="20"/>
          <w:szCs w:val="20"/>
        </w:rPr>
        <w:t>2 och 2013</w:t>
      </w:r>
      <w:r w:rsidRPr="0022630F">
        <w:rPr>
          <w:rFonts w:ascii="Times New Roman" w:hAnsi="Times New Roman" w:cs="Times New Roman"/>
          <w:sz w:val="20"/>
          <w:szCs w:val="20"/>
        </w:rPr>
        <w:t>. Under första halvåret 2015 gjordes 2,35 flyttar per person jämfört med 1,69 flyttar per person under helåret 2014 och 1,70 flyttar per person helåret 2013.</w:t>
      </w:r>
    </w:p>
    <w:p w:rsidR="009F2B81" w:rsidRPr="0022630F" w:rsidRDefault="00D4398C" w:rsidP="009F2B81">
      <w:pPr>
        <w:rPr>
          <w:rFonts w:ascii="Times New Roman" w:hAnsi="Times New Roman" w:cs="Times New Roman"/>
          <w:sz w:val="20"/>
          <w:szCs w:val="20"/>
        </w:rPr>
      </w:pPr>
      <w:r w:rsidRPr="00D4398C">
        <w:rPr>
          <w:rFonts w:ascii="Times New Roman" w:hAnsi="Times New Roman" w:cs="Times New Roman"/>
          <w:sz w:val="20"/>
          <w:szCs w:val="20"/>
        </w:rPr>
        <w:t xml:space="preserve"> </w:t>
      </w:r>
      <w:r w:rsidRPr="0022630F">
        <w:rPr>
          <w:rFonts w:ascii="Times New Roman" w:hAnsi="Times New Roman" w:cs="Times New Roman"/>
          <w:sz w:val="20"/>
          <w:szCs w:val="20"/>
        </w:rPr>
        <w:t xml:space="preserve">– </w:t>
      </w:r>
      <w:r w:rsidR="009F2B81" w:rsidRPr="0022630F">
        <w:rPr>
          <w:rFonts w:ascii="Times New Roman" w:hAnsi="Times New Roman" w:cs="Times New Roman"/>
          <w:sz w:val="20"/>
          <w:szCs w:val="20"/>
        </w:rPr>
        <w:t>Färre personer har flyttat hittills i år men per person har man flyttat stö</w:t>
      </w:r>
      <w:r w:rsidR="0022630F" w:rsidRPr="0022630F">
        <w:rPr>
          <w:rFonts w:ascii="Times New Roman" w:hAnsi="Times New Roman" w:cs="Times New Roman"/>
          <w:sz w:val="20"/>
          <w:szCs w:val="20"/>
        </w:rPr>
        <w:t>rre kapital jämfört</w:t>
      </w:r>
      <w:r w:rsidR="00241A5F">
        <w:rPr>
          <w:rFonts w:ascii="Times New Roman" w:hAnsi="Times New Roman" w:cs="Times New Roman"/>
          <w:sz w:val="20"/>
          <w:szCs w:val="20"/>
        </w:rPr>
        <w:t xml:space="preserve"> med tidigare år</w:t>
      </w:r>
      <w:r w:rsidR="0022630F" w:rsidRPr="0022630F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F2B81" w:rsidRPr="0022630F">
        <w:rPr>
          <w:rFonts w:ascii="Times New Roman" w:hAnsi="Times New Roman" w:cs="Times New Roman"/>
          <w:sz w:val="20"/>
          <w:szCs w:val="20"/>
        </w:rPr>
        <w:t>Männen dominerar bland dem som väljer att flytta sitt kapital. Drygt 70 % av flyttarna görs av män</w:t>
      </w:r>
      <w:r w:rsidR="0022630F" w:rsidRPr="0022630F">
        <w:rPr>
          <w:rFonts w:ascii="Times New Roman" w:hAnsi="Times New Roman" w:cs="Times New Roman"/>
          <w:sz w:val="20"/>
          <w:szCs w:val="20"/>
        </w:rPr>
        <w:t>, vilket</w:t>
      </w:r>
      <w:r w:rsidR="009F2B81" w:rsidRPr="0022630F">
        <w:rPr>
          <w:rFonts w:ascii="Times New Roman" w:hAnsi="Times New Roman" w:cs="Times New Roman"/>
          <w:sz w:val="20"/>
          <w:szCs w:val="20"/>
        </w:rPr>
        <w:t xml:space="preserve"> speglar beståndet i Avtalspension SAF-LO </w:t>
      </w:r>
      <w:r w:rsidR="0022630F" w:rsidRPr="0022630F">
        <w:rPr>
          <w:rFonts w:ascii="Times New Roman" w:hAnsi="Times New Roman" w:cs="Times New Roman"/>
          <w:sz w:val="20"/>
          <w:szCs w:val="20"/>
        </w:rPr>
        <w:t>som representeras av</w:t>
      </w:r>
      <w:r w:rsidR="009F2B81" w:rsidRPr="0022630F">
        <w:rPr>
          <w:rFonts w:ascii="Times New Roman" w:hAnsi="Times New Roman" w:cs="Times New Roman"/>
          <w:sz w:val="20"/>
          <w:szCs w:val="20"/>
        </w:rPr>
        <w:t xml:space="preserve"> 61 % män och 39 % kvinnor. </w:t>
      </w:r>
      <w:r w:rsidRPr="0022630F">
        <w:rPr>
          <w:rFonts w:ascii="Times New Roman" w:hAnsi="Times New Roman" w:cs="Times New Roman"/>
          <w:sz w:val="20"/>
          <w:szCs w:val="20"/>
        </w:rPr>
        <w:t xml:space="preserve">– </w:t>
      </w:r>
      <w:r w:rsidR="009F2B81" w:rsidRPr="0022630F">
        <w:rPr>
          <w:rFonts w:ascii="Times New Roman" w:hAnsi="Times New Roman" w:cs="Times New Roman"/>
          <w:sz w:val="20"/>
          <w:szCs w:val="20"/>
        </w:rPr>
        <w:t xml:space="preserve">Under första halvåret 2015 flyttade männen ca 78 000 kronor per flytt medan kvinnor flyttade ca 48 000 kronor per flytt.   </w:t>
      </w:r>
    </w:p>
    <w:p w:rsidR="009F2B81" w:rsidRPr="0022630F" w:rsidRDefault="009F2B81" w:rsidP="009F2B81">
      <w:pPr>
        <w:rPr>
          <w:rFonts w:ascii="Times New Roman" w:hAnsi="Times New Roman" w:cs="Times New Roman"/>
          <w:sz w:val="20"/>
          <w:szCs w:val="20"/>
        </w:rPr>
      </w:pPr>
    </w:p>
    <w:p w:rsidR="009F2B81" w:rsidRPr="005431D9" w:rsidRDefault="009F2B81" w:rsidP="009F2B81">
      <w:pPr>
        <w:rPr>
          <w:rFonts w:ascii="Arial" w:hAnsi="Arial" w:cs="Arial"/>
          <w:sz w:val="24"/>
          <w:szCs w:val="24"/>
        </w:rPr>
      </w:pPr>
      <w:r w:rsidRPr="00241A5F">
        <w:rPr>
          <w:rFonts w:ascii="Arial" w:hAnsi="Arial" w:cs="Arial"/>
          <w:sz w:val="16"/>
          <w:szCs w:val="16"/>
        </w:rPr>
        <w:t>Kapitalet fortsätter att flyttas från traditionell försäkring till fondförsäkring och bankerna är framgångsrika.</w:t>
      </w:r>
    </w:p>
    <w:p w:rsidR="00241A5F" w:rsidRPr="005431D9" w:rsidRDefault="00241A5F" w:rsidP="009F2B81">
      <w:pPr>
        <w:rPr>
          <w:rFonts w:ascii="Arial" w:hAnsi="Arial" w:cs="Arial"/>
          <w:sz w:val="24"/>
          <w:szCs w:val="24"/>
        </w:rPr>
      </w:pPr>
    </w:p>
    <w:p w:rsidR="009F2B81" w:rsidRDefault="009F2B81" w:rsidP="009F2B81">
      <w:r w:rsidRPr="00787F03">
        <w:rPr>
          <w:noProof/>
        </w:rPr>
        <w:drawing>
          <wp:inline distT="0" distB="0" distL="0" distR="0" wp14:anchorId="4B48FCC5" wp14:editId="4A15FD76">
            <wp:extent cx="5395620" cy="3269894"/>
            <wp:effectExtent l="0" t="0" r="0" b="6985"/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26" cy="3274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B81" w:rsidRPr="00241A5F" w:rsidRDefault="009F2B81" w:rsidP="009F2B81">
      <w:pPr>
        <w:rPr>
          <w:rFonts w:ascii="Arial" w:hAnsi="Arial" w:cs="Arial"/>
          <w:sz w:val="12"/>
          <w:szCs w:val="12"/>
        </w:rPr>
      </w:pPr>
      <w:r w:rsidRPr="00241A5F">
        <w:rPr>
          <w:rFonts w:ascii="Arial" w:hAnsi="Arial" w:cs="Arial"/>
          <w:sz w:val="12"/>
          <w:szCs w:val="12"/>
        </w:rPr>
        <w:t xml:space="preserve"> </w:t>
      </w:r>
    </w:p>
    <w:p w:rsidR="009F2B81" w:rsidRPr="00241A5F" w:rsidRDefault="009F2B81" w:rsidP="009F2B81">
      <w:pPr>
        <w:rPr>
          <w:rFonts w:ascii="Arial" w:hAnsi="Arial" w:cs="Arial"/>
          <w:sz w:val="16"/>
          <w:szCs w:val="16"/>
        </w:rPr>
      </w:pPr>
      <w:r w:rsidRPr="00241A5F">
        <w:rPr>
          <w:rFonts w:ascii="Arial" w:hAnsi="Arial" w:cs="Arial"/>
          <w:b/>
          <w:sz w:val="16"/>
          <w:szCs w:val="16"/>
        </w:rPr>
        <w:t>Att notera:</w:t>
      </w:r>
      <w:r w:rsidRPr="00241A5F">
        <w:rPr>
          <w:rFonts w:ascii="Arial" w:hAnsi="Arial" w:cs="Arial"/>
          <w:b/>
          <w:i/>
          <w:sz w:val="16"/>
          <w:szCs w:val="16"/>
        </w:rPr>
        <w:t xml:space="preserve"> </w:t>
      </w:r>
      <w:r w:rsidRPr="00241A5F">
        <w:rPr>
          <w:rFonts w:ascii="Arial" w:hAnsi="Arial" w:cs="Arial"/>
          <w:sz w:val="16"/>
          <w:szCs w:val="16"/>
        </w:rPr>
        <w:t>Under 2013 genomfördes en anslutning för Avtalspension SAF-LO och de nya valalternativen var på plats först i maj 2014 vilket innebar att möjligheten till kapitalflytt i Avtalspension SAF-LO var stängd under januari-april 2014. Detta återspeglas till viss del i flyttstatistiken för 2014.</w:t>
      </w:r>
    </w:p>
    <w:p w:rsidR="00CB561C" w:rsidRPr="00241A5F" w:rsidRDefault="00CB561C" w:rsidP="0036734F">
      <w:pPr>
        <w:ind w:right="-2"/>
        <w:rPr>
          <w:rFonts w:ascii="Arial" w:hAnsi="Arial" w:cs="Arial"/>
          <w:sz w:val="12"/>
          <w:szCs w:val="12"/>
        </w:rPr>
      </w:pPr>
    </w:p>
    <w:p w:rsidR="009F02F2" w:rsidRPr="00CB561C" w:rsidRDefault="00CB561C" w:rsidP="0036734F">
      <w:pPr>
        <w:ind w:right="-2"/>
        <w:rPr>
          <w:rFonts w:ascii="Times New Roman" w:hAnsi="Times New Roman" w:cs="Times New Roman"/>
          <w:sz w:val="16"/>
          <w:szCs w:val="16"/>
          <w:u w:val="single"/>
        </w:rPr>
      </w:pPr>
      <w:r w:rsidRPr="00CB561C">
        <w:rPr>
          <w:rFonts w:ascii="Times New Roman" w:hAnsi="Times New Roman" w:cs="Times New Roman"/>
          <w:sz w:val="16"/>
          <w:szCs w:val="16"/>
          <w:u w:val="single"/>
        </w:rPr>
        <w:t>För mer information, kontakta:</w:t>
      </w:r>
    </w:p>
    <w:p w:rsidR="00CB561C" w:rsidRPr="00CB561C" w:rsidRDefault="003A6923" w:rsidP="0036734F">
      <w:pPr>
        <w:ind w:right="-2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Åsa Gidlund, Pensions</w:t>
      </w:r>
      <w:r w:rsidR="00316017">
        <w:rPr>
          <w:rFonts w:ascii="Times New Roman" w:hAnsi="Times New Roman" w:cs="Times New Roman"/>
          <w:sz w:val="20"/>
          <w:szCs w:val="20"/>
          <w:lang w:val="en-US"/>
        </w:rPr>
        <w:t>specialist</w:t>
      </w:r>
      <w:r w:rsidR="00CB561C" w:rsidRPr="00CB561C">
        <w:rPr>
          <w:rFonts w:ascii="Times New Roman" w:hAnsi="Times New Roman" w:cs="Times New Roman"/>
          <w:sz w:val="20"/>
          <w:szCs w:val="20"/>
          <w:lang w:val="en-US"/>
        </w:rPr>
        <w:tab/>
      </w:r>
      <w:r w:rsidR="00CB561C" w:rsidRPr="00CB561C">
        <w:rPr>
          <w:rFonts w:ascii="Times New Roman" w:hAnsi="Times New Roman" w:cs="Times New Roman"/>
          <w:sz w:val="20"/>
          <w:szCs w:val="20"/>
          <w:lang w:val="en-US"/>
        </w:rPr>
        <w:tab/>
        <w:t>Louise Westerdahl, Pressansvarig</w:t>
      </w:r>
    </w:p>
    <w:p w:rsidR="00807830" w:rsidRDefault="003A6923" w:rsidP="009F02F2">
      <w:pPr>
        <w:ind w:right="-2"/>
        <w:rPr>
          <w:rFonts w:ascii="Times New Roman" w:hAnsi="Times New Roman" w:cs="Times New Roman"/>
          <w:sz w:val="20"/>
          <w:szCs w:val="20"/>
          <w:lang w:val="en-US"/>
        </w:rPr>
      </w:pPr>
      <w:hyperlink r:id="rId10" w:history="1">
        <w:r w:rsidR="00CB561C" w:rsidRPr="00CB561C">
          <w:rPr>
            <w:rStyle w:val="Hyperlnk"/>
            <w:rFonts w:ascii="Times New Roman" w:hAnsi="Times New Roman" w:cs="Times New Roman"/>
            <w:sz w:val="20"/>
            <w:szCs w:val="20"/>
            <w:lang w:val="en-US"/>
          </w:rPr>
          <w:t>Asa.gidlund@fora.se</w:t>
        </w:r>
      </w:hyperlink>
      <w:r w:rsidR="00CB561C" w:rsidRPr="00CB561C">
        <w:rPr>
          <w:rFonts w:ascii="Times New Roman" w:hAnsi="Times New Roman" w:cs="Times New Roman"/>
          <w:sz w:val="20"/>
          <w:szCs w:val="20"/>
          <w:lang w:val="en-US"/>
        </w:rPr>
        <w:tab/>
      </w:r>
      <w:r w:rsidR="00CB561C" w:rsidRPr="00CB561C">
        <w:rPr>
          <w:rFonts w:ascii="Times New Roman" w:hAnsi="Times New Roman" w:cs="Times New Roman"/>
          <w:sz w:val="20"/>
          <w:szCs w:val="20"/>
          <w:lang w:val="en-US"/>
        </w:rPr>
        <w:tab/>
      </w:r>
      <w:hyperlink r:id="rId11" w:history="1">
        <w:r w:rsidR="00CB561C" w:rsidRPr="00CB561C">
          <w:rPr>
            <w:rStyle w:val="Hyperlnk"/>
            <w:rFonts w:ascii="Times New Roman" w:hAnsi="Times New Roman" w:cs="Times New Roman"/>
            <w:sz w:val="20"/>
            <w:szCs w:val="20"/>
            <w:lang w:val="en-US"/>
          </w:rPr>
          <w:t>louise.westerdahl@fora.se</w:t>
        </w:r>
      </w:hyperlink>
      <w:r w:rsidR="00CB561C" w:rsidRPr="00CB561C">
        <w:rPr>
          <w:rFonts w:ascii="Times New Roman" w:hAnsi="Times New Roman" w:cs="Times New Roman"/>
          <w:sz w:val="20"/>
          <w:szCs w:val="20"/>
          <w:lang w:val="en-US"/>
        </w:rPr>
        <w:t>, Tel 0</w:t>
      </w:r>
      <w:r w:rsidR="00CB561C">
        <w:rPr>
          <w:rFonts w:ascii="Times New Roman" w:hAnsi="Times New Roman" w:cs="Times New Roman"/>
          <w:sz w:val="20"/>
          <w:szCs w:val="20"/>
          <w:lang w:val="en-US"/>
        </w:rPr>
        <w:t>70</w:t>
      </w:r>
      <w:r w:rsidR="00CB561C" w:rsidRPr="00CB561C">
        <w:rPr>
          <w:rFonts w:ascii="Times New Roman" w:hAnsi="Times New Roman" w:cs="Times New Roman"/>
          <w:sz w:val="20"/>
          <w:szCs w:val="20"/>
          <w:lang w:val="en-US"/>
        </w:rPr>
        <w:t xml:space="preserve">-787 </w:t>
      </w:r>
      <w:r w:rsidR="00CB561C">
        <w:rPr>
          <w:rFonts w:ascii="Times New Roman" w:hAnsi="Times New Roman" w:cs="Times New Roman"/>
          <w:sz w:val="20"/>
          <w:szCs w:val="20"/>
          <w:lang w:val="en-US"/>
        </w:rPr>
        <w:t>1530</w:t>
      </w:r>
    </w:p>
    <w:p w:rsidR="005C0977" w:rsidRDefault="005333CE" w:rsidP="009F02F2">
      <w:pPr>
        <w:ind w:right="-2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noProof/>
        </w:rPr>
        <w:lastRenderedPageBreak/>
        <w:drawing>
          <wp:inline distT="0" distB="0" distL="0" distR="0" wp14:anchorId="43532246" wp14:editId="6756B204">
            <wp:extent cx="4762195" cy="3262579"/>
            <wp:effectExtent l="0" t="0" r="19685" b="14605"/>
            <wp:docPr id="3" name="Diagram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333CE" w:rsidRPr="00316017" w:rsidRDefault="00316017" w:rsidP="009F02F2">
      <w:pPr>
        <w:ind w:right="-2"/>
        <w:rPr>
          <w:rFonts w:ascii="Times New Roman" w:hAnsi="Times New Roman" w:cs="Times New Roman"/>
          <w:sz w:val="20"/>
          <w:szCs w:val="20"/>
        </w:rPr>
      </w:pPr>
      <w:r w:rsidRPr="00316017">
        <w:rPr>
          <w:rFonts w:ascii="Times New Roman" w:hAnsi="Times New Roman" w:cs="Times New Roman"/>
          <w:sz w:val="20"/>
          <w:szCs w:val="20"/>
        </w:rPr>
        <w:t>Uppgifterna om kapitalvärde är hämtade från Foras årliga utskick av pensionsbesked.</w:t>
      </w:r>
    </w:p>
    <w:p w:rsidR="00316017" w:rsidRPr="00316017" w:rsidRDefault="00316017" w:rsidP="009F02F2">
      <w:pPr>
        <w:ind w:right="-2"/>
        <w:rPr>
          <w:rFonts w:ascii="Times New Roman" w:hAnsi="Times New Roman" w:cs="Times New Roman"/>
          <w:sz w:val="20"/>
          <w:szCs w:val="20"/>
        </w:rPr>
      </w:pPr>
    </w:p>
    <w:p w:rsidR="005C0977" w:rsidRDefault="005C0977" w:rsidP="005C0977">
      <w:r>
        <w:rPr>
          <w:noProof/>
        </w:rPr>
        <w:drawing>
          <wp:inline distT="0" distB="0" distL="0" distR="0" wp14:anchorId="19354F11" wp14:editId="2D27083B">
            <wp:extent cx="4762195" cy="3072384"/>
            <wp:effectExtent l="0" t="0" r="19685" b="13970"/>
            <wp:docPr id="8" name="Diagram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333CE" w:rsidRDefault="005333CE" w:rsidP="005C0977"/>
    <w:p w:rsidR="005333CE" w:rsidRDefault="005C0977" w:rsidP="009F02F2">
      <w:pPr>
        <w:ind w:right="-2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675E7D81" wp14:editId="2F01AB43">
            <wp:extent cx="4762195" cy="3021177"/>
            <wp:effectExtent l="0" t="0" r="19685" b="27305"/>
            <wp:docPr id="9" name="Diagram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16017" w:rsidRDefault="00316017" w:rsidP="009F02F2">
      <w:pPr>
        <w:ind w:right="-2"/>
        <w:rPr>
          <w:lang w:val="en-US"/>
        </w:rPr>
      </w:pPr>
    </w:p>
    <w:p w:rsidR="000D358D" w:rsidRPr="00CB561C" w:rsidRDefault="005C0977" w:rsidP="009F02F2">
      <w:pPr>
        <w:ind w:right="-2"/>
        <w:rPr>
          <w:lang w:val="en-US"/>
        </w:rPr>
      </w:pPr>
      <w:r>
        <w:rPr>
          <w:noProof/>
        </w:rPr>
        <w:drawing>
          <wp:inline distT="0" distB="0" distL="0" distR="0" wp14:anchorId="02CBBFA7" wp14:editId="5D841E44">
            <wp:extent cx="4762195" cy="3116275"/>
            <wp:effectExtent l="0" t="0" r="19685" b="27305"/>
            <wp:docPr id="10" name="Diagram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sectPr w:rsidR="000D358D" w:rsidRPr="00CB561C" w:rsidSect="004B17D2">
      <w:headerReference w:type="first" r:id="rId16"/>
      <w:footerReference w:type="first" r:id="rId17"/>
      <w:type w:val="continuous"/>
      <w:pgSz w:w="11906" w:h="16838" w:code="9"/>
      <w:pgMar w:top="1418" w:right="1418" w:bottom="1418" w:left="1418" w:header="851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832" w:rsidRDefault="00F92832">
      <w:r>
        <w:separator/>
      </w:r>
    </w:p>
  </w:endnote>
  <w:endnote w:type="continuationSeparator" w:id="0">
    <w:p w:rsidR="00F92832" w:rsidRDefault="00F9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832" w:rsidRPr="0022630F" w:rsidRDefault="0022630F" w:rsidP="00F92832">
    <w:pPr>
      <w:ind w:right="-2"/>
      <w:rPr>
        <w:rFonts w:ascii="Arial" w:hAnsi="Arial" w:cs="Arial"/>
        <w:b/>
        <w:i/>
        <w:color w:val="595959" w:themeColor="text1" w:themeTint="A6"/>
        <w:sz w:val="16"/>
        <w:szCs w:val="16"/>
      </w:rPr>
    </w:pPr>
    <w:r w:rsidRPr="0022630F">
      <w:rPr>
        <w:rFonts w:ascii="Arial" w:hAnsi="Arial" w:cs="Arial"/>
        <w:b/>
        <w:i/>
        <w:color w:val="595959" w:themeColor="text1" w:themeTint="A6"/>
        <w:sz w:val="16"/>
        <w:szCs w:val="16"/>
      </w:rPr>
      <w:t>O</w:t>
    </w:r>
    <w:r w:rsidR="00F92832" w:rsidRPr="0022630F">
      <w:rPr>
        <w:rFonts w:ascii="Arial" w:hAnsi="Arial" w:cs="Arial"/>
        <w:b/>
        <w:i/>
        <w:color w:val="595959" w:themeColor="text1" w:themeTint="A6"/>
        <w:sz w:val="16"/>
        <w:szCs w:val="16"/>
      </w:rPr>
      <w:t>m Fora AB</w:t>
    </w:r>
  </w:p>
  <w:p w:rsidR="00F92832" w:rsidRPr="0022630F" w:rsidRDefault="00F92832" w:rsidP="00F92832">
    <w:pPr>
      <w:ind w:right="-2"/>
      <w:rPr>
        <w:rFonts w:ascii="Arial" w:hAnsi="Arial" w:cs="Arial"/>
        <w:i/>
        <w:color w:val="595959" w:themeColor="text1" w:themeTint="A6"/>
        <w:sz w:val="16"/>
        <w:szCs w:val="16"/>
      </w:rPr>
    </w:pPr>
    <w:r w:rsidRPr="0022630F">
      <w:rPr>
        <w:rFonts w:ascii="Arial" w:hAnsi="Arial" w:cs="Arial"/>
        <w:i/>
        <w:color w:val="595959" w:themeColor="text1" w:themeTint="A6"/>
        <w:sz w:val="16"/>
        <w:szCs w:val="16"/>
      </w:rPr>
      <w:t xml:space="preserve">Fora administrerar kollektivavtalade försäkringar och andra trygghetslösningar som cirka </w:t>
    </w:r>
    <w:r w:rsidR="0022630F" w:rsidRPr="0022630F">
      <w:rPr>
        <w:rFonts w:ascii="Arial" w:hAnsi="Arial" w:cs="Arial"/>
        <w:i/>
        <w:color w:val="595959" w:themeColor="text1" w:themeTint="A6"/>
        <w:sz w:val="16"/>
        <w:szCs w:val="16"/>
      </w:rPr>
      <w:t>4</w:t>
    </w:r>
    <w:r w:rsidRPr="0022630F">
      <w:rPr>
        <w:rFonts w:ascii="Arial" w:hAnsi="Arial" w:cs="Arial"/>
        <w:i/>
        <w:color w:val="595959" w:themeColor="text1" w:themeTint="A6"/>
        <w:sz w:val="16"/>
        <w:szCs w:val="16"/>
      </w:rPr>
      <w:t xml:space="preserve"> miljoner anställda omfattas av via sin anställning. Varje år förmedlar vi drygt 15 miljarder kronor i premier och avgifter från 214 000 företag till ett 40-tal försäkringsbolag, stiftelser och fonder. Dessutom sköter vi pensionsval och information för Avtalspension SAF-LO.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832" w:rsidRDefault="00F92832">
      <w:r>
        <w:separator/>
      </w:r>
    </w:p>
  </w:footnote>
  <w:footnote w:type="continuationSeparator" w:id="0">
    <w:p w:rsidR="00F92832" w:rsidRDefault="00F92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1E4" w:rsidRDefault="00F92832" w:rsidP="004A4D98">
    <w:pPr>
      <w:pStyle w:val="Sidhuvud"/>
      <w:tabs>
        <w:tab w:val="clear" w:pos="9072"/>
        <w:tab w:val="left" w:pos="4536"/>
        <w:tab w:val="left" w:pos="7938"/>
      </w:tabs>
      <w:rPr>
        <w:sz w:val="8"/>
        <w:szCs w:val="8"/>
      </w:rPr>
    </w:pPr>
    <w:r w:rsidRPr="00CA2E0B">
      <w:rPr>
        <w:rFonts w:ascii="Arial" w:hAnsi="Arial" w:cs="Arial"/>
        <w:b/>
        <w:noProof/>
        <w:sz w:val="20"/>
      </w:rPr>
      <w:drawing>
        <wp:inline distT="0" distB="0" distL="0" distR="0" wp14:anchorId="54806192" wp14:editId="5C2C0883">
          <wp:extent cx="1134000" cy="360000"/>
          <wp:effectExtent l="0" t="0" r="0" b="2540"/>
          <wp:docPr id="5" name="Bild 1" descr="Fora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a_logo_rgb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40" t="7000" r="-2540" b="-7000"/>
                  <a:stretch/>
                </pic:blipFill>
                <pic:spPr bwMode="auto">
                  <a:xfrm>
                    <a:off x="0" y="0"/>
                    <a:ext cx="1134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A0F5E"/>
    <w:multiLevelType w:val="hybridMultilevel"/>
    <w:tmpl w:val="2146E5EC"/>
    <w:lvl w:ilvl="0" w:tplc="6DE0828E"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F8197E"/>
    <w:multiLevelType w:val="hybridMultilevel"/>
    <w:tmpl w:val="369450B8"/>
    <w:lvl w:ilvl="0" w:tplc="1EFE79C6"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130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832"/>
    <w:rsid w:val="00037A7C"/>
    <w:rsid w:val="000806BE"/>
    <w:rsid w:val="000A1BFF"/>
    <w:rsid w:val="000B0F5B"/>
    <w:rsid w:val="000B61FA"/>
    <w:rsid w:val="000D358D"/>
    <w:rsid w:val="000D5560"/>
    <w:rsid w:val="000E01FB"/>
    <w:rsid w:val="000F0D8D"/>
    <w:rsid w:val="00102DC7"/>
    <w:rsid w:val="00104A05"/>
    <w:rsid w:val="00107D3E"/>
    <w:rsid w:val="00116604"/>
    <w:rsid w:val="00145D44"/>
    <w:rsid w:val="00171604"/>
    <w:rsid w:val="00177ED9"/>
    <w:rsid w:val="001B1123"/>
    <w:rsid w:val="001B2259"/>
    <w:rsid w:val="001B35E4"/>
    <w:rsid w:val="001C3562"/>
    <w:rsid w:val="001E1861"/>
    <w:rsid w:val="001E303A"/>
    <w:rsid w:val="001F1FD8"/>
    <w:rsid w:val="001F5570"/>
    <w:rsid w:val="0022630F"/>
    <w:rsid w:val="0023171E"/>
    <w:rsid w:val="00241A5F"/>
    <w:rsid w:val="00242147"/>
    <w:rsid w:val="00243DF7"/>
    <w:rsid w:val="0025281F"/>
    <w:rsid w:val="00273E7A"/>
    <w:rsid w:val="00285288"/>
    <w:rsid w:val="00286329"/>
    <w:rsid w:val="002A028E"/>
    <w:rsid w:val="002C7873"/>
    <w:rsid w:val="002E6945"/>
    <w:rsid w:val="002F09F9"/>
    <w:rsid w:val="002F4603"/>
    <w:rsid w:val="002F63AB"/>
    <w:rsid w:val="003005F9"/>
    <w:rsid w:val="00301A6D"/>
    <w:rsid w:val="00316017"/>
    <w:rsid w:val="003238A3"/>
    <w:rsid w:val="003251E0"/>
    <w:rsid w:val="0034225D"/>
    <w:rsid w:val="0036734F"/>
    <w:rsid w:val="00370906"/>
    <w:rsid w:val="003831C3"/>
    <w:rsid w:val="003A1B01"/>
    <w:rsid w:val="003A6923"/>
    <w:rsid w:val="003B25E6"/>
    <w:rsid w:val="003B6C63"/>
    <w:rsid w:val="003D7FA3"/>
    <w:rsid w:val="003E084A"/>
    <w:rsid w:val="003F03B1"/>
    <w:rsid w:val="00407D45"/>
    <w:rsid w:val="004216AA"/>
    <w:rsid w:val="0044348C"/>
    <w:rsid w:val="00464024"/>
    <w:rsid w:val="0049241E"/>
    <w:rsid w:val="004979AF"/>
    <w:rsid w:val="004A2B62"/>
    <w:rsid w:val="004A4D98"/>
    <w:rsid w:val="004B17D2"/>
    <w:rsid w:val="004B3DDD"/>
    <w:rsid w:val="004C2657"/>
    <w:rsid w:val="004D5839"/>
    <w:rsid w:val="00512F8C"/>
    <w:rsid w:val="00513DBD"/>
    <w:rsid w:val="005333CE"/>
    <w:rsid w:val="00542ECF"/>
    <w:rsid w:val="005431D9"/>
    <w:rsid w:val="00566809"/>
    <w:rsid w:val="00574D97"/>
    <w:rsid w:val="00597898"/>
    <w:rsid w:val="005A30C4"/>
    <w:rsid w:val="005A7D2E"/>
    <w:rsid w:val="005C0977"/>
    <w:rsid w:val="005C5893"/>
    <w:rsid w:val="005D0D8C"/>
    <w:rsid w:val="005D3ECB"/>
    <w:rsid w:val="005D45EE"/>
    <w:rsid w:val="005E66D8"/>
    <w:rsid w:val="00613BE9"/>
    <w:rsid w:val="0061413D"/>
    <w:rsid w:val="00620B85"/>
    <w:rsid w:val="00620E99"/>
    <w:rsid w:val="006365DD"/>
    <w:rsid w:val="00637C2E"/>
    <w:rsid w:val="00651CFF"/>
    <w:rsid w:val="00651E49"/>
    <w:rsid w:val="00660995"/>
    <w:rsid w:val="00686F24"/>
    <w:rsid w:val="006B093D"/>
    <w:rsid w:val="006B1386"/>
    <w:rsid w:val="006B17C4"/>
    <w:rsid w:val="006C41F4"/>
    <w:rsid w:val="006E3B8E"/>
    <w:rsid w:val="0070556E"/>
    <w:rsid w:val="00712A6E"/>
    <w:rsid w:val="00716BA6"/>
    <w:rsid w:val="0072509B"/>
    <w:rsid w:val="00741FF2"/>
    <w:rsid w:val="007437A0"/>
    <w:rsid w:val="007639B7"/>
    <w:rsid w:val="00773872"/>
    <w:rsid w:val="00776DF9"/>
    <w:rsid w:val="00792136"/>
    <w:rsid w:val="00797E7F"/>
    <w:rsid w:val="007A65D6"/>
    <w:rsid w:val="007B5824"/>
    <w:rsid w:val="007C3B6C"/>
    <w:rsid w:val="007C41C1"/>
    <w:rsid w:val="007C7C3D"/>
    <w:rsid w:val="007D1AAF"/>
    <w:rsid w:val="007F14B8"/>
    <w:rsid w:val="00807830"/>
    <w:rsid w:val="008533E0"/>
    <w:rsid w:val="00855DB5"/>
    <w:rsid w:val="00873BF0"/>
    <w:rsid w:val="0087730D"/>
    <w:rsid w:val="008B2AB5"/>
    <w:rsid w:val="008B3D32"/>
    <w:rsid w:val="008B3FCA"/>
    <w:rsid w:val="00930991"/>
    <w:rsid w:val="00941CB3"/>
    <w:rsid w:val="009559DE"/>
    <w:rsid w:val="009955F0"/>
    <w:rsid w:val="009A4477"/>
    <w:rsid w:val="009B3F63"/>
    <w:rsid w:val="009C7FF6"/>
    <w:rsid w:val="009F02F2"/>
    <w:rsid w:val="009F2B81"/>
    <w:rsid w:val="00A67F15"/>
    <w:rsid w:val="00A72596"/>
    <w:rsid w:val="00A84525"/>
    <w:rsid w:val="00A9349D"/>
    <w:rsid w:val="00AA09F9"/>
    <w:rsid w:val="00AA2711"/>
    <w:rsid w:val="00AB0702"/>
    <w:rsid w:val="00AB4A3D"/>
    <w:rsid w:val="00AB50EA"/>
    <w:rsid w:val="00AB60DB"/>
    <w:rsid w:val="00AC3627"/>
    <w:rsid w:val="00AE5880"/>
    <w:rsid w:val="00AF1983"/>
    <w:rsid w:val="00B023A3"/>
    <w:rsid w:val="00B05C27"/>
    <w:rsid w:val="00B119D6"/>
    <w:rsid w:val="00B16D0E"/>
    <w:rsid w:val="00B247FD"/>
    <w:rsid w:val="00B405BC"/>
    <w:rsid w:val="00B63523"/>
    <w:rsid w:val="00B70C5E"/>
    <w:rsid w:val="00B83EDB"/>
    <w:rsid w:val="00B91FB6"/>
    <w:rsid w:val="00BA0C3B"/>
    <w:rsid w:val="00BC0CC8"/>
    <w:rsid w:val="00BC7EFE"/>
    <w:rsid w:val="00BD6750"/>
    <w:rsid w:val="00BE20D4"/>
    <w:rsid w:val="00BE4C91"/>
    <w:rsid w:val="00C0020E"/>
    <w:rsid w:val="00C00455"/>
    <w:rsid w:val="00C163CD"/>
    <w:rsid w:val="00C1740C"/>
    <w:rsid w:val="00C3397E"/>
    <w:rsid w:val="00C536E8"/>
    <w:rsid w:val="00C61628"/>
    <w:rsid w:val="00C61F76"/>
    <w:rsid w:val="00C770DE"/>
    <w:rsid w:val="00CA4A60"/>
    <w:rsid w:val="00CB561C"/>
    <w:rsid w:val="00CD3E91"/>
    <w:rsid w:val="00CD41E4"/>
    <w:rsid w:val="00CF4C60"/>
    <w:rsid w:val="00CF7A38"/>
    <w:rsid w:val="00D25AE8"/>
    <w:rsid w:val="00D4398C"/>
    <w:rsid w:val="00D458C1"/>
    <w:rsid w:val="00D5733E"/>
    <w:rsid w:val="00D76210"/>
    <w:rsid w:val="00D807CD"/>
    <w:rsid w:val="00D846FD"/>
    <w:rsid w:val="00D86AD5"/>
    <w:rsid w:val="00DC575E"/>
    <w:rsid w:val="00DD0F15"/>
    <w:rsid w:val="00DD66CE"/>
    <w:rsid w:val="00DF3EE6"/>
    <w:rsid w:val="00E006FE"/>
    <w:rsid w:val="00E04727"/>
    <w:rsid w:val="00E145DC"/>
    <w:rsid w:val="00E16F37"/>
    <w:rsid w:val="00E20CF5"/>
    <w:rsid w:val="00E22274"/>
    <w:rsid w:val="00E23C49"/>
    <w:rsid w:val="00E25490"/>
    <w:rsid w:val="00E838BD"/>
    <w:rsid w:val="00E9002E"/>
    <w:rsid w:val="00E94E9D"/>
    <w:rsid w:val="00EA6A31"/>
    <w:rsid w:val="00EB7322"/>
    <w:rsid w:val="00EC0893"/>
    <w:rsid w:val="00EE1120"/>
    <w:rsid w:val="00EF759B"/>
    <w:rsid w:val="00EF7E51"/>
    <w:rsid w:val="00F07212"/>
    <w:rsid w:val="00F11BE5"/>
    <w:rsid w:val="00F14700"/>
    <w:rsid w:val="00F16B3A"/>
    <w:rsid w:val="00F542E7"/>
    <w:rsid w:val="00F7741D"/>
    <w:rsid w:val="00F92832"/>
    <w:rsid w:val="00F95D28"/>
    <w:rsid w:val="00F95E39"/>
    <w:rsid w:val="00FA6321"/>
    <w:rsid w:val="00FC4779"/>
    <w:rsid w:val="00FF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562"/>
  </w:style>
  <w:style w:type="paragraph" w:styleId="Rubrik1">
    <w:name w:val="heading 1"/>
    <w:basedOn w:val="Normal"/>
    <w:next w:val="Normal"/>
    <w:link w:val="Rubrik1Char"/>
    <w:uiPriority w:val="9"/>
    <w:rsid w:val="00BE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77A6" w:themeColor="accent1" w:themeShade="BF"/>
      <w:sz w:val="28"/>
      <w:szCs w:val="28"/>
    </w:rPr>
  </w:style>
  <w:style w:type="paragraph" w:styleId="Rubrik2">
    <w:name w:val="heading 2"/>
    <w:basedOn w:val="Normal"/>
    <w:next w:val="Normal"/>
    <w:uiPriority w:val="9"/>
    <w:semiHidden/>
    <w:unhideWhenUsed/>
    <w:rsid w:val="00BE20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A1DE" w:themeColor="accent1"/>
      <w:sz w:val="26"/>
      <w:szCs w:val="26"/>
    </w:rPr>
  </w:style>
  <w:style w:type="paragraph" w:styleId="Rubrik3">
    <w:name w:val="heading 3"/>
    <w:basedOn w:val="Normal"/>
    <w:next w:val="Normal"/>
    <w:uiPriority w:val="9"/>
    <w:semiHidden/>
    <w:unhideWhenUsed/>
    <w:qFormat/>
    <w:rsid w:val="00BE20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A1DE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uiPriority w:val="99"/>
    <w:unhideWhenUsed/>
    <w:rsid w:val="00BE20D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unhideWhenUsed/>
    <w:rsid w:val="00BE20D4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uiPriority w:val="59"/>
    <w:rsid w:val="00BE20D4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BE20D4"/>
    <w:rPr>
      <w:color w:val="0000FF" w:themeColor="hyperlink"/>
      <w:u w:val="single"/>
    </w:rPr>
  </w:style>
  <w:style w:type="table" w:styleId="Diskrettabell1">
    <w:name w:val="Table Subtle 1"/>
    <w:basedOn w:val="Normaltabell"/>
    <w:uiPriority w:val="99"/>
    <w:semiHidden/>
    <w:unhideWhenUsed/>
    <w:rsid w:val="00651CF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651CF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uiPriority w:val="99"/>
    <w:semiHidden/>
    <w:unhideWhenUsed/>
    <w:rsid w:val="00651CF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651CF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651CF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651C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uiPriority w:val="99"/>
    <w:semiHidden/>
    <w:unhideWhenUsed/>
    <w:rsid w:val="00651CF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651CF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651CF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651CF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uiPriority w:val="99"/>
    <w:semiHidden/>
    <w:unhideWhenUsed/>
    <w:rsid w:val="00651CF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uiPriority w:val="99"/>
    <w:semiHidden/>
    <w:unhideWhenUsed/>
    <w:rsid w:val="00651CF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651CF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651CF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651CF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651CF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651CF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651CF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651CF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651CF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651CF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651CF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651CF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651CF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651CF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651CF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651C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651CF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651CF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651CF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651CF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651CF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651CF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651CF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651CF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651C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651C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651CF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651CF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uiPriority w:val="99"/>
    <w:semiHidden/>
    <w:unhideWhenUsed/>
    <w:rsid w:val="00651CF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651CF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651CF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BE20D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E20D4"/>
    <w:rPr>
      <w:rFonts w:ascii="Tahoma" w:eastAsiaTheme="minorHAnsi" w:hAnsi="Tahoma" w:cs="Tahoma"/>
      <w:sz w:val="16"/>
      <w:szCs w:val="16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BE20D4"/>
    <w:rPr>
      <w:color w:val="808080"/>
    </w:rPr>
  </w:style>
  <w:style w:type="character" w:customStyle="1" w:styleId="BoldForaCharacterLarge">
    <w:name w:val="BoldForaCharacterLarge"/>
    <w:basedOn w:val="BoldForaCharacter"/>
    <w:uiPriority w:val="1"/>
    <w:qFormat/>
    <w:rsid w:val="00BE20D4"/>
    <w:rPr>
      <w:rFonts w:ascii="Arial Black" w:hAnsi="Arial Black" w:cs="Arial Black"/>
      <w:color w:val="003399"/>
      <w:sz w:val="18"/>
      <w:szCs w:val="18"/>
    </w:rPr>
  </w:style>
  <w:style w:type="paragraph" w:customStyle="1" w:styleId="Default">
    <w:name w:val="Default"/>
    <w:rsid w:val="00BE20D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BE20D4"/>
    <w:rPr>
      <w:color w:val="000000"/>
      <w:sz w:val="15"/>
      <w:szCs w:val="15"/>
    </w:rPr>
  </w:style>
  <w:style w:type="paragraph" w:customStyle="1" w:styleId="Pa1">
    <w:name w:val="Pa1"/>
    <w:basedOn w:val="Default"/>
    <w:next w:val="Default"/>
    <w:uiPriority w:val="99"/>
    <w:rsid w:val="00BE20D4"/>
    <w:pPr>
      <w:spacing w:line="241" w:lineRule="atLeast"/>
    </w:pPr>
    <w:rPr>
      <w:color w:val="auto"/>
    </w:rPr>
  </w:style>
  <w:style w:type="character" w:customStyle="1" w:styleId="A4">
    <w:name w:val="A4"/>
    <w:uiPriority w:val="99"/>
    <w:rsid w:val="00BE20D4"/>
    <w:rPr>
      <w:rFonts w:ascii="Arial Black" w:hAnsi="Arial Black" w:cs="Arial Black"/>
      <w:b/>
      <w:bCs/>
      <w:color w:val="000000"/>
      <w:sz w:val="18"/>
      <w:szCs w:val="18"/>
    </w:rPr>
  </w:style>
  <w:style w:type="paragraph" w:customStyle="1" w:styleId="SignaturForaRubrik">
    <w:name w:val="SignaturForaRubrik"/>
    <w:next w:val="Default"/>
    <w:rsid w:val="00BE20D4"/>
    <w:rPr>
      <w:rFonts w:ascii="Arial Black" w:eastAsiaTheme="minorHAnsi" w:hAnsi="Arial Black"/>
      <w:color w:val="003399"/>
      <w:sz w:val="18"/>
      <w:lang w:eastAsia="en-US"/>
    </w:rPr>
  </w:style>
  <w:style w:type="paragraph" w:customStyle="1" w:styleId="SignaturFora">
    <w:name w:val="SignaturFora"/>
    <w:rsid w:val="00BE20D4"/>
    <w:pPr>
      <w:autoSpaceDE w:val="0"/>
      <w:autoSpaceDN w:val="0"/>
      <w:adjustRightInd w:val="0"/>
      <w:spacing w:line="241" w:lineRule="atLeast"/>
    </w:pPr>
    <w:rPr>
      <w:rFonts w:ascii="Arial" w:eastAsiaTheme="minorHAnsi" w:hAnsi="Arial" w:cs="Arial"/>
      <w:color w:val="003399"/>
      <w:sz w:val="15"/>
      <w:szCs w:val="15"/>
      <w:lang w:eastAsia="en-US"/>
    </w:rPr>
  </w:style>
  <w:style w:type="character" w:customStyle="1" w:styleId="BoldForaCharacter">
    <w:name w:val="BoldForaCharacter"/>
    <w:basedOn w:val="Standardstycketeckensnitt"/>
    <w:uiPriority w:val="1"/>
    <w:qFormat/>
    <w:rsid w:val="00BE20D4"/>
    <w:rPr>
      <w:rFonts w:ascii="Arial Black" w:hAnsi="Arial Black" w:cs="Arial Black"/>
      <w:color w:val="003399"/>
      <w:sz w:val="15"/>
    </w:rPr>
  </w:style>
  <w:style w:type="character" w:customStyle="1" w:styleId="RegularForaChar">
    <w:name w:val="RegularForaChar"/>
    <w:basedOn w:val="Standardstycketeckensnitt"/>
    <w:uiPriority w:val="1"/>
    <w:qFormat/>
    <w:rsid w:val="00BE20D4"/>
    <w:rPr>
      <w:rFonts w:ascii="Arial" w:hAnsi="Arial"/>
      <w:color w:val="003399"/>
      <w:sz w:val="15"/>
    </w:rPr>
  </w:style>
  <w:style w:type="table" w:customStyle="1" w:styleId="ForaSignaturTabell">
    <w:name w:val="ForaSignaturTabell"/>
    <w:basedOn w:val="Normaltabell"/>
    <w:uiPriority w:val="99"/>
    <w:rsid w:val="00BE20D4"/>
    <w:rPr>
      <w:rFonts w:asciiTheme="majorHAnsi" w:eastAsiaTheme="minorHAnsi" w:hAnsiTheme="majorHAnsi"/>
      <w:lang w:eastAsia="en-US"/>
    </w:rPr>
    <w:tblPr/>
    <w:tcPr>
      <w:tcMar>
        <w:left w:w="0" w:type="dxa"/>
        <w:right w:w="0" w:type="dxa"/>
      </w:tcMar>
    </w:tcPr>
  </w:style>
  <w:style w:type="character" w:customStyle="1" w:styleId="Rubrik1Char">
    <w:name w:val="Rubrik 1 Char"/>
    <w:basedOn w:val="Standardstycketeckensnitt"/>
    <w:link w:val="Rubrik1"/>
    <w:uiPriority w:val="9"/>
    <w:rsid w:val="00BE20D4"/>
    <w:rPr>
      <w:rFonts w:asciiTheme="majorHAnsi" w:eastAsiaTheme="majorEastAsia" w:hAnsiTheme="majorHAnsi" w:cstheme="majorBidi"/>
      <w:b/>
      <w:bCs/>
      <w:color w:val="0077A6" w:themeColor="accent1" w:themeShade="BF"/>
      <w:sz w:val="28"/>
      <w:szCs w:val="28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F92832"/>
  </w:style>
  <w:style w:type="paragraph" w:styleId="Liststycke">
    <w:name w:val="List Paragraph"/>
    <w:basedOn w:val="Normal"/>
    <w:uiPriority w:val="34"/>
    <w:rsid w:val="008078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562"/>
  </w:style>
  <w:style w:type="paragraph" w:styleId="Rubrik1">
    <w:name w:val="heading 1"/>
    <w:basedOn w:val="Normal"/>
    <w:next w:val="Normal"/>
    <w:link w:val="Rubrik1Char"/>
    <w:uiPriority w:val="9"/>
    <w:rsid w:val="00BE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77A6" w:themeColor="accent1" w:themeShade="BF"/>
      <w:sz w:val="28"/>
      <w:szCs w:val="28"/>
    </w:rPr>
  </w:style>
  <w:style w:type="paragraph" w:styleId="Rubrik2">
    <w:name w:val="heading 2"/>
    <w:basedOn w:val="Normal"/>
    <w:next w:val="Normal"/>
    <w:uiPriority w:val="9"/>
    <w:semiHidden/>
    <w:unhideWhenUsed/>
    <w:rsid w:val="00BE20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A1DE" w:themeColor="accent1"/>
      <w:sz w:val="26"/>
      <w:szCs w:val="26"/>
    </w:rPr>
  </w:style>
  <w:style w:type="paragraph" w:styleId="Rubrik3">
    <w:name w:val="heading 3"/>
    <w:basedOn w:val="Normal"/>
    <w:next w:val="Normal"/>
    <w:uiPriority w:val="9"/>
    <w:semiHidden/>
    <w:unhideWhenUsed/>
    <w:qFormat/>
    <w:rsid w:val="00BE20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A1DE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uiPriority w:val="99"/>
    <w:unhideWhenUsed/>
    <w:rsid w:val="00BE20D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unhideWhenUsed/>
    <w:rsid w:val="00BE20D4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uiPriority w:val="59"/>
    <w:rsid w:val="00BE20D4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BE20D4"/>
    <w:rPr>
      <w:color w:val="0000FF" w:themeColor="hyperlink"/>
      <w:u w:val="single"/>
    </w:rPr>
  </w:style>
  <w:style w:type="table" w:styleId="Diskrettabell1">
    <w:name w:val="Table Subtle 1"/>
    <w:basedOn w:val="Normaltabell"/>
    <w:uiPriority w:val="99"/>
    <w:semiHidden/>
    <w:unhideWhenUsed/>
    <w:rsid w:val="00651CF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651CF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uiPriority w:val="99"/>
    <w:semiHidden/>
    <w:unhideWhenUsed/>
    <w:rsid w:val="00651CF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651CF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651CF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651C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uiPriority w:val="99"/>
    <w:semiHidden/>
    <w:unhideWhenUsed/>
    <w:rsid w:val="00651CF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651CF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651CF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651CF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uiPriority w:val="99"/>
    <w:semiHidden/>
    <w:unhideWhenUsed/>
    <w:rsid w:val="00651CF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uiPriority w:val="99"/>
    <w:semiHidden/>
    <w:unhideWhenUsed/>
    <w:rsid w:val="00651CF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651CF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651CF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651CF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651CF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651CF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651CF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651CF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651CF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651CF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651CF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651CF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651CF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651CF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651CF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651C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651CF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651CF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651CF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651CF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651CF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651CF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651CF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651CF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651C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651C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651CF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651CF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uiPriority w:val="99"/>
    <w:semiHidden/>
    <w:unhideWhenUsed/>
    <w:rsid w:val="00651CF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651CF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651CF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BE20D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E20D4"/>
    <w:rPr>
      <w:rFonts w:ascii="Tahoma" w:eastAsiaTheme="minorHAnsi" w:hAnsi="Tahoma" w:cs="Tahoma"/>
      <w:sz w:val="16"/>
      <w:szCs w:val="16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BE20D4"/>
    <w:rPr>
      <w:color w:val="808080"/>
    </w:rPr>
  </w:style>
  <w:style w:type="character" w:customStyle="1" w:styleId="BoldForaCharacterLarge">
    <w:name w:val="BoldForaCharacterLarge"/>
    <w:basedOn w:val="BoldForaCharacter"/>
    <w:uiPriority w:val="1"/>
    <w:qFormat/>
    <w:rsid w:val="00BE20D4"/>
    <w:rPr>
      <w:rFonts w:ascii="Arial Black" w:hAnsi="Arial Black" w:cs="Arial Black"/>
      <w:color w:val="003399"/>
      <w:sz w:val="18"/>
      <w:szCs w:val="18"/>
    </w:rPr>
  </w:style>
  <w:style w:type="paragraph" w:customStyle="1" w:styleId="Default">
    <w:name w:val="Default"/>
    <w:rsid w:val="00BE20D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BE20D4"/>
    <w:rPr>
      <w:color w:val="000000"/>
      <w:sz w:val="15"/>
      <w:szCs w:val="15"/>
    </w:rPr>
  </w:style>
  <w:style w:type="paragraph" w:customStyle="1" w:styleId="Pa1">
    <w:name w:val="Pa1"/>
    <w:basedOn w:val="Default"/>
    <w:next w:val="Default"/>
    <w:uiPriority w:val="99"/>
    <w:rsid w:val="00BE20D4"/>
    <w:pPr>
      <w:spacing w:line="241" w:lineRule="atLeast"/>
    </w:pPr>
    <w:rPr>
      <w:color w:val="auto"/>
    </w:rPr>
  </w:style>
  <w:style w:type="character" w:customStyle="1" w:styleId="A4">
    <w:name w:val="A4"/>
    <w:uiPriority w:val="99"/>
    <w:rsid w:val="00BE20D4"/>
    <w:rPr>
      <w:rFonts w:ascii="Arial Black" w:hAnsi="Arial Black" w:cs="Arial Black"/>
      <w:b/>
      <w:bCs/>
      <w:color w:val="000000"/>
      <w:sz w:val="18"/>
      <w:szCs w:val="18"/>
    </w:rPr>
  </w:style>
  <w:style w:type="paragraph" w:customStyle="1" w:styleId="SignaturForaRubrik">
    <w:name w:val="SignaturForaRubrik"/>
    <w:next w:val="Default"/>
    <w:rsid w:val="00BE20D4"/>
    <w:rPr>
      <w:rFonts w:ascii="Arial Black" w:eastAsiaTheme="minorHAnsi" w:hAnsi="Arial Black"/>
      <w:color w:val="003399"/>
      <w:sz w:val="18"/>
      <w:lang w:eastAsia="en-US"/>
    </w:rPr>
  </w:style>
  <w:style w:type="paragraph" w:customStyle="1" w:styleId="SignaturFora">
    <w:name w:val="SignaturFora"/>
    <w:rsid w:val="00BE20D4"/>
    <w:pPr>
      <w:autoSpaceDE w:val="0"/>
      <w:autoSpaceDN w:val="0"/>
      <w:adjustRightInd w:val="0"/>
      <w:spacing w:line="241" w:lineRule="atLeast"/>
    </w:pPr>
    <w:rPr>
      <w:rFonts w:ascii="Arial" w:eastAsiaTheme="minorHAnsi" w:hAnsi="Arial" w:cs="Arial"/>
      <w:color w:val="003399"/>
      <w:sz w:val="15"/>
      <w:szCs w:val="15"/>
      <w:lang w:eastAsia="en-US"/>
    </w:rPr>
  </w:style>
  <w:style w:type="character" w:customStyle="1" w:styleId="BoldForaCharacter">
    <w:name w:val="BoldForaCharacter"/>
    <w:basedOn w:val="Standardstycketeckensnitt"/>
    <w:uiPriority w:val="1"/>
    <w:qFormat/>
    <w:rsid w:val="00BE20D4"/>
    <w:rPr>
      <w:rFonts w:ascii="Arial Black" w:hAnsi="Arial Black" w:cs="Arial Black"/>
      <w:color w:val="003399"/>
      <w:sz w:val="15"/>
    </w:rPr>
  </w:style>
  <w:style w:type="character" w:customStyle="1" w:styleId="RegularForaChar">
    <w:name w:val="RegularForaChar"/>
    <w:basedOn w:val="Standardstycketeckensnitt"/>
    <w:uiPriority w:val="1"/>
    <w:qFormat/>
    <w:rsid w:val="00BE20D4"/>
    <w:rPr>
      <w:rFonts w:ascii="Arial" w:hAnsi="Arial"/>
      <w:color w:val="003399"/>
      <w:sz w:val="15"/>
    </w:rPr>
  </w:style>
  <w:style w:type="table" w:customStyle="1" w:styleId="ForaSignaturTabell">
    <w:name w:val="ForaSignaturTabell"/>
    <w:basedOn w:val="Normaltabell"/>
    <w:uiPriority w:val="99"/>
    <w:rsid w:val="00BE20D4"/>
    <w:rPr>
      <w:rFonts w:asciiTheme="majorHAnsi" w:eastAsiaTheme="minorHAnsi" w:hAnsiTheme="majorHAnsi"/>
      <w:lang w:eastAsia="en-US"/>
    </w:rPr>
    <w:tblPr/>
    <w:tcPr>
      <w:tcMar>
        <w:left w:w="0" w:type="dxa"/>
        <w:right w:w="0" w:type="dxa"/>
      </w:tcMar>
    </w:tcPr>
  </w:style>
  <w:style w:type="character" w:customStyle="1" w:styleId="Rubrik1Char">
    <w:name w:val="Rubrik 1 Char"/>
    <w:basedOn w:val="Standardstycketeckensnitt"/>
    <w:link w:val="Rubrik1"/>
    <w:uiPriority w:val="9"/>
    <w:rsid w:val="00BE20D4"/>
    <w:rPr>
      <w:rFonts w:asciiTheme="majorHAnsi" w:eastAsiaTheme="majorEastAsia" w:hAnsiTheme="majorHAnsi" w:cstheme="majorBidi"/>
      <w:b/>
      <w:bCs/>
      <w:color w:val="0077A6" w:themeColor="accent1" w:themeShade="BF"/>
      <w:sz w:val="28"/>
      <w:szCs w:val="28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F92832"/>
  </w:style>
  <w:style w:type="paragraph" w:styleId="Liststycke">
    <w:name w:val="List Paragraph"/>
    <w:basedOn w:val="Normal"/>
    <w:uiPriority w:val="34"/>
    <w:rsid w:val="00807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4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ouise.westerdahl@fora.se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4.xml"/><Relationship Id="rId10" Type="http://schemas.openxmlformats.org/officeDocument/2006/relationships/hyperlink" Target="mailto:Asa.gidlund@fora.se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hart" Target="charts/chart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fs01\user$\agia\Anslutning%202013\Statistik\Beskrivn%20best&#229;ndet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\\fs01\user$\agia\Anslutning%202013\Statistik\Beskrivn%20best&#229;ndet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\\fs01\user$\agia\Anslutning%202013\Statistik\Beskrivn%20best&#229;ndet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\\fs01\user$\agia\Anslutning%202013\Statistik\Beskrivn%20best&#229;ndet.xlsx" TargetMode="External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/>
            </a:pPr>
            <a:r>
              <a:rPr lang="sv-SE" sz="1000"/>
              <a:t>Avtalspension SAF-LO, kapitalvärde per 31 december (MSEK)</a:t>
            </a:r>
          </a:p>
        </c:rich>
      </c:tx>
      <c:layout>
        <c:manualLayout>
          <c:xMode val="edge"/>
          <c:yMode val="edge"/>
          <c:x val="0.21922531208613757"/>
          <c:y val="7.4223867257024664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2904389703580629"/>
          <c:y val="4.7400348104863349E-2"/>
          <c:w val="0.77646540971369404"/>
          <c:h val="0.832619568387284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'1G'!$N$3</c:f>
              <c:strCache>
                <c:ptCount val="1"/>
                <c:pt idx="0">
                  <c:v>Traditionell försäkring totalt</c:v>
                </c:pt>
              </c:strCache>
            </c:strRef>
          </c:tx>
          <c:invertIfNegative val="0"/>
          <c:cat>
            <c:numRef>
              <c:f>'1G'!$O$2:$T$2</c:f>
              <c:numCache>
                <c:formatCode>General</c:formatCode>
                <c:ptCount val="6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</c:numCache>
            </c:numRef>
          </c:cat>
          <c:val>
            <c:numRef>
              <c:f>'1G'!$O$3:$T$3</c:f>
              <c:numCache>
                <c:formatCode>#,##0</c:formatCode>
                <c:ptCount val="6"/>
                <c:pt idx="0">
                  <c:v>61507.031256999988</c:v>
                </c:pt>
                <c:pt idx="1">
                  <c:v>83437.167895999999</c:v>
                </c:pt>
                <c:pt idx="2">
                  <c:v>86171.036591999989</c:v>
                </c:pt>
                <c:pt idx="3">
                  <c:v>98596.442268000013</c:v>
                </c:pt>
                <c:pt idx="4">
                  <c:v>114986.052356</c:v>
                </c:pt>
                <c:pt idx="5">
                  <c:v>134813.476318</c:v>
                </c:pt>
              </c:numCache>
            </c:numRef>
          </c:val>
        </c:ser>
        <c:ser>
          <c:idx val="1"/>
          <c:order val="1"/>
          <c:tx>
            <c:strRef>
              <c:f>'1G'!$N$4</c:f>
              <c:strCache>
                <c:ptCount val="1"/>
                <c:pt idx="0">
                  <c:v>Fondförsäkring totalt</c:v>
                </c:pt>
              </c:strCache>
            </c:strRef>
          </c:tx>
          <c:invertIfNegative val="0"/>
          <c:cat>
            <c:numRef>
              <c:f>'1G'!$O$2:$T$2</c:f>
              <c:numCache>
                <c:formatCode>General</c:formatCode>
                <c:ptCount val="6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</c:numCache>
            </c:numRef>
          </c:cat>
          <c:val>
            <c:numRef>
              <c:f>'1G'!$O$4:$T$4</c:f>
              <c:numCache>
                <c:formatCode>#,##0</c:formatCode>
                <c:ptCount val="6"/>
                <c:pt idx="0">
                  <c:v>40100.573872000001</c:v>
                </c:pt>
                <c:pt idx="1">
                  <c:v>46945.048233000009</c:v>
                </c:pt>
                <c:pt idx="2">
                  <c:v>44039.524895000002</c:v>
                </c:pt>
                <c:pt idx="3">
                  <c:v>51742.031897999994</c:v>
                </c:pt>
                <c:pt idx="4">
                  <c:v>64262.881180999997</c:v>
                </c:pt>
                <c:pt idx="5">
                  <c:v>78013.519392000017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2634240"/>
        <c:axId val="63559552"/>
      </c:barChart>
      <c:catAx>
        <c:axId val="62634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Calibri" panose="020F0502020204030204" pitchFamily="34" charset="0"/>
              </a:defRPr>
            </a:pPr>
            <a:endParaRPr lang="sv-SE"/>
          </a:p>
        </c:txPr>
        <c:crossAx val="63559552"/>
        <c:crosses val="autoZero"/>
        <c:auto val="1"/>
        <c:lblAlgn val="ctr"/>
        <c:lblOffset val="100"/>
        <c:noMultiLvlLbl val="0"/>
      </c:catAx>
      <c:valAx>
        <c:axId val="63559552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Calibri" panose="020F0502020204030204" pitchFamily="34" charset="0"/>
              </a:defRPr>
            </a:pPr>
            <a:endParaRPr lang="sv-SE"/>
          </a:p>
        </c:txPr>
        <c:crossAx val="6263424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0837872936507165"/>
          <c:y val="0.93978245359173085"/>
          <c:w val="0.58765475761993236"/>
          <c:h val="5.9185302341068342E-2"/>
        </c:manualLayout>
      </c:layout>
      <c:overlay val="0"/>
      <c:txPr>
        <a:bodyPr/>
        <a:lstStyle/>
        <a:p>
          <a:pPr>
            <a:defRPr sz="700" b="1">
              <a:latin typeface="Calibri" panose="020F0502020204030204" pitchFamily="34" charset="0"/>
            </a:defRPr>
          </a:pPr>
          <a:endParaRPr lang="sv-SE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sv-SE" sz="1000"/>
              <a:t>Premievolymer per premieöverföringsår (MSEK)</a:t>
            </a:r>
          </a:p>
        </c:rich>
      </c:tx>
      <c:layout>
        <c:manualLayout>
          <c:xMode val="edge"/>
          <c:yMode val="edge"/>
          <c:x val="0.22982887548933911"/>
          <c:y val="3.798342541436464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8.4820695000331764E-2"/>
          <c:y val="2.2418921564362464E-2"/>
          <c:w val="0.89367384795375648"/>
          <c:h val="0.8218817696036149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'1B'!$C$4</c:f>
              <c:strCache>
                <c:ptCount val="1"/>
                <c:pt idx="0">
                  <c:v>Traditionell försäkring </c:v>
                </c:pt>
              </c:strCache>
            </c:strRef>
          </c:tx>
          <c:invertIfNegative val="0"/>
          <c:cat>
            <c:strRef>
              <c:f>'1B'!$B$6:$B$12</c:f>
              <c:strCache>
                <c:ptCount val="7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 Q2</c:v>
                </c:pt>
              </c:strCache>
            </c:strRef>
          </c:cat>
          <c:val>
            <c:numRef>
              <c:f>'1B'!$C$6:$C$12</c:f>
              <c:numCache>
                <c:formatCode>#,##0</c:formatCode>
                <c:ptCount val="7"/>
                <c:pt idx="0">
                  <c:v>5185.4733699999997</c:v>
                </c:pt>
                <c:pt idx="1">
                  <c:v>8093.4403149999998</c:v>
                </c:pt>
                <c:pt idx="2">
                  <c:v>8414.3595409999998</c:v>
                </c:pt>
                <c:pt idx="3">
                  <c:v>9397.9069039999995</c:v>
                </c:pt>
                <c:pt idx="4">
                  <c:v>10122.673562</c:v>
                </c:pt>
                <c:pt idx="5">
                  <c:v>10179</c:v>
                </c:pt>
                <c:pt idx="6">
                  <c:v>10454</c:v>
                </c:pt>
              </c:numCache>
            </c:numRef>
          </c:val>
        </c:ser>
        <c:ser>
          <c:idx val="1"/>
          <c:order val="1"/>
          <c:tx>
            <c:strRef>
              <c:f>'1B'!$D$4</c:f>
              <c:strCache>
                <c:ptCount val="1"/>
                <c:pt idx="0">
                  <c:v>Fondförsäkring</c:v>
                </c:pt>
              </c:strCache>
            </c:strRef>
          </c:tx>
          <c:invertIfNegative val="0"/>
          <c:cat>
            <c:strRef>
              <c:f>'1B'!$B$6:$B$12</c:f>
              <c:strCache>
                <c:ptCount val="7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 Q2</c:v>
                </c:pt>
              </c:strCache>
            </c:strRef>
          </c:cat>
          <c:val>
            <c:numRef>
              <c:f>'1B'!$D$6:$D$12</c:f>
              <c:numCache>
                <c:formatCode>#,##0</c:formatCode>
                <c:ptCount val="7"/>
                <c:pt idx="0">
                  <c:v>5252.6196380000001</c:v>
                </c:pt>
                <c:pt idx="1">
                  <c:v>2450.794148</c:v>
                </c:pt>
                <c:pt idx="2">
                  <c:v>2793.3220940000001</c:v>
                </c:pt>
                <c:pt idx="3">
                  <c:v>3237.2510750000001</c:v>
                </c:pt>
                <c:pt idx="4">
                  <c:v>3541.5765369999999</c:v>
                </c:pt>
                <c:pt idx="5">
                  <c:v>3637</c:v>
                </c:pt>
                <c:pt idx="6">
                  <c:v>4787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0124544"/>
        <c:axId val="99991936"/>
      </c:barChart>
      <c:catAx>
        <c:axId val="8012454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Calibri" panose="020F0502020204030204" pitchFamily="34" charset="0"/>
              </a:defRPr>
            </a:pPr>
            <a:endParaRPr lang="sv-SE"/>
          </a:p>
        </c:txPr>
        <c:crossAx val="99991936"/>
        <c:crosses val="autoZero"/>
        <c:auto val="1"/>
        <c:lblAlgn val="ctr"/>
        <c:lblOffset val="100"/>
        <c:noMultiLvlLbl val="0"/>
      </c:catAx>
      <c:valAx>
        <c:axId val="99991936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txPr>
          <a:bodyPr/>
          <a:lstStyle/>
          <a:p>
            <a:pPr>
              <a:defRPr sz="900" b="0">
                <a:latin typeface="Calibri" panose="020F0502020204030204" pitchFamily="34" charset="0"/>
              </a:defRPr>
            </a:pPr>
            <a:endParaRPr lang="sv-SE"/>
          </a:p>
        </c:txPr>
        <c:crossAx val="80124544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>
            <a:defRPr sz="700" b="1">
              <a:latin typeface="Calibri" panose="020F0502020204030204" pitchFamily="34" charset="0"/>
            </a:defRPr>
          </a:pPr>
          <a:endParaRPr lang="sv-SE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>
                <a:latin typeface="Calibri" panose="020F0502020204030204" pitchFamily="34" charset="0"/>
              </a:defRPr>
            </a:pPr>
            <a:r>
              <a:rPr lang="en-US" sz="1000">
                <a:latin typeface="Calibri" panose="020F0502020204030204" pitchFamily="34" charset="0"/>
              </a:rPr>
              <a:t>Flyttat pensionskapital inom Avtalspension SAF-LO (MSEK)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'1L'!$B$6</c:f>
              <c:strCache>
                <c:ptCount val="1"/>
                <c:pt idx="0">
                  <c:v>Flyttat pensionskapital (MSEK)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-2.7777777777777779E-3"/>
                  <c:y val="-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185067526415994E-16"/>
                  <c:y val="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sv-S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'1L'!$F$4:$L$4</c:f>
              <c:strCache>
                <c:ptCount val="7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 Q2</c:v>
                </c:pt>
              </c:strCache>
            </c:strRef>
          </c:cat>
          <c:val>
            <c:numRef>
              <c:f>'1L'!$F$6:$L$6</c:f>
              <c:numCache>
                <c:formatCode>#,##0</c:formatCode>
                <c:ptCount val="7"/>
                <c:pt idx="0">
                  <c:v>1475.5485409999999</c:v>
                </c:pt>
                <c:pt idx="1">
                  <c:v>2899.0465290000002</c:v>
                </c:pt>
                <c:pt idx="2">
                  <c:v>3792.7983819999999</c:v>
                </c:pt>
                <c:pt idx="3">
                  <c:v>3160.568945</c:v>
                </c:pt>
                <c:pt idx="4">
                  <c:v>2555.2180830000002</c:v>
                </c:pt>
                <c:pt idx="5">
                  <c:v>1870</c:v>
                </c:pt>
                <c:pt idx="6">
                  <c:v>3310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0005376"/>
        <c:axId val="100009472"/>
      </c:barChart>
      <c:catAx>
        <c:axId val="100005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sv-SE"/>
          </a:p>
        </c:txPr>
        <c:crossAx val="100009472"/>
        <c:crosses val="autoZero"/>
        <c:auto val="1"/>
        <c:lblAlgn val="ctr"/>
        <c:lblOffset val="100"/>
        <c:noMultiLvlLbl val="0"/>
      </c:catAx>
      <c:valAx>
        <c:axId val="100009472"/>
        <c:scaling>
          <c:orientation val="minMax"/>
        </c:scaling>
        <c:delete val="1"/>
        <c:axPos val="l"/>
        <c:majorGridlines>
          <c:spPr>
            <a:ln>
              <a:noFill/>
            </a:ln>
          </c:spPr>
        </c:majorGridlines>
        <c:numFmt formatCode="#,##0" sourceLinked="1"/>
        <c:majorTickMark val="out"/>
        <c:minorTickMark val="none"/>
        <c:tickLblPos val="nextTo"/>
        <c:crossAx val="10000537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>
                <a:latin typeface="Calibri" panose="020F0502020204030204" pitchFamily="34" charset="0"/>
              </a:defRPr>
            </a:pPr>
            <a:r>
              <a:rPr lang="en-US" sz="1000">
                <a:latin typeface="Calibri" panose="020F0502020204030204" pitchFamily="34" charset="0"/>
              </a:rPr>
              <a:t>Antal kapitalflyttar</a:t>
            </a:r>
            <a:r>
              <a:rPr lang="en-US" sz="1000" baseline="0">
                <a:latin typeface="Calibri" panose="020F0502020204030204" pitchFamily="34" charset="0"/>
              </a:rPr>
              <a:t> inom Avtalspension SAF-LO</a:t>
            </a:r>
          </a:p>
          <a:p>
            <a:pPr>
              <a:defRPr sz="1000">
                <a:latin typeface="Calibri" panose="020F0502020204030204" pitchFamily="34" charset="0"/>
              </a:defRPr>
            </a:pPr>
            <a:r>
              <a:rPr lang="en-US" sz="1000">
                <a:latin typeface="Calibri" panose="020F0502020204030204" pitchFamily="34" charset="0"/>
              </a:rPr>
              <a:t>(ej antal personer som flyttar)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'1L'!$B$5</c:f>
              <c:strCache>
                <c:ptCount val="1"/>
                <c:pt idx="0">
                  <c:v>Antal flyttar 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2.7350424405365161E-3"/>
                  <c:y val="1.28617363344051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sv-S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'1L'!$F$4:$L$4</c:f>
              <c:strCache>
                <c:ptCount val="7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 Q2</c:v>
                </c:pt>
              </c:strCache>
            </c:strRef>
          </c:cat>
          <c:val>
            <c:numRef>
              <c:f>'1L'!$F$5:$L$5</c:f>
              <c:numCache>
                <c:formatCode>#,##0</c:formatCode>
                <c:ptCount val="7"/>
                <c:pt idx="0">
                  <c:v>37648</c:v>
                </c:pt>
                <c:pt idx="1">
                  <c:v>72079</c:v>
                </c:pt>
                <c:pt idx="2">
                  <c:v>100266</c:v>
                </c:pt>
                <c:pt idx="3">
                  <c:v>78922</c:v>
                </c:pt>
                <c:pt idx="4">
                  <c:v>53578</c:v>
                </c:pt>
                <c:pt idx="5">
                  <c:v>29185</c:v>
                </c:pt>
                <c:pt idx="6">
                  <c:v>47301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680000"/>
        <c:axId val="115682304"/>
      </c:barChart>
      <c:catAx>
        <c:axId val="115680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sv-SE"/>
          </a:p>
        </c:txPr>
        <c:crossAx val="115682304"/>
        <c:crosses val="autoZero"/>
        <c:auto val="1"/>
        <c:lblAlgn val="ctr"/>
        <c:lblOffset val="100"/>
        <c:noMultiLvlLbl val="0"/>
      </c:catAx>
      <c:valAx>
        <c:axId val="115682304"/>
        <c:scaling>
          <c:orientation val="minMax"/>
        </c:scaling>
        <c:delete val="1"/>
        <c:axPos val="l"/>
        <c:majorGridlines>
          <c:spPr>
            <a:ln>
              <a:noFill/>
            </a:ln>
          </c:spPr>
        </c:majorGridlines>
        <c:numFmt formatCode="#,##0" sourceLinked="1"/>
        <c:majorTickMark val="out"/>
        <c:minorTickMark val="none"/>
        <c:tickLblPos val="nextTo"/>
        <c:crossAx val="115680000"/>
        <c:crosses val="autoZero"/>
        <c:crossBetween val="between"/>
      </c:valAx>
      <c:spPr>
        <a:noFill/>
      </c:spPr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-tema">
  <a:themeElements>
    <a:clrScheme name="For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A1DE"/>
      </a:accent1>
      <a:accent2>
        <a:srgbClr val="DD4814"/>
      </a:accent2>
      <a:accent3>
        <a:srgbClr val="F0AB00"/>
      </a:accent3>
      <a:accent4>
        <a:srgbClr val="009B3A"/>
      </a:accent4>
      <a:accent5>
        <a:srgbClr val="8996A0"/>
      </a:accent5>
      <a:accent6>
        <a:srgbClr val="92D400"/>
      </a:accent6>
      <a:hlink>
        <a:srgbClr val="0000FF"/>
      </a:hlink>
      <a:folHlink>
        <a:srgbClr val="800080"/>
      </a:folHlink>
    </a:clrScheme>
    <a:fontScheme name="Fora">
      <a:majorFont>
        <a:latin typeface="Arial Black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598B3-0A1F-4A4E-A0A1-FB78F6E7B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433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Fora AB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Westerdahl</dc:creator>
  <cp:lastModifiedBy>Louise Westerdahl</cp:lastModifiedBy>
  <cp:revision>8</cp:revision>
  <cp:lastPrinted>2015-08-24T10:37:00Z</cp:lastPrinted>
  <dcterms:created xsi:type="dcterms:W3CDTF">2015-08-27T13:03:00Z</dcterms:created>
  <dcterms:modified xsi:type="dcterms:W3CDTF">2015-08-31T14:16:00Z</dcterms:modified>
</cp:coreProperties>
</file>