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8" w:rsidRPr="00B249FD" w:rsidRDefault="009545EE" w:rsidP="003E5918">
      <w:pPr>
        <w:pStyle w:val="VisaDocumentname"/>
        <w:rPr>
          <w:rFonts w:cs="Segoe UI"/>
          <w:color w:val="0023A0"/>
          <w:lang w:val="fr-BE"/>
        </w:rPr>
      </w:pPr>
      <w:r w:rsidRPr="00B249FD">
        <w:rPr>
          <w:rFonts w:cs="Segoe UI"/>
          <w:color w:val="0023A0"/>
          <w:lang w:val="fr-BE"/>
        </w:rPr>
        <w:t>COMUNICAT DE PRESă</w:t>
      </w:r>
      <w:r w:rsidR="003E5918" w:rsidRPr="003E5918">
        <w:rPr>
          <w:rFonts w:cs="Segoe UI"/>
          <w:noProof/>
          <w:color w:val="0023A0"/>
        </w:rPr>
        <w:drawing>
          <wp:anchor distT="0" distB="0" distL="114300" distR="114300" simplePos="0" relativeHeight="251661312" behindDoc="0" locked="0" layoutInCell="1" allowOverlap="1" wp14:anchorId="24422A0F" wp14:editId="1954555F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9FD" w:rsidRPr="00B249FD" w:rsidRDefault="00AA13AE" w:rsidP="00BD2343">
      <w:pPr>
        <w:pStyle w:val="VisaHeadline"/>
        <w:jc w:val="center"/>
        <w:rPr>
          <w:rFonts w:eastAsia="Gulim" w:cs="Segoe UI"/>
          <w:color w:val="0023A0"/>
          <w:sz w:val="37"/>
          <w:szCs w:val="37"/>
          <w:lang w:val="fr-BE" w:eastAsia="ko-KR"/>
        </w:rPr>
      </w:pPr>
      <w:proofErr w:type="spellStart"/>
      <w:r w:rsidRPr="00B249FD">
        <w:rPr>
          <w:rFonts w:eastAsia="Gulim" w:cs="Segoe UI"/>
          <w:color w:val="0023A0"/>
          <w:sz w:val="37"/>
          <w:szCs w:val="37"/>
          <w:lang w:val="fr-BE" w:eastAsia="ko-KR"/>
        </w:rPr>
        <w:t>Studiu</w:t>
      </w:r>
      <w:proofErr w:type="spellEnd"/>
      <w:r w:rsidRPr="00B249FD">
        <w:rPr>
          <w:rFonts w:eastAsia="Gulim" w:cs="Segoe UI"/>
          <w:color w:val="0023A0"/>
          <w:sz w:val="37"/>
          <w:szCs w:val="37"/>
          <w:lang w:val="fr-BE" w:eastAsia="ko-KR"/>
        </w:rPr>
        <w:t xml:space="preserve"> Visa: </w:t>
      </w:r>
      <w:r w:rsidR="00B249FD" w:rsidRPr="00B249FD">
        <w:rPr>
          <w:rFonts w:eastAsia="Gulim" w:cs="Segoe UI"/>
          <w:color w:val="0023A0"/>
          <w:sz w:val="37"/>
          <w:szCs w:val="37"/>
          <w:lang w:val="fr-BE" w:eastAsia="ko-KR"/>
        </w:rPr>
        <w:t xml:space="preserve">Peste 280 </w:t>
      </w:r>
      <w:proofErr w:type="spellStart"/>
      <w:r w:rsidR="00B249FD" w:rsidRPr="00B249FD">
        <w:rPr>
          <w:rFonts w:eastAsia="Gulim" w:cs="Segoe UI"/>
          <w:color w:val="0023A0"/>
          <w:sz w:val="37"/>
          <w:szCs w:val="37"/>
          <w:lang w:val="fr-BE" w:eastAsia="ko-KR"/>
        </w:rPr>
        <w:t>milioane</w:t>
      </w:r>
      <w:proofErr w:type="spellEnd"/>
      <w:r w:rsidR="00B249FD" w:rsidRPr="00B249FD">
        <w:rPr>
          <w:rFonts w:eastAsia="Gulim" w:cs="Segoe UI"/>
          <w:color w:val="0023A0"/>
          <w:sz w:val="37"/>
          <w:szCs w:val="37"/>
          <w:lang w:val="fr-BE" w:eastAsia="ko-KR"/>
        </w:rPr>
        <w:t xml:space="preserve"> de </w:t>
      </w:r>
      <w:proofErr w:type="spellStart"/>
      <w:r w:rsidR="00B249FD" w:rsidRPr="00B249FD">
        <w:rPr>
          <w:rFonts w:eastAsia="Gulim" w:cs="Segoe UI"/>
          <w:color w:val="0023A0"/>
          <w:sz w:val="37"/>
          <w:szCs w:val="37"/>
          <w:lang w:val="fr-BE" w:eastAsia="ko-KR"/>
        </w:rPr>
        <w:t>gospodării</w:t>
      </w:r>
      <w:proofErr w:type="spellEnd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 xml:space="preserve"> vor </w:t>
      </w:r>
      <w:proofErr w:type="spellStart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>plănui</w:t>
      </w:r>
      <w:proofErr w:type="spellEnd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 xml:space="preserve"> să </w:t>
      </w:r>
      <w:proofErr w:type="spellStart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>călătorească</w:t>
      </w:r>
      <w:proofErr w:type="spellEnd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 xml:space="preserve"> </w:t>
      </w:r>
      <w:proofErr w:type="spellStart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>în</w:t>
      </w:r>
      <w:proofErr w:type="spellEnd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 xml:space="preserve"> </w:t>
      </w:r>
      <w:proofErr w:type="spellStart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>străinătate</w:t>
      </w:r>
      <w:proofErr w:type="spellEnd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 xml:space="preserve"> </w:t>
      </w:r>
      <w:proofErr w:type="spellStart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>până</w:t>
      </w:r>
      <w:proofErr w:type="spellEnd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 xml:space="preserve"> </w:t>
      </w:r>
      <w:proofErr w:type="spellStart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>în</w:t>
      </w:r>
      <w:proofErr w:type="spellEnd"/>
      <w:r w:rsidR="00B249FD">
        <w:rPr>
          <w:rFonts w:eastAsia="Gulim" w:cs="Segoe UI"/>
          <w:color w:val="0023A0"/>
          <w:sz w:val="37"/>
          <w:szCs w:val="37"/>
          <w:lang w:val="fr-BE" w:eastAsia="ko-KR"/>
        </w:rPr>
        <w:t xml:space="preserve"> 2025</w:t>
      </w:r>
    </w:p>
    <w:p w:rsidR="00A62264" w:rsidRPr="006D3816" w:rsidRDefault="00A62264" w:rsidP="00A62264">
      <w:pPr>
        <w:pStyle w:val="VisaHeadLevelOne"/>
        <w:rPr>
          <w:lang w:val="fr-BE"/>
        </w:rPr>
      </w:pPr>
      <w:proofErr w:type="spellStart"/>
      <w:r w:rsidRPr="006D3816">
        <w:rPr>
          <w:rFonts w:eastAsia="MS Gothic"/>
          <w:lang w:val="fr-BE"/>
        </w:rPr>
        <w:t>Românii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preferă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tot</w:t>
      </w:r>
      <w:proofErr w:type="spellEnd"/>
      <w:r w:rsidRPr="006D3816">
        <w:rPr>
          <w:rFonts w:eastAsia="MS Gothic"/>
          <w:lang w:val="fr-BE"/>
        </w:rPr>
        <w:t xml:space="preserve"> ma</w:t>
      </w:r>
      <w:r w:rsidR="006D3816" w:rsidRPr="006D3816">
        <w:rPr>
          <w:rFonts w:eastAsia="MS Gothic"/>
          <w:lang w:val="fr-BE"/>
        </w:rPr>
        <w:t xml:space="preserve">i </w:t>
      </w:r>
      <w:proofErr w:type="spellStart"/>
      <w:r w:rsidR="006D3816" w:rsidRPr="006D3816">
        <w:rPr>
          <w:rFonts w:eastAsia="MS Gothic"/>
          <w:lang w:val="fr-BE"/>
        </w:rPr>
        <w:t>mult</w:t>
      </w:r>
      <w:proofErr w:type="spellEnd"/>
      <w:r w:rsidR="006D3816" w:rsidRPr="006D3816">
        <w:rPr>
          <w:rFonts w:eastAsia="MS Gothic"/>
          <w:lang w:val="fr-BE"/>
        </w:rPr>
        <w:t xml:space="preserve"> să </w:t>
      </w:r>
      <w:proofErr w:type="spellStart"/>
      <w:r w:rsidR="006D3816" w:rsidRPr="006D3816">
        <w:rPr>
          <w:rFonts w:eastAsia="MS Gothic"/>
          <w:lang w:val="fr-BE"/>
        </w:rPr>
        <w:t>plătească</w:t>
      </w:r>
      <w:proofErr w:type="spellEnd"/>
      <w:r w:rsidR="006D3816" w:rsidRPr="006D3816">
        <w:rPr>
          <w:rFonts w:eastAsia="MS Gothic"/>
          <w:lang w:val="fr-BE"/>
        </w:rPr>
        <w:t xml:space="preserve"> </w:t>
      </w:r>
      <w:proofErr w:type="spellStart"/>
      <w:r w:rsidR="006D3816" w:rsidRPr="006D3816">
        <w:rPr>
          <w:rFonts w:eastAsia="MS Gothic"/>
          <w:lang w:val="fr-BE"/>
        </w:rPr>
        <w:t>cu</w:t>
      </w:r>
      <w:proofErr w:type="spellEnd"/>
      <w:r w:rsidR="006D3816" w:rsidRPr="006D3816">
        <w:rPr>
          <w:rFonts w:eastAsia="MS Gothic"/>
          <w:lang w:val="fr-BE"/>
        </w:rPr>
        <w:t xml:space="preserve"> </w:t>
      </w:r>
      <w:proofErr w:type="spellStart"/>
      <w:r w:rsidR="006D3816" w:rsidRPr="006D3816">
        <w:rPr>
          <w:rFonts w:eastAsia="MS Gothic"/>
          <w:lang w:val="fr-BE"/>
        </w:rPr>
        <w:t>cardul</w:t>
      </w:r>
      <w:proofErr w:type="spellEnd"/>
      <w:r w:rsidR="006D3816" w:rsidRPr="006D3816">
        <w:rPr>
          <w:rFonts w:eastAsia="MS Gothic"/>
          <w:lang w:val="fr-BE"/>
        </w:rPr>
        <w:t xml:space="preserve"> </w:t>
      </w:r>
      <w:proofErr w:type="spellStart"/>
      <w:r w:rsidR="006D3816" w:rsidRPr="006D3816">
        <w:rPr>
          <w:rFonts w:eastAsia="MS Gothic"/>
          <w:lang w:val="fr-BE"/>
        </w:rPr>
        <w:t>în</w:t>
      </w:r>
      <w:proofErr w:type="spellEnd"/>
      <w:r w:rsidRPr="006D3816">
        <w:rPr>
          <w:rFonts w:eastAsia="MS Gothic"/>
          <w:lang w:val="fr-BE"/>
        </w:rPr>
        <w:t xml:space="preserve"> magazine </w:t>
      </w:r>
      <w:proofErr w:type="spellStart"/>
      <w:r w:rsidRPr="006D3816">
        <w:rPr>
          <w:rFonts w:eastAsia="MS Gothic"/>
          <w:lang w:val="fr-BE"/>
        </w:rPr>
        <w:t>şi</w:t>
      </w:r>
      <w:proofErr w:type="spellEnd"/>
      <w:r w:rsidRPr="006D3816">
        <w:rPr>
          <w:rFonts w:eastAsia="MS Gothic"/>
          <w:lang w:val="fr-BE"/>
        </w:rPr>
        <w:t xml:space="preserve"> să </w:t>
      </w:r>
      <w:proofErr w:type="spellStart"/>
      <w:r w:rsidRPr="006D3816">
        <w:rPr>
          <w:rFonts w:eastAsia="MS Gothic"/>
          <w:lang w:val="fr-BE"/>
        </w:rPr>
        <w:t>retragă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bani</w:t>
      </w:r>
      <w:proofErr w:type="spellEnd"/>
      <w:r w:rsidRPr="006D3816">
        <w:rPr>
          <w:rFonts w:eastAsia="MS Gothic"/>
          <w:lang w:val="fr-BE"/>
        </w:rPr>
        <w:t xml:space="preserve"> de la </w:t>
      </w:r>
      <w:proofErr w:type="spellStart"/>
      <w:r w:rsidRPr="006D3816">
        <w:rPr>
          <w:rFonts w:eastAsia="MS Gothic"/>
          <w:lang w:val="fr-BE"/>
        </w:rPr>
        <w:t>bancomate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când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călătoresc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în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străinătate</w:t>
      </w:r>
      <w:proofErr w:type="spellEnd"/>
      <w:r w:rsidRPr="006D3816">
        <w:rPr>
          <w:rFonts w:eastAsia="MS Gothic"/>
          <w:lang w:val="fr-BE"/>
        </w:rPr>
        <w:t xml:space="preserve">, </w:t>
      </w:r>
      <w:proofErr w:type="spellStart"/>
      <w:r w:rsidRPr="006D3816">
        <w:rPr>
          <w:rFonts w:eastAsia="MS Gothic"/>
          <w:lang w:val="fr-BE"/>
        </w:rPr>
        <w:t>comportament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similar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cu</w:t>
      </w:r>
      <w:proofErr w:type="spellEnd"/>
      <w:r w:rsidRPr="006D3816">
        <w:rPr>
          <w:rFonts w:eastAsia="MS Gothic"/>
          <w:lang w:val="fr-BE"/>
        </w:rPr>
        <w:t xml:space="preserve"> al </w:t>
      </w:r>
      <w:proofErr w:type="spellStart"/>
      <w:r w:rsidRPr="006D3816">
        <w:rPr>
          <w:rFonts w:eastAsia="MS Gothic"/>
          <w:lang w:val="fr-BE"/>
        </w:rPr>
        <w:t>turiştilor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străini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în</w:t>
      </w:r>
      <w:proofErr w:type="spellEnd"/>
      <w:r w:rsidRPr="006D3816">
        <w:rPr>
          <w:rFonts w:eastAsia="MS Gothic"/>
          <w:lang w:val="fr-BE"/>
        </w:rPr>
        <w:t xml:space="preserve"> </w:t>
      </w:r>
      <w:proofErr w:type="spellStart"/>
      <w:r w:rsidRPr="006D3816">
        <w:rPr>
          <w:rFonts w:eastAsia="MS Gothic"/>
          <w:lang w:val="fr-BE"/>
        </w:rPr>
        <w:t>România</w:t>
      </w:r>
      <w:proofErr w:type="spellEnd"/>
      <w:r w:rsidRPr="006D3816">
        <w:rPr>
          <w:rFonts w:eastAsia="MS Gothic"/>
          <w:lang w:val="fr-BE"/>
        </w:rPr>
        <w:t>.</w:t>
      </w:r>
    </w:p>
    <w:p w:rsidR="0047336A" w:rsidRPr="006D3816" w:rsidRDefault="0047336A" w:rsidP="00A62264">
      <w:pPr>
        <w:pStyle w:val="VisaHeadLevelOne"/>
        <w:rPr>
          <w:lang w:val="fr-BE"/>
        </w:rPr>
      </w:pPr>
    </w:p>
    <w:p w:rsidR="00127ABD" w:rsidRPr="00DF6DBC" w:rsidRDefault="003E5918" w:rsidP="00BD2343">
      <w:pPr>
        <w:spacing w:line="312" w:lineRule="auto"/>
        <w:jc w:val="both"/>
        <w:rPr>
          <w:rFonts w:ascii="Segoe UI" w:hAnsi="Segoe UI" w:cs="Segoe UI"/>
          <w:sz w:val="20"/>
          <w:szCs w:val="20"/>
          <w:lang w:val="fr-BE"/>
        </w:rPr>
      </w:pPr>
      <w:r w:rsidRPr="003E5918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9AA9D3" wp14:editId="1971C17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D2343" w:rsidRPr="00DF6DBC">
        <w:rPr>
          <w:rFonts w:ascii="Segoe UI" w:hAnsi="Segoe UI" w:cs="Segoe UI"/>
          <w:b/>
          <w:sz w:val="20"/>
          <w:szCs w:val="20"/>
          <w:lang w:val="fr-BE"/>
        </w:rPr>
        <w:t>Bucure</w:t>
      </w:r>
      <w:proofErr w:type="spellEnd"/>
      <w:r w:rsidR="00BD2343">
        <w:rPr>
          <w:rFonts w:ascii="Segoe UI" w:hAnsi="Segoe UI" w:cs="Segoe UI"/>
          <w:b/>
          <w:sz w:val="20"/>
          <w:szCs w:val="20"/>
          <w:lang w:val="ro-RO"/>
        </w:rPr>
        <w:t>şti</w:t>
      </w:r>
      <w:r w:rsidRPr="00DF6DBC">
        <w:rPr>
          <w:rFonts w:ascii="Segoe UI" w:hAnsi="Segoe UI" w:cs="Segoe UI"/>
          <w:sz w:val="20"/>
          <w:szCs w:val="20"/>
          <w:lang w:val="fr-BE"/>
        </w:rPr>
        <w:t>,</w:t>
      </w:r>
      <w:r w:rsidRPr="00DF6DBC">
        <w:rPr>
          <w:rFonts w:ascii="Segoe UI" w:hAnsi="Segoe UI" w:cs="Segoe UI"/>
          <w:b/>
          <w:sz w:val="20"/>
          <w:szCs w:val="20"/>
          <w:lang w:val="fr-BE"/>
        </w:rPr>
        <w:t xml:space="preserve"> </w:t>
      </w:r>
      <w:r w:rsidR="00B249FD" w:rsidRPr="00DF6DBC">
        <w:rPr>
          <w:rFonts w:ascii="Segoe UI" w:hAnsi="Segoe UI" w:cs="Segoe UI"/>
          <w:b/>
          <w:sz w:val="20"/>
          <w:szCs w:val="20"/>
          <w:lang w:val="fr-BE"/>
        </w:rPr>
        <w:t>18</w:t>
      </w:r>
      <w:r w:rsidR="00BD2343" w:rsidRPr="00DF6DBC">
        <w:rPr>
          <w:rFonts w:ascii="Segoe UI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b/>
          <w:sz w:val="20"/>
          <w:szCs w:val="20"/>
          <w:lang w:val="fr-BE"/>
        </w:rPr>
        <w:t>iulie</w:t>
      </w:r>
      <w:proofErr w:type="spellEnd"/>
      <w:r w:rsidR="00BD2343" w:rsidRPr="00DF6DBC">
        <w:rPr>
          <w:rFonts w:ascii="Segoe UI" w:hAnsi="Segoe UI" w:cs="Segoe UI"/>
          <w:b/>
          <w:sz w:val="20"/>
          <w:szCs w:val="20"/>
          <w:lang w:val="fr-BE"/>
        </w:rPr>
        <w:t xml:space="preserve"> 2016</w:t>
      </w:r>
      <w:r w:rsidRPr="00DF6DBC">
        <w:rPr>
          <w:rFonts w:ascii="Segoe UI" w:hAnsi="Segoe UI" w:cs="Segoe UI"/>
          <w:sz w:val="20"/>
          <w:szCs w:val="20"/>
          <w:lang w:val="fr-BE"/>
        </w:rPr>
        <w:t xml:space="preserve"> –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Numărul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gospodăriilor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care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planifică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cel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puțin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o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călătorie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în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străinătate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în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fiecare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an va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crește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până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în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2025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cu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aproximativ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35%, la peste 280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milioane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de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gospodării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,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iar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cheltuielile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anuale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aferente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se vor majora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semnificativ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,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cu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peste 50%, la 1.350 </w:t>
      </w:r>
      <w:proofErr w:type="spellStart"/>
      <w:r w:rsidR="00BD2343" w:rsidRPr="00DF6DBC">
        <w:rPr>
          <w:rFonts w:ascii="Segoe UI" w:hAnsi="Segoe UI" w:cs="Segoe UI"/>
          <w:sz w:val="20"/>
          <w:szCs w:val="20"/>
          <w:lang w:val="fr-BE"/>
        </w:rPr>
        <w:t>miliarde</w:t>
      </w:r>
      <w:proofErr w:type="spellEnd"/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eu</w:t>
      </w:r>
      <w:r w:rsidR="00DF6DBC" w:rsidRPr="00DF6DBC">
        <w:rPr>
          <w:rFonts w:ascii="Segoe UI" w:hAnsi="Segoe UI" w:cs="Segoe UI"/>
          <w:sz w:val="20"/>
          <w:szCs w:val="20"/>
          <w:lang w:val="fr-BE"/>
        </w:rPr>
        <w:t>ro</w:t>
      </w:r>
      <w:r w:rsidR="00DF6DBC">
        <w:rPr>
          <w:rFonts w:ascii="Segoe UI" w:hAnsi="Segoe UI" w:cs="Segoe UI"/>
          <w:sz w:val="20"/>
          <w:szCs w:val="20"/>
          <w:lang w:val="fr-BE"/>
        </w:rPr>
        <w:t xml:space="preserve">, </w:t>
      </w:r>
      <w:proofErr w:type="spellStart"/>
      <w:r w:rsidR="00DF6DBC" w:rsidRPr="00DF6DBC">
        <w:rPr>
          <w:rFonts w:ascii="Segoe UI" w:hAnsi="Segoe UI" w:cs="Segoe UI"/>
          <w:sz w:val="20"/>
          <w:szCs w:val="20"/>
          <w:lang w:val="fr-BE"/>
        </w:rPr>
        <w:t>potrivit</w:t>
      </w:r>
      <w:proofErr w:type="spellEnd"/>
      <w:r w:rsidR="00DF6DBC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DF6DBC" w:rsidRPr="00DF6DBC">
        <w:rPr>
          <w:rFonts w:ascii="Segoe UI" w:hAnsi="Segoe UI" w:cs="Segoe UI"/>
          <w:sz w:val="20"/>
          <w:szCs w:val="20"/>
          <w:lang w:val="fr-BE"/>
        </w:rPr>
        <w:t>unui</w:t>
      </w:r>
      <w:proofErr w:type="spellEnd"/>
      <w:r w:rsidR="00DF6DBC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DF6DBC" w:rsidRPr="00DF6DBC">
        <w:rPr>
          <w:rFonts w:ascii="Segoe UI" w:hAnsi="Segoe UI" w:cs="Segoe UI"/>
          <w:sz w:val="20"/>
          <w:szCs w:val="20"/>
          <w:lang w:val="fr-BE"/>
        </w:rPr>
        <w:t>studiu</w:t>
      </w:r>
      <w:proofErr w:type="spellEnd"/>
      <w:r w:rsidR="00DF6DBC" w:rsidRPr="00DF6DBC">
        <w:rPr>
          <w:rFonts w:ascii="Segoe UI" w:hAnsi="Segoe UI" w:cs="Segoe UI"/>
          <w:sz w:val="20"/>
          <w:szCs w:val="20"/>
          <w:lang w:val="fr-BE"/>
        </w:rPr>
        <w:t xml:space="preserve"> Visa Inc. </w:t>
      </w:r>
      <w:proofErr w:type="spellStart"/>
      <w:r w:rsidR="00DF6DBC" w:rsidRPr="00DF6DBC">
        <w:rPr>
          <w:rFonts w:ascii="Segoe UI" w:hAnsi="Segoe UI" w:cs="Segoe UI"/>
          <w:sz w:val="20"/>
          <w:szCs w:val="20"/>
          <w:lang w:val="fr-BE"/>
        </w:rPr>
        <w:t>privind</w:t>
      </w:r>
      <w:proofErr w:type="spellEnd"/>
      <w:r w:rsidR="00DF6DBC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DF6DBC" w:rsidRPr="00DF6DBC">
        <w:rPr>
          <w:rFonts w:ascii="Segoe UI" w:hAnsi="Segoe UI" w:cs="Segoe UI"/>
          <w:sz w:val="20"/>
          <w:szCs w:val="20"/>
          <w:lang w:val="fr-BE"/>
        </w:rPr>
        <w:t>tendinţele</w:t>
      </w:r>
      <w:proofErr w:type="spellEnd"/>
      <w:r w:rsidR="00DF6DBC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DF6DBC" w:rsidRPr="00DF6DBC">
        <w:rPr>
          <w:rFonts w:ascii="Segoe UI" w:hAnsi="Segoe UI" w:cs="Segoe UI"/>
          <w:sz w:val="20"/>
          <w:szCs w:val="20"/>
          <w:lang w:val="fr-BE"/>
        </w:rPr>
        <w:t>şi</w:t>
      </w:r>
      <w:proofErr w:type="spellEnd"/>
      <w:r w:rsidR="00DF6DBC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DF6DBC" w:rsidRPr="00DF6DBC">
        <w:rPr>
          <w:rFonts w:ascii="Segoe UI" w:hAnsi="Segoe UI" w:cs="Segoe UI"/>
          <w:sz w:val="20"/>
          <w:szCs w:val="20"/>
          <w:lang w:val="fr-BE"/>
        </w:rPr>
        <w:t>dezvoltarea</w:t>
      </w:r>
      <w:proofErr w:type="spellEnd"/>
      <w:r w:rsidR="00DF6DBC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  <w:proofErr w:type="spellStart"/>
      <w:r w:rsidR="00DF6DBC" w:rsidRPr="00DF6DBC">
        <w:rPr>
          <w:rFonts w:ascii="Segoe UI" w:hAnsi="Segoe UI" w:cs="Segoe UI"/>
          <w:sz w:val="20"/>
          <w:szCs w:val="20"/>
          <w:lang w:val="fr-BE"/>
        </w:rPr>
        <w:t>turismului</w:t>
      </w:r>
      <w:proofErr w:type="spellEnd"/>
      <w:r w:rsidR="00DF6DBC" w:rsidRPr="00DF6DBC">
        <w:rPr>
          <w:rFonts w:ascii="Segoe UI" w:hAnsi="Segoe UI" w:cs="Segoe UI"/>
          <w:sz w:val="20"/>
          <w:szCs w:val="20"/>
          <w:lang w:val="fr-BE"/>
        </w:rPr>
        <w:t xml:space="preserve"> global. </w:t>
      </w:r>
      <w:r w:rsidR="00BD2343" w:rsidRPr="00DF6DBC">
        <w:rPr>
          <w:rFonts w:ascii="Segoe UI" w:hAnsi="Segoe UI" w:cs="Segoe UI"/>
          <w:sz w:val="20"/>
          <w:szCs w:val="20"/>
          <w:lang w:val="fr-BE"/>
        </w:rPr>
        <w:t xml:space="preserve"> </w:t>
      </w:r>
    </w:p>
    <w:p w:rsidR="00BD2343" w:rsidRPr="00DF6DBC" w:rsidRDefault="00BD2343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Astfel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cheltuielile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anuale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aferente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călătoriilor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străinătate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pentru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o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gospodărie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vor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ajunge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medie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la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aproape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4.800 euro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anul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2025. </w:t>
      </w:r>
      <w:r w:rsidR="00127ABD"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Studiul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Visa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estimează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că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principalii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factori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care vor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influenţa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următorii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zece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ani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turismul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la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nivel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global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sunt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dezvoltarea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clasei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mijloc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extinderea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accesului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la internet,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îmbunătăţirea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infrastructurii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de transport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creşterea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numărului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persoanelor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vârstnice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care au mai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mult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timp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pentru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 a </w:t>
      </w:r>
      <w:proofErr w:type="spellStart"/>
      <w:r w:rsidRPr="00DF6DBC">
        <w:rPr>
          <w:rFonts w:ascii="Segoe UI" w:eastAsia="MS Gothic" w:hAnsi="Segoe UI" w:cs="Segoe UI"/>
          <w:sz w:val="20"/>
          <w:szCs w:val="20"/>
          <w:lang w:val="fr-BE"/>
        </w:rPr>
        <w:t>călători</w:t>
      </w:r>
      <w:proofErr w:type="spellEnd"/>
      <w:r w:rsidRPr="00DF6DBC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bookmarkStart w:id="0" w:name="_GoBack"/>
      <w:bookmarkEnd w:id="0"/>
    </w:p>
    <w:p w:rsidR="0047336A" w:rsidRDefault="0095318A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  <w:r w:rsidRPr="00BD2343">
        <w:rPr>
          <w:rFonts w:ascii="Segoe UI" w:eastAsia="MS Gothic" w:hAnsi="Segoe UI" w:cs="Segoe UI"/>
          <w:sz w:val="20"/>
          <w:szCs w:val="20"/>
          <w:lang w:val="fr-BE"/>
        </w:rPr>
        <w:t>“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Turismul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internaţional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accesul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la internet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la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tehnologiile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inovatoare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schimbat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radical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percepţia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comportamentul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consumatorului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Dacă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înainte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românii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preferau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să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vină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valută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acasă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când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călătoreau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străinătate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acum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tot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mai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mulţi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dintre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aleg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r w:rsidR="0014251F">
        <w:rPr>
          <w:rFonts w:ascii="Segoe UI" w:eastAsia="MS Gothic" w:hAnsi="Segoe UI" w:cs="Segoe UI"/>
          <w:sz w:val="20"/>
          <w:szCs w:val="20"/>
          <w:lang w:val="fr-BE"/>
        </w:rPr>
        <w:t xml:space="preserve">să </w:t>
      </w:r>
      <w:proofErr w:type="spellStart"/>
      <w:r w:rsidR="0014251F">
        <w:rPr>
          <w:rFonts w:ascii="Segoe UI" w:eastAsia="MS Gothic" w:hAnsi="Segoe UI" w:cs="Segoe UI"/>
          <w:sz w:val="20"/>
          <w:szCs w:val="20"/>
          <w:lang w:val="fr-BE"/>
        </w:rPr>
        <w:t>plătească</w:t>
      </w:r>
      <w:proofErr w:type="spellEnd"/>
      <w:r w:rsidR="0014251F">
        <w:rPr>
          <w:rFonts w:ascii="Segoe UI" w:eastAsia="MS Gothic" w:hAnsi="Segoe UI" w:cs="Segoe UI"/>
          <w:sz w:val="20"/>
          <w:szCs w:val="20"/>
          <w:lang w:val="fr-BE"/>
        </w:rPr>
        <w:t xml:space="preserve"> direct </w:t>
      </w:r>
      <w:proofErr w:type="spellStart"/>
      <w:r w:rsidR="0014251F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="0014251F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14251F">
        <w:rPr>
          <w:rFonts w:ascii="Segoe UI" w:eastAsia="MS Gothic" w:hAnsi="Segoe UI" w:cs="Segoe UI"/>
          <w:sz w:val="20"/>
          <w:szCs w:val="20"/>
          <w:lang w:val="fr-BE"/>
        </w:rPr>
        <w:t>cardul</w:t>
      </w:r>
      <w:proofErr w:type="spellEnd"/>
      <w:r w:rsidR="0014251F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14251F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magazine</w:t>
      </w:r>
      <w:r w:rsidR="0047336A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să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retragă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bani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la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bancomate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ţările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destinaţie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atu</w:t>
      </w:r>
      <w:r>
        <w:rPr>
          <w:rFonts w:ascii="Segoe UI" w:eastAsia="MS Gothic" w:hAnsi="Segoe UI" w:cs="Segoe UI"/>
          <w:sz w:val="20"/>
          <w:szCs w:val="20"/>
          <w:lang w:val="fr-BE"/>
        </w:rPr>
        <w:t>nci</w:t>
      </w:r>
      <w:proofErr w:type="spellEnd"/>
      <w:r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>
        <w:rPr>
          <w:rFonts w:ascii="Segoe UI" w:eastAsia="MS Gothic" w:hAnsi="Segoe UI" w:cs="Segoe UI"/>
          <w:sz w:val="20"/>
          <w:szCs w:val="20"/>
          <w:lang w:val="fr-BE"/>
        </w:rPr>
        <w:t>când</w:t>
      </w:r>
      <w:proofErr w:type="spellEnd"/>
      <w:r>
        <w:rPr>
          <w:rFonts w:ascii="Segoe UI" w:eastAsia="MS Gothic" w:hAnsi="Segoe UI" w:cs="Segoe UI"/>
          <w:sz w:val="20"/>
          <w:szCs w:val="20"/>
          <w:lang w:val="fr-BE"/>
        </w:rPr>
        <w:t xml:space="preserve"> au </w:t>
      </w:r>
      <w:proofErr w:type="spellStart"/>
      <w:r>
        <w:rPr>
          <w:rFonts w:ascii="Segoe UI" w:eastAsia="MS Gothic" w:hAnsi="Segoe UI" w:cs="Segoe UI"/>
          <w:sz w:val="20"/>
          <w:szCs w:val="20"/>
          <w:lang w:val="fr-BE"/>
        </w:rPr>
        <w:t>nevoie</w:t>
      </w:r>
      <w:proofErr w:type="spellEnd"/>
      <w:r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>
        <w:rPr>
          <w:rFonts w:ascii="Segoe UI" w:eastAsia="MS Gothic" w:hAnsi="Segoe UI" w:cs="Segoe UI"/>
          <w:sz w:val="20"/>
          <w:szCs w:val="20"/>
          <w:lang w:val="fr-BE"/>
        </w:rPr>
        <w:t>numerar</w:t>
      </w:r>
      <w:proofErr w:type="spellEnd"/>
      <w:r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Anul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trecut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românii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care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călătorit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afara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ţării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realizat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plăţi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cardul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valoare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5,3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miliarde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lei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retras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la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bancomate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peste 3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miliarde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lei. </w:t>
      </w:r>
    </w:p>
    <w:p w:rsidR="0095318A" w:rsidRPr="00127ABD" w:rsidRDefault="0095318A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Comportamentul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plată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este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similar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cel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al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străinilor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care vin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România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-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valoarea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medie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unei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plăţi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cardul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străinătate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este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57 euro (254 lei),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iar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suma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medie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retrasă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la ATM este de 182 euro (810 lei).</w:t>
      </w:r>
      <w:r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comparaţie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turiștii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străini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România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plătesc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medie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cardul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53 de euro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retrag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la ATM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suma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medie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155 de euro</w:t>
      </w:r>
      <w:r w:rsidR="001422B4">
        <w:rPr>
          <w:rStyle w:val="FootnoteReference"/>
          <w:rFonts w:ascii="Segoe UI" w:eastAsia="MS Gothic" w:hAnsi="Segoe UI" w:cs="Segoe UI"/>
          <w:sz w:val="20"/>
          <w:szCs w:val="20"/>
          <w:lang w:val="fr-BE"/>
        </w:rPr>
        <w:footnoteReference w:id="1"/>
      </w: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”, </w:t>
      </w:r>
      <w:proofErr w:type="gram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</w:t>
      </w:r>
      <w:proofErr w:type="gram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declarat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r w:rsidR="00A62264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Cătălin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Creţu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director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general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pentru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România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Croaţia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, Malta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Slovenia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, Visa Europe</w:t>
      </w:r>
      <w:r w:rsidRPr="00BD2343">
        <w:rPr>
          <w:rFonts w:ascii="Segoe UI" w:eastAsia="MS Gothic" w:hAnsi="Segoe UI" w:cs="Segoe UI"/>
          <w:sz w:val="20"/>
          <w:szCs w:val="20"/>
          <w:lang w:val="fr-BE"/>
        </w:rPr>
        <w:t>.</w:t>
      </w:r>
    </w:p>
    <w:p w:rsidR="00BD2343" w:rsidRDefault="00BD2343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  <w:r w:rsidRPr="00BD2343">
        <w:rPr>
          <w:rFonts w:ascii="Segoe UI" w:eastAsia="MS Gothic" w:hAnsi="Segoe UI" w:cs="Segoe UI"/>
          <w:sz w:val="20"/>
          <w:szCs w:val="20"/>
          <w:lang w:val="fr-BE"/>
        </w:rPr>
        <w:t>“</w:t>
      </w:r>
      <w:proofErr w:type="spellStart"/>
      <w:r w:rsidR="0095318A">
        <w:rPr>
          <w:rFonts w:ascii="Segoe UI" w:eastAsia="MS Gothic" w:hAnsi="Segoe UI" w:cs="Segoe UI"/>
          <w:sz w:val="20"/>
          <w:szCs w:val="20"/>
          <w:lang w:val="fr-BE"/>
        </w:rPr>
        <w:t>Vom</w:t>
      </w:r>
      <w:proofErr w:type="spellEnd"/>
      <w:r w:rsidR="0095318A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95318A">
        <w:rPr>
          <w:rFonts w:ascii="Segoe UI" w:eastAsia="MS Gothic" w:hAnsi="Segoe UI" w:cs="Segoe UI"/>
          <w:sz w:val="20"/>
          <w:szCs w:val="20"/>
          <w:lang w:val="fr-BE"/>
        </w:rPr>
        <w:t>asista</w:t>
      </w:r>
      <w:proofErr w:type="spellEnd"/>
      <w:r w:rsidR="0095318A">
        <w:rPr>
          <w:rFonts w:ascii="Segoe UI" w:eastAsia="MS Gothic" w:hAnsi="Segoe UI" w:cs="Segoe UI"/>
          <w:sz w:val="20"/>
          <w:szCs w:val="20"/>
          <w:lang w:val="fr-BE"/>
        </w:rPr>
        <w:t xml:space="preserve"> la </w:t>
      </w:r>
      <w:proofErr w:type="spellStart"/>
      <w:r w:rsidR="0095318A">
        <w:rPr>
          <w:rFonts w:ascii="Segoe UI" w:eastAsia="MS Gothic" w:hAnsi="Segoe UI" w:cs="Segoe UI"/>
          <w:sz w:val="20"/>
          <w:szCs w:val="20"/>
          <w:lang w:val="fr-BE"/>
        </w:rPr>
        <w:t>formarea</w:t>
      </w:r>
      <w:proofErr w:type="spellEnd"/>
      <w:r w:rsidR="0095318A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95318A">
        <w:rPr>
          <w:rFonts w:ascii="Segoe UI" w:eastAsia="MS Gothic" w:hAnsi="Segoe UI" w:cs="Segoe UI"/>
          <w:sz w:val="20"/>
          <w:szCs w:val="20"/>
          <w:lang w:val="fr-BE"/>
        </w:rPr>
        <w:t>unei</w:t>
      </w:r>
      <w:proofErr w:type="spellEnd"/>
      <w:r w:rsidR="0095318A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95318A">
        <w:rPr>
          <w:rFonts w:ascii="Segoe UI" w:eastAsia="MS Gothic" w:hAnsi="Segoe UI" w:cs="Segoe UI"/>
          <w:sz w:val="20"/>
          <w:szCs w:val="20"/>
          <w:lang w:val="fr-BE"/>
        </w:rPr>
        <w:t>categorii</w:t>
      </w:r>
      <w:proofErr w:type="spellEnd"/>
      <w:r w:rsidR="0095318A">
        <w:rPr>
          <w:rFonts w:ascii="Segoe UI" w:eastAsia="MS Gothic" w:hAnsi="Segoe UI" w:cs="Segoe UI"/>
          <w:sz w:val="20"/>
          <w:szCs w:val="20"/>
          <w:lang w:val="fr-BE"/>
        </w:rPr>
        <w:t xml:space="preserve"> mai </w:t>
      </w:r>
      <w:proofErr w:type="spellStart"/>
      <w:r w:rsidR="0095318A">
        <w:rPr>
          <w:rFonts w:ascii="Segoe UI" w:eastAsia="MS Gothic" w:hAnsi="Segoe UI" w:cs="Segoe UI"/>
          <w:sz w:val="20"/>
          <w:szCs w:val="20"/>
          <w:lang w:val="fr-BE"/>
        </w:rPr>
        <w:t>extinse</w:t>
      </w:r>
      <w:proofErr w:type="spellEnd"/>
      <w:r w:rsidR="0095318A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="0095318A">
        <w:rPr>
          <w:rFonts w:ascii="Segoe UI" w:eastAsia="MS Gothic" w:hAnsi="Segoe UI" w:cs="Segoe UI"/>
          <w:sz w:val="20"/>
          <w:szCs w:val="20"/>
          <w:lang w:val="fr-BE"/>
        </w:rPr>
        <w:t>turişti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iar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cheltuielile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străinătate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vor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avea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o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pondere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mai mare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veniturile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gospodăriilor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Probabil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această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categorie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va fi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formată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persoane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mai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vârstă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originare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state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emergente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care se vor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diferenția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foarte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mult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profilul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actual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al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călătorului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”, 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declarat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Wayne Best,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economist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şef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al Visa Inc</w:t>
      </w:r>
      <w:r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</w:p>
    <w:p w:rsidR="0014251F" w:rsidRPr="00BD2343" w:rsidRDefault="0014251F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</w:p>
    <w:p w:rsidR="00BD2343" w:rsidRPr="00BD2343" w:rsidRDefault="00BD2343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  <w:proofErr w:type="spellStart"/>
      <w:r w:rsidRPr="009545EE">
        <w:rPr>
          <w:rFonts w:ascii="Segoe UI" w:eastAsia="MS Gothic" w:hAnsi="Segoe UI" w:cs="Segoe UI"/>
          <w:b/>
          <w:sz w:val="20"/>
          <w:szCs w:val="20"/>
          <w:lang w:val="fr-BE"/>
        </w:rPr>
        <w:t>Concluzii</w:t>
      </w:r>
      <w:proofErr w:type="spellEnd"/>
      <w:r w:rsidRPr="009545EE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9545EE">
        <w:rPr>
          <w:rFonts w:ascii="Segoe UI" w:eastAsia="MS Gothic" w:hAnsi="Segoe UI" w:cs="Segoe UI"/>
          <w:b/>
          <w:sz w:val="20"/>
          <w:szCs w:val="20"/>
          <w:lang w:val="fr-BE"/>
        </w:rPr>
        <w:t>ale</w:t>
      </w:r>
      <w:proofErr w:type="spellEnd"/>
      <w:r w:rsidRPr="009545EE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9545EE">
        <w:rPr>
          <w:rFonts w:ascii="Segoe UI" w:eastAsia="MS Gothic" w:hAnsi="Segoe UI" w:cs="Segoe UI"/>
          <w:b/>
          <w:sz w:val="20"/>
          <w:szCs w:val="20"/>
          <w:lang w:val="fr-BE"/>
        </w:rPr>
        <w:t>studiului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>:</w:t>
      </w:r>
    </w:p>
    <w:p w:rsidR="003E5918" w:rsidRDefault="00BD2343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•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Apariţia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unei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noi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="009545EE">
        <w:rPr>
          <w:rFonts w:ascii="Segoe UI" w:eastAsia="MS Gothic" w:hAnsi="Segoe UI" w:cs="Segoe UI"/>
          <w:b/>
          <w:sz w:val="20"/>
          <w:szCs w:val="20"/>
          <w:lang w:val="fr-BE"/>
        </w:rPr>
        <w:t>categorii</w:t>
      </w:r>
      <w:proofErr w:type="spellEnd"/>
      <w:r w:rsidR="009545EE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de </w:t>
      </w:r>
      <w:proofErr w:type="spellStart"/>
      <w:r w:rsidR="009545EE">
        <w:rPr>
          <w:rFonts w:ascii="Segoe UI" w:eastAsia="MS Gothic" w:hAnsi="Segoe UI" w:cs="Segoe UI"/>
          <w:b/>
          <w:sz w:val="20"/>
          <w:szCs w:val="20"/>
          <w:lang w:val="fr-BE"/>
        </w:rPr>
        <w:t>turişti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:</w:t>
      </w: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Creşterea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veniturilor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întreaga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lume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creează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o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nouă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9545EE">
        <w:rPr>
          <w:rFonts w:ascii="Segoe UI" w:eastAsia="MS Gothic" w:hAnsi="Segoe UI" w:cs="Segoe UI"/>
          <w:sz w:val="20"/>
          <w:szCs w:val="20"/>
          <w:lang w:val="fr-BE"/>
        </w:rPr>
        <w:t>categorie</w:t>
      </w:r>
      <w:proofErr w:type="spellEnd"/>
      <w:r w:rsidR="009545EE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="009545EE">
        <w:rPr>
          <w:rFonts w:ascii="Segoe UI" w:eastAsia="MS Gothic" w:hAnsi="Segoe UI" w:cs="Segoe UI"/>
          <w:sz w:val="20"/>
          <w:szCs w:val="20"/>
          <w:lang w:val="fr-BE"/>
        </w:rPr>
        <w:t>persoane</w:t>
      </w:r>
      <w:proofErr w:type="spellEnd"/>
      <w:r w:rsidR="009545EE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pasionat</w:t>
      </w:r>
      <w:r w:rsidR="009545EE">
        <w:rPr>
          <w:rFonts w:ascii="Segoe UI" w:eastAsia="MS Gothic" w:hAnsi="Segoe UI" w:cs="Segoe UI"/>
          <w:sz w:val="20"/>
          <w:szCs w:val="20"/>
          <w:lang w:val="fr-BE"/>
        </w:rPr>
        <w:t>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călătorii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Potrivit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studiului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gospodăriile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un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venit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cel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puţin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18.000 de euro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an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generează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peste 90%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dintre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cheltuielile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turistice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actuale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la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nivel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internaţional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Până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2025, se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estimează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aproape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jumătate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total</w:t>
      </w:r>
      <w:r w:rsidR="009545EE">
        <w:rPr>
          <w:rFonts w:ascii="Segoe UI" w:eastAsia="MS Gothic" w:hAnsi="Segoe UI" w:cs="Segoe UI"/>
          <w:sz w:val="20"/>
          <w:szCs w:val="20"/>
          <w:lang w:val="fr-BE"/>
        </w:rPr>
        <w:t>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gospodării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la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nivel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mondial (945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milioane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) se va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apropia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acest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nivel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al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veniturilor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ceea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ce va stimula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dezvoltarea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turismului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global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implicit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creşterea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cheltuielilor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aferente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special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dinspre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segmentul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gospodăriil</w:t>
      </w:r>
      <w:r w:rsidR="005B06F1">
        <w:rPr>
          <w:rFonts w:ascii="Segoe UI" w:eastAsia="MS Gothic" w:hAnsi="Segoe UI" w:cs="Segoe UI"/>
          <w:sz w:val="20"/>
          <w:szCs w:val="20"/>
          <w:lang w:val="fr-BE"/>
        </w:rPr>
        <w:t>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piețele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emergente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cum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fi China,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Rusia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și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Brazilia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>.</w:t>
      </w:r>
    </w:p>
    <w:p w:rsidR="00BD2343" w:rsidRPr="00BD2343" w:rsidRDefault="00BD2343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•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Îmbătrânirea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populaţiei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: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Până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2025,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persoanele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vârste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peste 65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ani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vor </w:t>
      </w:r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face de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două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ori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mai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multe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călătorii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străinătate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ceea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gramStart"/>
      <w:r w:rsidR="005B06F1">
        <w:rPr>
          <w:rFonts w:ascii="Segoe UI" w:eastAsia="MS Gothic" w:hAnsi="Segoe UI" w:cs="Segoe UI"/>
          <w:sz w:val="20"/>
          <w:szCs w:val="20"/>
          <w:lang w:val="fr-BE"/>
        </w:rPr>
        <w:t>ce</w:t>
      </w:r>
      <w:proofErr w:type="gram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înseamnă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aproximativ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180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milioane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călătorii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Studiul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estimează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persoanele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vârstnice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vor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putea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permite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să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plece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călătorii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mai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lungi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un confort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sporit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la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costuri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mai mari.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Printre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alte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tendinţe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ce vor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lua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amploare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viitor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se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numără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turismul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medical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mai ales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pentru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populaţia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vârstă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 </w:t>
      </w:r>
    </w:p>
    <w:p w:rsidR="003E5918" w:rsidRDefault="00BD2343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• </w:t>
      </w: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Conectivitate</w:t>
      </w:r>
      <w:proofErr w:type="spellEnd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 xml:space="preserve"> mai mare</w:t>
      </w: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: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Efectele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cumulate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globalizării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și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tehnologiei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vor </w:t>
      </w:r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face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turismul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internaţional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mai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accesibil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Se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estimează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următorul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deceniu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se vor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construi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peste 340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aeroporturi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noi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ceea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ce va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crea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noi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rute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și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destinații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același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timp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informațiile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despre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opțiunile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turistice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s</w:t>
      </w:r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e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răspândesc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rapid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odată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="005B06F1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creş</w:t>
      </w:r>
      <w:r w:rsidRPr="00BD2343">
        <w:rPr>
          <w:rFonts w:ascii="Segoe UI" w:eastAsia="MS Gothic" w:hAnsi="Segoe UI" w:cs="Segoe UI"/>
          <w:sz w:val="20"/>
          <w:szCs w:val="20"/>
          <w:lang w:val="fr-BE"/>
        </w:rPr>
        <w:t>terea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accesului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la internet </w:t>
      </w:r>
      <w:proofErr w:type="spellStart"/>
      <w:r w:rsidR="005B06F1">
        <w:rPr>
          <w:rFonts w:ascii="Segoe UI" w:eastAsia="MS Gothic" w:hAnsi="Segoe UI" w:cs="Segoe UI"/>
          <w:sz w:val="20"/>
          <w:szCs w:val="20"/>
          <w:lang w:val="fr-BE"/>
        </w:rPr>
        <w:t>ş</w:t>
      </w:r>
      <w:r w:rsidRPr="00BD2343">
        <w:rPr>
          <w:rFonts w:ascii="Segoe UI" w:eastAsia="MS Gothic" w:hAnsi="Segoe UI" w:cs="Segoe UI"/>
          <w:sz w:val="20"/>
          <w:szCs w:val="20"/>
          <w:lang w:val="fr-BE"/>
        </w:rPr>
        <w:t>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numărului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dispozitive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mobile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întreaga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lume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</w:p>
    <w:p w:rsidR="00BD2343" w:rsidRDefault="00BD2343" w:rsidP="00BD2343">
      <w:pPr>
        <w:spacing w:line="312" w:lineRule="auto"/>
        <w:rPr>
          <w:rFonts w:ascii="Segoe UI" w:eastAsia="MS Gothic" w:hAnsi="Segoe UI" w:cs="Segoe UI"/>
          <w:sz w:val="20"/>
          <w:szCs w:val="20"/>
          <w:lang w:val="fr-BE"/>
        </w:rPr>
      </w:pP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Mai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multe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detalii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despre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datele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ţări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regiuni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pot</w:t>
      </w:r>
      <w:r>
        <w:rPr>
          <w:rFonts w:ascii="Segoe UI" w:eastAsia="MS Gothic" w:hAnsi="Segoe UI" w:cs="Segoe UI"/>
          <w:sz w:val="20"/>
          <w:szCs w:val="20"/>
          <w:lang w:val="fr-BE"/>
        </w:rPr>
        <w:t xml:space="preserve"> fi </w:t>
      </w:r>
      <w:proofErr w:type="spellStart"/>
      <w:r>
        <w:rPr>
          <w:rFonts w:ascii="Segoe UI" w:eastAsia="MS Gothic" w:hAnsi="Segoe UI" w:cs="Segoe UI"/>
          <w:sz w:val="20"/>
          <w:szCs w:val="20"/>
          <w:lang w:val="fr-BE"/>
        </w:rPr>
        <w:t>accesate</w:t>
      </w:r>
      <w:proofErr w:type="spellEnd"/>
      <w:r>
        <w:rPr>
          <w:rFonts w:ascii="Segoe UI" w:eastAsia="MS Gothic" w:hAnsi="Segoe UI" w:cs="Segoe UI"/>
          <w:sz w:val="20"/>
          <w:szCs w:val="20"/>
          <w:lang w:val="fr-BE"/>
        </w:rPr>
        <w:t xml:space="preserve"> la </w:t>
      </w:r>
      <w:hyperlink r:id="rId8" w:history="1">
        <w:r w:rsidRPr="00461D79">
          <w:rPr>
            <w:rStyle w:val="Hyperlink"/>
            <w:rFonts w:ascii="Segoe UI" w:eastAsia="MS Gothic" w:hAnsi="Segoe UI" w:cs="Segoe UI"/>
            <w:sz w:val="20"/>
            <w:szCs w:val="20"/>
            <w:lang w:val="fr-BE"/>
          </w:rPr>
          <w:t>www.visa.com/travelinsights</w:t>
        </w:r>
      </w:hyperlink>
      <w:r w:rsidR="003533E4">
        <w:rPr>
          <w:rStyle w:val="Hyperlink"/>
          <w:rFonts w:ascii="Segoe UI" w:eastAsia="MS Gothic" w:hAnsi="Segoe UI" w:cs="Segoe UI"/>
          <w:sz w:val="20"/>
          <w:szCs w:val="20"/>
          <w:lang w:val="fr-BE"/>
        </w:rPr>
        <w:t>.</w:t>
      </w:r>
      <w:r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</w:p>
    <w:p w:rsidR="00BD2343" w:rsidRDefault="00BD2343" w:rsidP="00BD2343">
      <w:pPr>
        <w:spacing w:line="312" w:lineRule="auto"/>
        <w:rPr>
          <w:rFonts w:ascii="Segoe UI" w:eastAsia="MS Gothic" w:hAnsi="Segoe UI" w:cs="Segoe UI"/>
          <w:b/>
          <w:sz w:val="20"/>
          <w:szCs w:val="20"/>
          <w:lang w:val="fr-BE"/>
        </w:rPr>
      </w:pPr>
      <w:proofErr w:type="spellStart"/>
      <w:r w:rsidRPr="00BD2343">
        <w:rPr>
          <w:rFonts w:ascii="Segoe UI" w:eastAsia="MS Gothic" w:hAnsi="Segoe UI" w:cs="Segoe UI"/>
          <w:b/>
          <w:sz w:val="20"/>
          <w:szCs w:val="20"/>
          <w:lang w:val="fr-BE"/>
        </w:rPr>
        <w:t>Metodologie</w:t>
      </w:r>
      <w:proofErr w:type="spellEnd"/>
    </w:p>
    <w:p w:rsidR="00BD2343" w:rsidRDefault="00BD2343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Visa 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estimat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numărul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gospodării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care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călătoresc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străinătate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comparând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numărul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deținătorilor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carduri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Visa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dintr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-o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anumită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țară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care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făcut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cel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puțin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o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plată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cardul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magazinele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fizice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străinătate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versus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numărul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total al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posesorilor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carduri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active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țara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respectivă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Cifrele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fost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ajustate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pentru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 fi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reprezentative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pentru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populația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țării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analizate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indiferent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metodele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plată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utilizate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gospodării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Tiparele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rezultate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fost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ulterior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folosite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previziunile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Oxford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Economics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pentru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studiu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>.</w:t>
      </w:r>
    </w:p>
    <w:p w:rsidR="00BD2343" w:rsidRDefault="00BD2343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Oxford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Economics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utilizat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datele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privind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vârsta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veniturile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turiştilor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internaţionali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dintr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-un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eşantion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10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ţări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care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participat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la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sondaj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pentru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 calcula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frecvenţa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ponderea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călătoriilor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funcţie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categoriile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vârstă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venituri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Rezultatele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fost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extrapolate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la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un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grup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mai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extins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ţări</w:t>
      </w:r>
      <w:proofErr w:type="spellEnd"/>
      <w:r w:rsidR="002D6F5B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2D6F5B">
        <w:rPr>
          <w:rFonts w:ascii="Segoe UI" w:eastAsia="MS Gothic" w:hAnsi="Segoe UI" w:cs="Segoe UI"/>
          <w:sz w:val="20"/>
          <w:szCs w:val="20"/>
          <w:lang w:val="fr-BE"/>
        </w:rPr>
        <w:t>pe</w:t>
      </w:r>
      <w:proofErr w:type="spellEnd"/>
      <w:r w:rsidR="002D6F5B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2D6F5B">
        <w:rPr>
          <w:rFonts w:ascii="Segoe UI" w:eastAsia="MS Gothic" w:hAnsi="Segoe UI" w:cs="Segoe UI"/>
          <w:sz w:val="20"/>
          <w:szCs w:val="20"/>
          <w:lang w:val="fr-BE"/>
        </w:rPr>
        <w:t>baza</w:t>
      </w:r>
      <w:proofErr w:type="spellEnd"/>
      <w:r w:rsidR="002D6F5B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2D6F5B">
        <w:rPr>
          <w:rFonts w:ascii="Segoe UI" w:eastAsia="MS Gothic" w:hAnsi="Segoe UI" w:cs="Segoe UI"/>
          <w:sz w:val="20"/>
          <w:szCs w:val="20"/>
          <w:lang w:val="fr-BE"/>
        </w:rPr>
        <w:t>clasificării</w:t>
      </w:r>
      <w:proofErr w:type="spellEnd"/>
      <w:r w:rsidR="002D6F5B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="002D6F5B">
        <w:rPr>
          <w:rFonts w:ascii="Segoe UI" w:eastAsia="MS Gothic" w:hAnsi="Segoe UI" w:cs="Segoe UI"/>
          <w:sz w:val="20"/>
          <w:szCs w:val="20"/>
          <w:lang w:val="fr-BE"/>
        </w:rPr>
        <w:t>lor</w:t>
      </w:r>
      <w:proofErr w:type="spellEnd"/>
      <w:r w:rsidR="002D6F5B">
        <w:rPr>
          <w:rFonts w:ascii="Segoe UI" w:eastAsia="MS Gothic" w:hAnsi="Segoe UI" w:cs="Segoe UI"/>
          <w:sz w:val="20"/>
          <w:szCs w:val="20"/>
          <w:lang w:val="fr-BE"/>
        </w:rPr>
        <w:t xml:space="preserve"> ca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pieţe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dezvoltate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sau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emergente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unor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variabile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importante,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precum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PIB-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cap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locuitor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numărul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total al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sosirilor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internaţionale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cap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locuitor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.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Ponderile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călătorii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estimate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au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fost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ulterior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comparate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distribuţia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venituri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vârstă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din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fiecare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ţară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pentru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crea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o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legătură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istorică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,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folosită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ca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bază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pentru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proiecţiile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privind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ponderile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călătoriilor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internaţionale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volumele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generate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în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funcţie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venituri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şi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categoria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de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vârstă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pentru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proofErr w:type="spellStart"/>
      <w:r w:rsidRPr="00BD2343">
        <w:rPr>
          <w:rFonts w:ascii="Segoe UI" w:eastAsia="MS Gothic" w:hAnsi="Segoe UI" w:cs="Segoe UI"/>
          <w:sz w:val="20"/>
          <w:szCs w:val="20"/>
          <w:lang w:val="fr-BE"/>
        </w:rPr>
        <w:t>perioada</w:t>
      </w:r>
      <w:proofErr w:type="spellEnd"/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</w:t>
      </w:r>
      <w:r w:rsidRPr="00EA50FB">
        <w:rPr>
          <w:rFonts w:ascii="Segoe UI" w:eastAsia="MS Gothic" w:hAnsi="Segoe UI" w:cs="Segoe UI"/>
          <w:sz w:val="20"/>
          <w:szCs w:val="20"/>
          <w:lang w:val="fr-BE"/>
        </w:rPr>
        <w:t>2005</w:t>
      </w:r>
      <w:r w:rsidRPr="00BD2343">
        <w:rPr>
          <w:rFonts w:ascii="Segoe UI" w:eastAsia="MS Gothic" w:hAnsi="Segoe UI" w:cs="Segoe UI"/>
          <w:sz w:val="20"/>
          <w:szCs w:val="20"/>
          <w:lang w:val="fr-BE"/>
        </w:rPr>
        <w:t xml:space="preserve"> - 2025.</w:t>
      </w:r>
    </w:p>
    <w:p w:rsidR="0014251F" w:rsidRPr="00BD2343" w:rsidRDefault="0014251F" w:rsidP="00BD2343">
      <w:pPr>
        <w:spacing w:line="312" w:lineRule="auto"/>
        <w:jc w:val="both"/>
        <w:rPr>
          <w:rFonts w:ascii="Segoe UI" w:eastAsia="MS Gothic" w:hAnsi="Segoe UI" w:cs="Segoe UI"/>
          <w:sz w:val="20"/>
          <w:szCs w:val="20"/>
          <w:lang w:val="fr-BE"/>
        </w:rPr>
      </w:pPr>
    </w:p>
    <w:p w:rsidR="003E5918" w:rsidRPr="00F7380F" w:rsidRDefault="003E5918" w:rsidP="003E5918">
      <w:pPr>
        <w:pStyle w:val="VisaBodyText"/>
        <w:spacing w:line="312" w:lineRule="auto"/>
        <w:jc w:val="center"/>
        <w:rPr>
          <w:rFonts w:cs="Segoe UI"/>
          <w:lang w:val="fr-BE"/>
        </w:rPr>
      </w:pPr>
      <w:r w:rsidRPr="00F7380F">
        <w:rPr>
          <w:rFonts w:cs="Segoe UI"/>
          <w:lang w:val="fr-BE"/>
        </w:rPr>
        <w:lastRenderedPageBreak/>
        <w:t>###</w:t>
      </w:r>
    </w:p>
    <w:p w:rsidR="00FD3ADF" w:rsidRDefault="00F7380F" w:rsidP="00FD3ADF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  <w:lang w:val="sv-SE" w:eastAsia="ko-K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sv-SE" w:eastAsia="ko-KR"/>
        </w:rPr>
        <w:t>Despre</w:t>
      </w:r>
      <w:r w:rsidR="00FD3ADF">
        <w:rPr>
          <w:rFonts w:ascii="Segoe UI" w:hAnsi="Segoe UI" w:cs="Segoe UI"/>
          <w:b/>
          <w:bCs/>
          <w:color w:val="000000"/>
          <w:sz w:val="20"/>
          <w:szCs w:val="20"/>
          <w:lang w:val="sv-SE" w:eastAsia="ko-KR"/>
        </w:rPr>
        <w:t xml:space="preserve"> Visa Inc.</w:t>
      </w:r>
    </w:p>
    <w:p w:rsidR="00BD2343" w:rsidRPr="00B61AD3" w:rsidRDefault="00BD2343" w:rsidP="00B61AD3">
      <w:pPr>
        <w:jc w:val="both"/>
        <w:rPr>
          <w:rFonts w:ascii="Segoe UI" w:hAnsi="Segoe UI" w:cs="Segoe UI"/>
          <w:sz w:val="20"/>
          <w:szCs w:val="20"/>
          <w:lang w:val="hu-HU"/>
        </w:rPr>
      </w:pPr>
      <w:r w:rsidRPr="00B61AD3">
        <w:rPr>
          <w:rFonts w:ascii="Segoe UI" w:hAnsi="Segoe UI" w:cs="Segoe UI"/>
          <w:color w:val="000000"/>
          <w:sz w:val="20"/>
          <w:szCs w:val="20"/>
          <w:lang w:val="hu-HU"/>
        </w:rPr>
        <w:t xml:space="preserve">Visa inc. </w:t>
      </w:r>
      <w:r w:rsidR="00127ABD" w:rsidRPr="00B61AD3">
        <w:rPr>
          <w:rFonts w:ascii="Segoe UI" w:hAnsi="Segoe UI" w:cs="Segoe UI"/>
          <w:color w:val="000000"/>
          <w:sz w:val="20"/>
          <w:szCs w:val="20"/>
          <w:lang w:val="hu-HU"/>
        </w:rPr>
        <w:t xml:space="preserve">(NYSE:V) </w:t>
      </w:r>
      <w:r w:rsidR="00127ABD" w:rsidRPr="00B61AD3">
        <w:rPr>
          <w:rFonts w:ascii="Segoe UI" w:hAnsi="Segoe UI" w:cs="Segoe UI"/>
          <w:sz w:val="20"/>
          <w:szCs w:val="20"/>
          <w:lang w:val="hu-HU"/>
        </w:rPr>
        <w:t>este o companie internaţională de tehnologii de plată care conectează consumatorii, companiile, instituţiile financiare şi guvernele din peste 200 de ţări şi teritor</w:t>
      </w:r>
      <w:r w:rsidR="00B61AD3">
        <w:rPr>
          <w:rFonts w:ascii="Segoe UI" w:hAnsi="Segoe UI" w:cs="Segoe UI"/>
          <w:sz w:val="20"/>
          <w:szCs w:val="20"/>
          <w:lang w:val="hu-HU"/>
        </w:rPr>
        <w:t>ii prin sisteme de</w:t>
      </w:r>
      <w:r w:rsidR="00127ABD" w:rsidRPr="00B61AD3">
        <w:rPr>
          <w:rFonts w:ascii="Segoe UI" w:hAnsi="Segoe UI" w:cs="Segoe UI"/>
          <w:sz w:val="20"/>
          <w:szCs w:val="20"/>
          <w:lang w:val="hu-HU"/>
        </w:rPr>
        <w:t xml:space="preserve"> plăţi electronice rapide, securizate şi </w:t>
      </w:r>
      <w:r w:rsidR="00B61AD3">
        <w:rPr>
          <w:rFonts w:ascii="Segoe UI" w:hAnsi="Segoe UI" w:cs="Segoe UI"/>
          <w:sz w:val="20"/>
          <w:szCs w:val="20"/>
          <w:lang w:val="hu-HU"/>
        </w:rPr>
        <w:t xml:space="preserve">fiabile. </w:t>
      </w:r>
      <w:r w:rsidR="00127ABD" w:rsidRPr="00B61AD3">
        <w:rPr>
          <w:rFonts w:ascii="Segoe UI" w:hAnsi="Segoe UI" w:cs="Segoe UI"/>
          <w:sz w:val="20"/>
          <w:szCs w:val="20"/>
          <w:lang w:val="hu-HU"/>
        </w:rPr>
        <w:t xml:space="preserve">Operăm </w:t>
      </w:r>
      <w:r w:rsidR="008A06C0" w:rsidRPr="00B61AD3">
        <w:rPr>
          <w:rFonts w:ascii="Segoe UI" w:hAnsi="Segoe UI" w:cs="Segoe UI"/>
          <w:sz w:val="20"/>
          <w:szCs w:val="20"/>
          <w:lang w:val="hu-HU"/>
        </w:rPr>
        <w:t xml:space="preserve">una dintre cele mai avansate reţele de procesare a plăţilor din lume – VisaNet – capabilă să proceseze peste 65.000 de tranzacţii pe secundă, asigurând protecţie împotriva fraudei pentru consumatori şi plăţi sigure pentru comercianţi. Visa nu este o bancă şi nu emite carduri, nu </w:t>
      </w:r>
      <w:r w:rsidR="00F7380F">
        <w:rPr>
          <w:rFonts w:ascii="Segoe UI" w:hAnsi="Segoe UI" w:cs="Segoe UI"/>
          <w:sz w:val="20"/>
          <w:szCs w:val="20"/>
          <w:lang w:val="hu-HU"/>
        </w:rPr>
        <w:t xml:space="preserve">acordă credite </w:t>
      </w:r>
      <w:r w:rsidR="008A06C0" w:rsidRPr="00B61AD3">
        <w:rPr>
          <w:rFonts w:ascii="Segoe UI" w:hAnsi="Segoe UI" w:cs="Segoe UI"/>
          <w:sz w:val="20"/>
          <w:szCs w:val="20"/>
          <w:lang w:val="hu-HU"/>
        </w:rPr>
        <w:t xml:space="preserve">şi nu stabileşte rate </w:t>
      </w:r>
      <w:r w:rsidR="00B61AD3">
        <w:rPr>
          <w:rFonts w:ascii="Segoe UI" w:hAnsi="Segoe UI" w:cs="Segoe UI"/>
          <w:sz w:val="20"/>
          <w:szCs w:val="20"/>
          <w:lang w:val="hu-HU"/>
        </w:rPr>
        <w:t>sau</w:t>
      </w:r>
      <w:r w:rsidR="008A06C0" w:rsidRPr="00B61AD3">
        <w:rPr>
          <w:rFonts w:ascii="Segoe UI" w:hAnsi="Segoe UI" w:cs="Segoe UI"/>
          <w:sz w:val="20"/>
          <w:szCs w:val="20"/>
          <w:lang w:val="hu-HU"/>
        </w:rPr>
        <w:t xml:space="preserve"> comisioane pentru consumatori. Cu toate acestea, inovaţiile Visa permit clienţilor ins</w:t>
      </w:r>
      <w:r w:rsidR="00B61AD3">
        <w:rPr>
          <w:rFonts w:ascii="Segoe UI" w:hAnsi="Segoe UI" w:cs="Segoe UI"/>
          <w:sz w:val="20"/>
          <w:szCs w:val="20"/>
          <w:lang w:val="hu-HU"/>
        </w:rPr>
        <w:t>t</w:t>
      </w:r>
      <w:r w:rsidR="008A06C0" w:rsidRPr="00B61AD3">
        <w:rPr>
          <w:rFonts w:ascii="Segoe UI" w:hAnsi="Segoe UI" w:cs="Segoe UI"/>
          <w:sz w:val="20"/>
          <w:szCs w:val="20"/>
          <w:lang w:val="hu-HU"/>
        </w:rPr>
        <w:t xml:space="preserve">ituţii financiare să ofere consumatorilor mai multe opţiuni: să plătească pe loc cu cardul de debit, </w:t>
      </w:r>
      <w:r w:rsidR="00B61AD3" w:rsidRPr="00B61AD3">
        <w:rPr>
          <w:rFonts w:ascii="Segoe UI" w:hAnsi="Segoe UI" w:cs="Segoe UI"/>
          <w:sz w:val="20"/>
          <w:szCs w:val="20"/>
          <w:lang w:val="hu-HU"/>
        </w:rPr>
        <w:t>să plătească a</w:t>
      </w:r>
      <w:r w:rsidR="00F7380F">
        <w:rPr>
          <w:rFonts w:ascii="Segoe UI" w:hAnsi="Segoe UI" w:cs="Segoe UI"/>
          <w:sz w:val="20"/>
          <w:szCs w:val="20"/>
          <w:lang w:val="hu-HU"/>
        </w:rPr>
        <w:t>nticipat cu cardul prepaid sau</w:t>
      </w:r>
      <w:r w:rsidR="00B61AD3" w:rsidRPr="00B61AD3">
        <w:rPr>
          <w:rFonts w:ascii="Segoe UI" w:hAnsi="Segoe UI" w:cs="Segoe UI"/>
          <w:sz w:val="20"/>
          <w:szCs w:val="20"/>
          <w:lang w:val="hu-HU"/>
        </w:rPr>
        <w:t xml:space="preserve"> ulterior cu un card de credit. Pentru mai multe informaţii, puteţi accesa </w:t>
      </w:r>
      <w:r w:rsidR="00BE7D9F">
        <w:fldChar w:fldCharType="begin"/>
      </w:r>
      <w:r w:rsidR="00BE7D9F" w:rsidRPr="00BE7D9F">
        <w:rPr>
          <w:lang w:val="fr-BE"/>
        </w:rPr>
        <w:instrText xml:space="preserve"> HYPERLINK "http://www.visaeurope.com" </w:instrText>
      </w:r>
      <w:r w:rsidR="00BE7D9F">
        <w:fldChar w:fldCharType="separate"/>
      </w:r>
      <w:r w:rsidR="00B61AD3" w:rsidRPr="00B61AD3">
        <w:rPr>
          <w:rStyle w:val="Hyperlink"/>
          <w:rFonts w:ascii="Segoe UI" w:hAnsi="Segoe UI" w:cs="Segoe UI"/>
          <w:sz w:val="20"/>
          <w:szCs w:val="20"/>
          <w:lang w:val="hu-HU"/>
        </w:rPr>
        <w:t>www.visaeurope.com</w:t>
      </w:r>
      <w:r w:rsidR="00BE7D9F">
        <w:rPr>
          <w:rStyle w:val="Hyperlink"/>
          <w:rFonts w:ascii="Segoe UI" w:hAnsi="Segoe UI" w:cs="Segoe UI"/>
          <w:sz w:val="20"/>
          <w:szCs w:val="20"/>
          <w:lang w:val="hu-HU"/>
        </w:rPr>
        <w:fldChar w:fldCharType="end"/>
      </w:r>
      <w:r w:rsidR="00B61AD3" w:rsidRPr="00B61AD3">
        <w:rPr>
          <w:rFonts w:ascii="Segoe UI" w:hAnsi="Segoe UI" w:cs="Segoe UI"/>
          <w:color w:val="000000"/>
          <w:sz w:val="20"/>
          <w:szCs w:val="20"/>
          <w:lang w:val="fr-BE"/>
        </w:rPr>
        <w:t xml:space="preserve">, </w:t>
      </w:r>
      <w:proofErr w:type="spellStart"/>
      <w:r w:rsidR="00B61AD3" w:rsidRPr="00B61AD3">
        <w:rPr>
          <w:rFonts w:ascii="Segoe UI" w:hAnsi="Segoe UI" w:cs="Segoe UI"/>
          <w:color w:val="000000"/>
          <w:sz w:val="20"/>
          <w:szCs w:val="20"/>
          <w:lang w:val="fr-BE"/>
        </w:rPr>
        <w:t>blogul</w:t>
      </w:r>
      <w:proofErr w:type="spellEnd"/>
      <w:r w:rsidR="00B61AD3" w:rsidRPr="00B61AD3">
        <w:rPr>
          <w:rFonts w:ascii="Segoe UI" w:hAnsi="Segoe UI" w:cs="Segoe UI"/>
          <w:color w:val="000000"/>
          <w:sz w:val="20"/>
          <w:szCs w:val="20"/>
          <w:lang w:val="fr-BE"/>
        </w:rPr>
        <w:t xml:space="preserve"> </w:t>
      </w:r>
      <w:r w:rsidR="00B61AD3" w:rsidRPr="00B61AD3">
        <w:rPr>
          <w:rFonts w:ascii="Segoe UI" w:hAnsi="Segoe UI" w:cs="Segoe UI"/>
          <w:color w:val="000000"/>
          <w:sz w:val="20"/>
          <w:szCs w:val="20"/>
          <w:lang w:val="hu-HU"/>
        </w:rPr>
        <w:t>Visa Vision blog (</w:t>
      </w:r>
      <w:hyperlink r:id="rId9" w:history="1">
        <w:r w:rsidR="00B61AD3" w:rsidRPr="00B61AD3">
          <w:rPr>
            <w:rStyle w:val="Hyperlink"/>
            <w:rFonts w:ascii="Segoe UI" w:hAnsi="Segoe UI" w:cs="Segoe UI"/>
            <w:sz w:val="20"/>
            <w:szCs w:val="20"/>
            <w:lang w:val="hu-HU"/>
          </w:rPr>
          <w:t>www.vision.visaeurope.com</w:t>
        </w:r>
      </w:hyperlink>
      <w:r w:rsidR="00B61AD3">
        <w:rPr>
          <w:rFonts w:ascii="Segoe UI" w:hAnsi="Segoe UI" w:cs="Segoe UI"/>
          <w:color w:val="000000"/>
          <w:sz w:val="20"/>
          <w:szCs w:val="20"/>
          <w:lang w:val="hu-HU"/>
        </w:rPr>
        <w:t>) şi</w:t>
      </w:r>
      <w:r w:rsidR="00B61AD3" w:rsidRPr="00B61AD3">
        <w:rPr>
          <w:rFonts w:ascii="Segoe UI" w:hAnsi="Segoe UI" w:cs="Segoe UI"/>
          <w:color w:val="000000"/>
          <w:sz w:val="20"/>
          <w:szCs w:val="20"/>
          <w:lang w:val="hu-HU"/>
        </w:rPr>
        <w:t xml:space="preserve"> @VisaEuropeNews</w:t>
      </w:r>
      <w:r w:rsidR="00F7380F">
        <w:rPr>
          <w:rFonts w:ascii="Segoe UI" w:hAnsi="Segoe UI" w:cs="Segoe UI"/>
          <w:color w:val="000000"/>
          <w:sz w:val="20"/>
          <w:szCs w:val="20"/>
          <w:lang w:val="hu-HU"/>
        </w:rPr>
        <w:t>.</w:t>
      </w:r>
    </w:p>
    <w:p w:rsidR="00127ABD" w:rsidRPr="00B61AD3" w:rsidRDefault="00127ABD" w:rsidP="00B61AD3">
      <w:pPr>
        <w:jc w:val="both"/>
        <w:rPr>
          <w:rFonts w:ascii="Segoe UI" w:hAnsi="Segoe UI" w:cs="Segoe UI"/>
          <w:color w:val="000000"/>
          <w:sz w:val="20"/>
          <w:szCs w:val="20"/>
          <w:lang w:val="hu-HU"/>
        </w:rPr>
      </w:pPr>
    </w:p>
    <w:p w:rsidR="003E5918" w:rsidRPr="003E5918" w:rsidRDefault="003E5918" w:rsidP="003E5918">
      <w:pPr>
        <w:spacing w:line="312" w:lineRule="auto"/>
        <w:rPr>
          <w:rFonts w:ascii="Segoe UI" w:hAnsi="Segoe UI" w:cs="Segoe UI"/>
          <w:b/>
          <w:sz w:val="20"/>
          <w:szCs w:val="20"/>
          <w:lang w:val="fr-FR"/>
        </w:rPr>
      </w:pPr>
      <w:r w:rsidRPr="003E5918">
        <w:rPr>
          <w:rFonts w:ascii="Segoe UI" w:hAnsi="Segoe UI" w:cs="Segoe UI"/>
          <w:b/>
          <w:sz w:val="20"/>
          <w:szCs w:val="20"/>
          <w:lang w:val="fr-FR"/>
        </w:rPr>
        <w:t>Contact</w:t>
      </w:r>
      <w:r w:rsidR="0047336A">
        <w:rPr>
          <w:rFonts w:ascii="Segoe UI" w:hAnsi="Segoe UI" w:cs="Segoe UI"/>
          <w:b/>
          <w:sz w:val="20"/>
          <w:szCs w:val="20"/>
          <w:lang w:val="fr-FR"/>
        </w:rPr>
        <w:t>e</w:t>
      </w:r>
      <w:r w:rsidRPr="003E5918">
        <w:rPr>
          <w:rFonts w:ascii="Segoe UI" w:hAnsi="Segoe UI" w:cs="Segoe UI"/>
          <w:b/>
          <w:sz w:val="20"/>
          <w:szCs w:val="20"/>
          <w:lang w:val="fr-FR"/>
        </w:rPr>
        <w:t xml:space="preserve">: </w:t>
      </w:r>
    </w:p>
    <w:p w:rsidR="00764C59" w:rsidRPr="00764C59" w:rsidRDefault="00764C59" w:rsidP="00764C59">
      <w:pPr>
        <w:spacing w:after="0"/>
        <w:jc w:val="both"/>
        <w:rPr>
          <w:rFonts w:ascii="Segoe UI" w:hAnsi="Segoe UI" w:cs="Segoe UI"/>
          <w:sz w:val="20"/>
          <w:szCs w:val="20"/>
          <w:lang w:val="hu-HU"/>
        </w:rPr>
      </w:pPr>
      <w:r w:rsidRPr="00764C59">
        <w:rPr>
          <w:rFonts w:ascii="Segoe UI" w:hAnsi="Segoe UI" w:cs="Segoe UI"/>
          <w:sz w:val="20"/>
          <w:szCs w:val="20"/>
          <w:lang w:val="hu-HU"/>
        </w:rPr>
        <w:t>Alina Lazăr</w:t>
      </w:r>
    </w:p>
    <w:p w:rsidR="00764C59" w:rsidRPr="00764C59" w:rsidRDefault="00764C59" w:rsidP="00764C59">
      <w:pPr>
        <w:spacing w:after="0"/>
        <w:jc w:val="both"/>
        <w:rPr>
          <w:rFonts w:ascii="Segoe UI" w:hAnsi="Segoe UI" w:cs="Segoe UI"/>
          <w:sz w:val="20"/>
          <w:szCs w:val="20"/>
          <w:lang w:val="hu-HU"/>
        </w:rPr>
      </w:pPr>
      <w:r w:rsidRPr="00764C59">
        <w:rPr>
          <w:rFonts w:ascii="Segoe UI" w:hAnsi="Segoe UI" w:cs="Segoe UI"/>
          <w:sz w:val="20"/>
          <w:szCs w:val="20"/>
          <w:lang w:val="hu-HU"/>
        </w:rPr>
        <w:t>Tel: +40 749 129 063</w:t>
      </w:r>
    </w:p>
    <w:p w:rsidR="00764C59" w:rsidRPr="0014251F" w:rsidRDefault="00063C66" w:rsidP="00764C59">
      <w:pPr>
        <w:spacing w:after="0"/>
        <w:jc w:val="both"/>
        <w:rPr>
          <w:rStyle w:val="Hyperlink"/>
          <w:rFonts w:ascii="Segoe UI" w:hAnsi="Segoe UI" w:cs="Segoe UI"/>
          <w:sz w:val="20"/>
          <w:szCs w:val="20"/>
          <w:lang w:val="hu-HU"/>
        </w:rPr>
      </w:pPr>
      <w:hyperlink r:id="rId10" w:history="1">
        <w:r w:rsidR="00764C59" w:rsidRPr="0014251F">
          <w:rPr>
            <w:rStyle w:val="Hyperlink"/>
            <w:rFonts w:ascii="Segoe UI" w:hAnsi="Segoe UI" w:cs="Segoe UI"/>
            <w:sz w:val="20"/>
            <w:szCs w:val="20"/>
            <w:lang w:val="hu-HU"/>
          </w:rPr>
          <w:t>alina.lazar@grayling.com</w:t>
        </w:r>
      </w:hyperlink>
      <w:r w:rsidR="00764C59" w:rsidRPr="0014251F">
        <w:rPr>
          <w:rStyle w:val="Hyperlink"/>
          <w:rFonts w:ascii="Segoe UI" w:hAnsi="Segoe UI" w:cs="Segoe UI"/>
          <w:sz w:val="20"/>
          <w:szCs w:val="20"/>
          <w:lang w:val="hu-HU"/>
        </w:rPr>
        <w:t xml:space="preserve">  </w:t>
      </w:r>
    </w:p>
    <w:p w:rsidR="003E5918" w:rsidRPr="00764C59" w:rsidRDefault="003E5918">
      <w:pPr>
        <w:rPr>
          <w:lang w:val="ro-RO"/>
        </w:rPr>
      </w:pPr>
    </w:p>
    <w:sectPr w:rsidR="003E5918" w:rsidRPr="0076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66" w:rsidRDefault="00063C66" w:rsidP="001422B4">
      <w:pPr>
        <w:spacing w:after="0" w:line="240" w:lineRule="auto"/>
      </w:pPr>
      <w:r>
        <w:separator/>
      </w:r>
    </w:p>
  </w:endnote>
  <w:endnote w:type="continuationSeparator" w:id="0">
    <w:p w:rsidR="00063C66" w:rsidRDefault="00063C66" w:rsidP="0014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66" w:rsidRDefault="00063C66" w:rsidP="001422B4">
      <w:pPr>
        <w:spacing w:after="0" w:line="240" w:lineRule="auto"/>
      </w:pPr>
      <w:r>
        <w:separator/>
      </w:r>
    </w:p>
  </w:footnote>
  <w:footnote w:type="continuationSeparator" w:id="0">
    <w:p w:rsidR="00063C66" w:rsidRDefault="00063C66" w:rsidP="001422B4">
      <w:pPr>
        <w:spacing w:after="0" w:line="240" w:lineRule="auto"/>
      </w:pPr>
      <w:r>
        <w:continuationSeparator/>
      </w:r>
    </w:p>
  </w:footnote>
  <w:footnote w:id="1">
    <w:p w:rsidR="001422B4" w:rsidRPr="001422B4" w:rsidRDefault="001422B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1422B4">
        <w:rPr>
          <w:lang w:val="fr-BE"/>
        </w:rPr>
        <w:t xml:space="preserve"> </w:t>
      </w:r>
      <w:proofErr w:type="spellStart"/>
      <w:r>
        <w:rPr>
          <w:lang w:val="fr-BE"/>
        </w:rPr>
        <w:t>Conform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datelor</w:t>
      </w:r>
      <w:proofErr w:type="spellEnd"/>
      <w:r>
        <w:rPr>
          <w:lang w:val="ro-RO"/>
        </w:rPr>
        <w:t xml:space="preserve"> raportate de BNR pentru anul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AF"/>
    <w:rsid w:val="00063C66"/>
    <w:rsid w:val="000D58AE"/>
    <w:rsid w:val="00127ABD"/>
    <w:rsid w:val="001422B4"/>
    <w:rsid w:val="0014251F"/>
    <w:rsid w:val="002D6F5B"/>
    <w:rsid w:val="003533E4"/>
    <w:rsid w:val="003E5918"/>
    <w:rsid w:val="004245FB"/>
    <w:rsid w:val="0047336A"/>
    <w:rsid w:val="005B06F1"/>
    <w:rsid w:val="006D3816"/>
    <w:rsid w:val="00764C59"/>
    <w:rsid w:val="007A70B5"/>
    <w:rsid w:val="008245D7"/>
    <w:rsid w:val="008A06C0"/>
    <w:rsid w:val="00947437"/>
    <w:rsid w:val="0095318A"/>
    <w:rsid w:val="009545EE"/>
    <w:rsid w:val="009B0CAF"/>
    <w:rsid w:val="00A544A2"/>
    <w:rsid w:val="00A62264"/>
    <w:rsid w:val="00A6767C"/>
    <w:rsid w:val="00AA13AE"/>
    <w:rsid w:val="00B249FD"/>
    <w:rsid w:val="00B61AD3"/>
    <w:rsid w:val="00BD2343"/>
    <w:rsid w:val="00BE7D9F"/>
    <w:rsid w:val="00DF6DBC"/>
    <w:rsid w:val="00EA50FB"/>
    <w:rsid w:val="00F7380F"/>
    <w:rsid w:val="00FA72D1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AA233-C02E-4EB9-A156-9D8158B2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A62264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D3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F5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2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2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22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2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.com/travelinsigh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ina.lazar@gray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.visa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4357-1B1C-4CC9-95AD-08D4BD35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Inc.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Chieng, Stephanie</dc:creator>
  <cp:lastModifiedBy>Alina Lazar</cp:lastModifiedBy>
  <cp:revision>18</cp:revision>
  <dcterms:created xsi:type="dcterms:W3CDTF">2016-07-15T15:03:00Z</dcterms:created>
  <dcterms:modified xsi:type="dcterms:W3CDTF">2016-07-18T08:05:00Z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2069331690</vt:i4>
  </property>
  <property fmtid="{D5CDD505-2E9C-101B-9397-08002B2CF9AE}" pid="3" name="_NewReviewCycle">
    <vt:lpwstr/>
  </property>
  <property fmtid="{D5CDD505-2E9C-101B-9397-08002B2CF9AE}" pid="4" name="_EmailSubject">
    <vt:lpwstr>Studiu Visa: Peste 280 milioane de gospodarii vor planui sa calatoreasca in strainatate pana in 2025</vt:lpwstr>
  </property>
  <property fmtid="{D5CDD505-2E9C-101B-9397-08002B2CF9AE}" pid="5" name="_AuthorEmail">
    <vt:lpwstr>Alina.Lazar@grayling.com</vt:lpwstr>
  </property>
  <property fmtid="{D5CDD505-2E9C-101B-9397-08002B2CF9AE}" pid="6" name="_AuthorEmailDisplayName">
    <vt:lpwstr>Alina Lazar</vt:lpwstr>
  </property>
</Properties>
</file>