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CD" w:rsidRPr="005820A8" w:rsidRDefault="005C67CD" w:rsidP="00A46CA8">
      <w:pPr>
        <w:pStyle w:val="Brdtekst3"/>
        <w:tabs>
          <w:tab w:val="left" w:pos="8100"/>
        </w:tabs>
        <w:spacing w:after="0" w:line="360" w:lineRule="auto"/>
        <w:ind w:right="1985"/>
        <w:rPr>
          <w:rFonts w:ascii="Helvetica" w:hAnsi="Helvetica" w:cs="Helvetica"/>
          <w:b/>
          <w:color w:val="000000"/>
          <w:sz w:val="20"/>
          <w:szCs w:val="20"/>
          <w:lang w:val="da-DK"/>
        </w:rPr>
      </w:pPr>
    </w:p>
    <w:p w:rsidR="005820A8" w:rsidRPr="00130ED7" w:rsidRDefault="005820A8" w:rsidP="005820A8">
      <w:pPr>
        <w:spacing w:line="360" w:lineRule="auto"/>
        <w:ind w:right="1814"/>
        <w:rPr>
          <w:rFonts w:ascii="Helvetica" w:hAnsi="Helvetica"/>
          <w:b/>
          <w:color w:val="000000"/>
          <w:sz w:val="22"/>
          <w:szCs w:val="24"/>
          <w:lang w:val="da-DK"/>
        </w:rPr>
      </w:pPr>
      <w:r w:rsidRPr="00130ED7">
        <w:rPr>
          <w:rFonts w:ascii="Helvetica" w:hAnsi="Helvetica"/>
          <w:b/>
          <w:sz w:val="22"/>
          <w:szCs w:val="24"/>
          <w:lang w:val="da-DK"/>
        </w:rPr>
        <w:t xml:space="preserve">Selektiv energifordeling med </w:t>
      </w:r>
      <w:r w:rsidR="00CF38D1">
        <w:rPr>
          <w:rFonts w:ascii="Helvetica" w:hAnsi="Helvetica"/>
          <w:b/>
          <w:sz w:val="22"/>
          <w:szCs w:val="24"/>
          <w:lang w:val="da-DK"/>
        </w:rPr>
        <w:t>nye innovative</w:t>
      </w:r>
      <w:r w:rsidRPr="00130ED7">
        <w:rPr>
          <w:rFonts w:ascii="Helvetica" w:hAnsi="Helvetica"/>
          <w:b/>
          <w:sz w:val="22"/>
          <w:szCs w:val="24"/>
          <w:lang w:val="da-DK"/>
        </w:rPr>
        <w:t xml:space="preserve"> </w:t>
      </w:r>
      <w:r>
        <w:rPr>
          <w:rFonts w:ascii="Helvetica" w:hAnsi="Helvetica"/>
          <w:b/>
          <w:sz w:val="22"/>
          <w:szCs w:val="24"/>
          <w:lang w:val="da-DK"/>
        </w:rPr>
        <w:t>sikkerhedsafbrydere</w:t>
      </w:r>
    </w:p>
    <w:p w:rsidR="005820A8" w:rsidRPr="00130ED7" w:rsidRDefault="005820A8" w:rsidP="005820A8">
      <w:pPr>
        <w:spacing w:line="360" w:lineRule="auto"/>
        <w:ind w:right="2409"/>
        <w:rPr>
          <w:rFonts w:ascii="Helvetica" w:hAnsi="Helvetica"/>
          <w:szCs w:val="24"/>
          <w:lang w:val="da-DK"/>
        </w:rPr>
      </w:pPr>
    </w:p>
    <w:p w:rsidR="001A556B" w:rsidRPr="005820A8" w:rsidRDefault="005820A8" w:rsidP="005820A8">
      <w:pPr>
        <w:spacing w:line="360" w:lineRule="auto"/>
        <w:ind w:right="1701"/>
        <w:rPr>
          <w:rFonts w:ascii="Helvetica" w:hAnsi="Helvetica"/>
          <w:lang w:val="da-DK"/>
        </w:rPr>
      </w:pPr>
      <w:r w:rsidRPr="004F4CFF">
        <w:rPr>
          <w:rFonts w:ascii="Helvetica" w:hAnsi="Helvetica"/>
          <w:szCs w:val="24"/>
          <w:lang w:val="da-DK"/>
        </w:rPr>
        <w:t>De nye elektroniske og termomagnetiske sikkerhedsafbrydere fra Phoenix Co</w:t>
      </w:r>
      <w:r w:rsidRPr="004F4CFF">
        <w:rPr>
          <w:rFonts w:ascii="Helvetica" w:hAnsi="Helvetica"/>
          <w:szCs w:val="24"/>
          <w:lang w:val="da-DK"/>
        </w:rPr>
        <w:t>n</w:t>
      </w:r>
      <w:r w:rsidRPr="004F4CFF">
        <w:rPr>
          <w:rFonts w:ascii="Helvetica" w:hAnsi="Helvetica"/>
          <w:szCs w:val="24"/>
          <w:lang w:val="da-DK"/>
        </w:rPr>
        <w:t xml:space="preserve">tact </w:t>
      </w:r>
      <w:r>
        <w:rPr>
          <w:rFonts w:ascii="Helvetica" w:hAnsi="Helvetica"/>
          <w:szCs w:val="24"/>
          <w:lang w:val="da-DK"/>
        </w:rPr>
        <w:t>tilbyder alle de systemfordele</w:t>
      </w:r>
      <w:r w:rsidR="00CA4BB0">
        <w:rPr>
          <w:rFonts w:ascii="Helvetica" w:hAnsi="Helvetica"/>
          <w:szCs w:val="24"/>
          <w:lang w:val="da-DK"/>
        </w:rPr>
        <w:t>,</w:t>
      </w:r>
      <w:r>
        <w:rPr>
          <w:rFonts w:ascii="Helvetica" w:hAnsi="Helvetica"/>
          <w:szCs w:val="24"/>
          <w:lang w:val="da-DK"/>
        </w:rPr>
        <w:t xml:space="preserve"> som er vigtige for en hurtig og sikker installat</w:t>
      </w:r>
      <w:r>
        <w:rPr>
          <w:rFonts w:ascii="Helvetica" w:hAnsi="Helvetica"/>
          <w:szCs w:val="24"/>
          <w:lang w:val="da-DK"/>
        </w:rPr>
        <w:t>i</w:t>
      </w:r>
      <w:r>
        <w:rPr>
          <w:rFonts w:ascii="Helvetica" w:hAnsi="Helvetica"/>
          <w:szCs w:val="24"/>
          <w:lang w:val="da-DK"/>
        </w:rPr>
        <w:t>on</w:t>
      </w:r>
      <w:r w:rsidRPr="004F4CFF">
        <w:rPr>
          <w:rFonts w:ascii="Helvetica" w:hAnsi="Helvetica"/>
          <w:szCs w:val="24"/>
          <w:lang w:val="da-DK"/>
        </w:rPr>
        <w:t xml:space="preserve">. </w:t>
      </w:r>
      <w:r w:rsidRPr="005820A8">
        <w:rPr>
          <w:rFonts w:ascii="Helvetica" w:hAnsi="Helvetica"/>
          <w:szCs w:val="24"/>
          <w:lang w:val="da-DK"/>
        </w:rPr>
        <w:t xml:space="preserve">De beskytter enheder pålideligt imod </w:t>
      </w:r>
      <w:r w:rsidR="00CF38D1">
        <w:rPr>
          <w:rFonts w:ascii="Helvetica" w:hAnsi="Helvetica"/>
          <w:szCs w:val="24"/>
          <w:lang w:val="da-DK"/>
        </w:rPr>
        <w:t>overbelastnings- og kortslutning</w:t>
      </w:r>
      <w:r w:rsidR="00CF38D1">
        <w:rPr>
          <w:rFonts w:ascii="Helvetica" w:hAnsi="Helvetica"/>
          <w:szCs w:val="24"/>
          <w:lang w:val="da-DK"/>
        </w:rPr>
        <w:t>s</w:t>
      </w:r>
      <w:r w:rsidR="00CF38D1">
        <w:rPr>
          <w:rFonts w:ascii="Helvetica" w:hAnsi="Helvetica"/>
          <w:szCs w:val="24"/>
          <w:lang w:val="da-DK"/>
        </w:rPr>
        <w:t>strømme, også ved lange ledninger</w:t>
      </w:r>
      <w:r w:rsidR="00CF38D1">
        <w:rPr>
          <w:rFonts w:ascii="Helvetica" w:hAnsi="Helvetica"/>
          <w:lang w:val="da-DK"/>
        </w:rPr>
        <w:t>. Med de 1-kanals stikbare sikkerhedsafbryd</w:t>
      </w:r>
      <w:r w:rsidR="00CF38D1">
        <w:rPr>
          <w:rFonts w:ascii="Helvetica" w:hAnsi="Helvetica"/>
          <w:lang w:val="da-DK"/>
        </w:rPr>
        <w:t>e</w:t>
      </w:r>
      <w:r w:rsidR="00CF38D1">
        <w:rPr>
          <w:rFonts w:ascii="Helvetica" w:hAnsi="Helvetica"/>
          <w:lang w:val="da-DK"/>
        </w:rPr>
        <w:t>re</w:t>
      </w:r>
      <w:r w:rsidR="001A556B" w:rsidRPr="005820A8">
        <w:rPr>
          <w:rFonts w:ascii="Helvetica" w:hAnsi="Helvetica"/>
          <w:lang w:val="da-DK"/>
        </w:rPr>
        <w:t xml:space="preserve"> </w:t>
      </w:r>
      <w:r w:rsidR="00CF38D1">
        <w:rPr>
          <w:rFonts w:ascii="Helvetica" w:hAnsi="Helvetica"/>
          <w:lang w:val="da-DK"/>
        </w:rPr>
        <w:t>kan en selektiv strømfordeling opbygges modulært. En kodning mellem grun</w:t>
      </w:r>
      <w:r w:rsidR="00CF38D1">
        <w:rPr>
          <w:rFonts w:ascii="Helvetica" w:hAnsi="Helvetica"/>
          <w:lang w:val="da-DK"/>
        </w:rPr>
        <w:t>d</w:t>
      </w:r>
      <w:r w:rsidR="00CF38D1">
        <w:rPr>
          <w:rFonts w:ascii="Helvetica" w:hAnsi="Helvetica"/>
          <w:lang w:val="da-DK"/>
        </w:rPr>
        <w:t>del og stikdel sikrer en fejlfri bestykning</w:t>
      </w:r>
      <w:r w:rsidR="001A556B" w:rsidRPr="005820A8">
        <w:rPr>
          <w:rFonts w:ascii="Helvetica" w:hAnsi="Helvetica"/>
          <w:lang w:val="da-DK"/>
        </w:rPr>
        <w:t xml:space="preserve">. </w:t>
      </w:r>
      <w:r w:rsidR="00D61425">
        <w:rPr>
          <w:rFonts w:ascii="Helvetica" w:hAnsi="Helvetica"/>
          <w:lang w:val="da-DK"/>
        </w:rPr>
        <w:t xml:space="preserve">Den nye stiklåsning sikrer en </w:t>
      </w:r>
      <w:r w:rsidR="00CA4BB0">
        <w:rPr>
          <w:rFonts w:ascii="Helvetica" w:hAnsi="Helvetica"/>
          <w:lang w:val="da-DK"/>
        </w:rPr>
        <w:t xml:space="preserve">effektiv </w:t>
      </w:r>
      <w:r w:rsidR="00D61425">
        <w:rPr>
          <w:rFonts w:ascii="Helvetica" w:hAnsi="Helvetica"/>
          <w:lang w:val="da-DK"/>
        </w:rPr>
        <w:t>fastholdelse</w:t>
      </w:r>
      <w:r w:rsidR="00CA4BB0">
        <w:rPr>
          <w:rFonts w:ascii="Helvetica" w:hAnsi="Helvetica"/>
          <w:lang w:val="da-DK"/>
        </w:rPr>
        <w:t>,</w:t>
      </w:r>
      <w:r w:rsidR="00D61425">
        <w:rPr>
          <w:rFonts w:ascii="Helvetica" w:hAnsi="Helvetica"/>
          <w:lang w:val="da-DK"/>
        </w:rPr>
        <w:t xml:space="preserve"> selv under barske installationsomgivelser</w:t>
      </w:r>
      <w:r w:rsidR="00A763B1">
        <w:rPr>
          <w:rFonts w:ascii="Helvetica" w:hAnsi="Helvetica"/>
          <w:lang w:val="da-DK"/>
        </w:rPr>
        <w:t xml:space="preserve">. </w:t>
      </w:r>
      <w:proofErr w:type="spellStart"/>
      <w:r w:rsidR="00A763B1">
        <w:rPr>
          <w:rFonts w:ascii="Helvetica" w:hAnsi="Helvetica"/>
          <w:lang w:val="da-DK"/>
        </w:rPr>
        <w:t>Push-In-</w:t>
      </w:r>
      <w:r w:rsidR="00CA4BB0">
        <w:rPr>
          <w:rFonts w:ascii="Helvetica" w:hAnsi="Helvetica"/>
          <w:lang w:val="da-DK"/>
        </w:rPr>
        <w:t>tilslutnings</w:t>
      </w:r>
      <w:r w:rsidR="00A763B1">
        <w:rPr>
          <w:rFonts w:ascii="Helvetica" w:hAnsi="Helvetica"/>
          <w:lang w:val="da-DK"/>
        </w:rPr>
        <w:softHyphen/>
      </w:r>
      <w:r w:rsidR="00CA4BB0">
        <w:rPr>
          <w:rFonts w:ascii="Helvetica" w:hAnsi="Helvetica"/>
          <w:lang w:val="da-DK"/>
        </w:rPr>
        <w:t>klemmerne</w:t>
      </w:r>
      <w:proofErr w:type="spellEnd"/>
      <w:r w:rsidR="00CA4BB0">
        <w:rPr>
          <w:rFonts w:ascii="Helvetica" w:hAnsi="Helvetica"/>
          <w:lang w:val="da-DK"/>
        </w:rPr>
        <w:t xml:space="preserve"> muliggør vær</w:t>
      </w:r>
      <w:r w:rsidR="00A763B1">
        <w:rPr>
          <w:rFonts w:ascii="Helvetica" w:hAnsi="Helvetica"/>
          <w:lang w:val="da-DK"/>
        </w:rPr>
        <w:t>ktøjsfri ledningstilslutning, og m</w:t>
      </w:r>
      <w:r w:rsidR="00CA4BB0">
        <w:rPr>
          <w:rFonts w:ascii="Helvetica" w:hAnsi="Helvetica"/>
          <w:lang w:val="da-DK"/>
        </w:rPr>
        <w:t>ed det unikke</w:t>
      </w:r>
      <w:r w:rsidR="001A556B" w:rsidRPr="005820A8">
        <w:rPr>
          <w:rFonts w:ascii="Helvetica" w:hAnsi="Helvetica"/>
          <w:lang w:val="da-DK"/>
        </w:rPr>
        <w:t xml:space="preserve"> </w:t>
      </w:r>
      <w:r w:rsidR="00CA4BB0">
        <w:rPr>
          <w:rFonts w:ascii="Helvetica" w:hAnsi="Helvetica"/>
          <w:lang w:val="da-DK"/>
        </w:rPr>
        <w:t xml:space="preserve">brosystem </w:t>
      </w:r>
      <w:r w:rsidR="00B237F2">
        <w:rPr>
          <w:rFonts w:ascii="Helvetica" w:hAnsi="Helvetica"/>
          <w:lang w:val="da-DK"/>
        </w:rPr>
        <w:t xml:space="preserve">fra CLIPLINE </w:t>
      </w:r>
      <w:proofErr w:type="spellStart"/>
      <w:r w:rsidR="00B237F2">
        <w:rPr>
          <w:rFonts w:ascii="Helvetica" w:hAnsi="Helvetica"/>
          <w:lang w:val="da-DK"/>
        </w:rPr>
        <w:t>complete</w:t>
      </w:r>
      <w:proofErr w:type="spellEnd"/>
      <w:r w:rsidR="00B237F2">
        <w:rPr>
          <w:rFonts w:ascii="Helvetica" w:hAnsi="Helvetica"/>
          <w:lang w:val="da-DK"/>
        </w:rPr>
        <w:t xml:space="preserve">-klemmefamilien </w:t>
      </w:r>
      <w:r w:rsidR="00CA4BB0">
        <w:rPr>
          <w:rFonts w:ascii="Helvetica" w:hAnsi="Helvetica"/>
          <w:lang w:val="da-DK"/>
        </w:rPr>
        <w:t>kan alle sikkerhedsafbryderne hurtigt og enkelt kombineres individuelt.</w:t>
      </w:r>
    </w:p>
    <w:p w:rsidR="001A556B" w:rsidRPr="005820A8" w:rsidRDefault="001A556B" w:rsidP="001A556B">
      <w:pPr>
        <w:spacing w:line="360" w:lineRule="auto"/>
        <w:ind w:right="1701"/>
        <w:rPr>
          <w:rFonts w:ascii="Helvetica" w:hAnsi="Helvetica"/>
          <w:lang w:val="da-DK"/>
        </w:rPr>
      </w:pPr>
    </w:p>
    <w:p w:rsidR="001A556B" w:rsidRPr="00CA4BB0" w:rsidRDefault="00CA4BB0" w:rsidP="001A556B">
      <w:pPr>
        <w:spacing w:line="360" w:lineRule="auto"/>
        <w:ind w:right="1701"/>
        <w:rPr>
          <w:rFonts w:ascii="Helvetica" w:hAnsi="Helvetica"/>
          <w:lang w:val="da-DK"/>
        </w:rPr>
      </w:pPr>
      <w:r w:rsidRPr="00CA4BB0">
        <w:rPr>
          <w:rFonts w:ascii="Helvetica" w:hAnsi="Helvetica"/>
          <w:lang w:val="da-DK"/>
        </w:rPr>
        <w:t>De termomagnetisk</w:t>
      </w:r>
      <w:r>
        <w:rPr>
          <w:rFonts w:ascii="Helvetica" w:hAnsi="Helvetica"/>
          <w:lang w:val="da-DK"/>
        </w:rPr>
        <w:t>e sikkerhedsafbrydere</w:t>
      </w:r>
      <w:r w:rsidR="001A556B" w:rsidRPr="00CA4BB0">
        <w:rPr>
          <w:rFonts w:ascii="Helvetica" w:hAnsi="Helvetica"/>
          <w:lang w:val="da-DK"/>
        </w:rPr>
        <w:t xml:space="preserve"> </w:t>
      </w:r>
      <w:r>
        <w:rPr>
          <w:rFonts w:ascii="Helvetica" w:hAnsi="Helvetica"/>
          <w:lang w:val="da-DK"/>
        </w:rPr>
        <w:t>skiller sig ud ved deres optimer</w:t>
      </w:r>
      <w:r w:rsidRPr="00CA4BB0">
        <w:rPr>
          <w:rFonts w:ascii="Helvetica" w:hAnsi="Helvetica"/>
          <w:lang w:val="da-DK"/>
        </w:rPr>
        <w:t>e</w:t>
      </w:r>
      <w:r>
        <w:rPr>
          <w:rFonts w:ascii="Helvetica" w:hAnsi="Helvetica"/>
          <w:lang w:val="da-DK"/>
        </w:rPr>
        <w:t>de</w:t>
      </w:r>
      <w:r w:rsidRPr="00CA4BB0">
        <w:rPr>
          <w:rFonts w:ascii="Helvetica" w:hAnsi="Helvetica"/>
          <w:lang w:val="da-DK"/>
        </w:rPr>
        <w:t xml:space="preserve"> SFB-</w:t>
      </w:r>
      <w:r>
        <w:rPr>
          <w:rFonts w:ascii="Helvetica" w:hAnsi="Helvetica"/>
          <w:lang w:val="da-DK"/>
        </w:rPr>
        <w:t>udløsekurve</w:t>
      </w:r>
      <w:r w:rsidR="001A556B" w:rsidRPr="00CA4BB0">
        <w:rPr>
          <w:rFonts w:ascii="Helvetica" w:hAnsi="Helvetica"/>
          <w:lang w:val="da-DK"/>
        </w:rPr>
        <w:t xml:space="preserve">. </w:t>
      </w:r>
      <w:r w:rsidRPr="00CA4BB0">
        <w:rPr>
          <w:rFonts w:ascii="Helvetica" w:hAnsi="Helvetica"/>
          <w:lang w:val="da-DK"/>
        </w:rPr>
        <w:t>I kombination med</w:t>
      </w:r>
      <w:r w:rsidR="001A556B" w:rsidRPr="00CA4BB0">
        <w:rPr>
          <w:rFonts w:ascii="Helvetica" w:hAnsi="Helvetica"/>
          <w:lang w:val="da-DK"/>
        </w:rPr>
        <w:t xml:space="preserve"> </w:t>
      </w:r>
      <w:r w:rsidRPr="00CA4BB0">
        <w:rPr>
          <w:rFonts w:ascii="Helvetica" w:hAnsi="Helvetica"/>
          <w:lang w:val="da-DK"/>
        </w:rPr>
        <w:t>QUINT Power-strømforsyningernes SFB-teknologi</w:t>
      </w:r>
      <w:r w:rsidR="001A556B" w:rsidRPr="00CA4BB0">
        <w:rPr>
          <w:rFonts w:ascii="Helvetica" w:hAnsi="Helvetica"/>
          <w:lang w:val="da-DK"/>
        </w:rPr>
        <w:t xml:space="preserve"> </w:t>
      </w:r>
      <w:r w:rsidRPr="00CA4BB0">
        <w:rPr>
          <w:rFonts w:ascii="Helvetica" w:hAnsi="Helvetica"/>
          <w:lang w:val="da-DK"/>
        </w:rPr>
        <w:t xml:space="preserve">(Selective Fuse Breaking), sikres en høj afbrydesikkerhed </w:t>
      </w:r>
      <w:r w:rsidR="001345AE">
        <w:rPr>
          <w:rFonts w:ascii="Helvetica" w:hAnsi="Helvetica"/>
          <w:lang w:val="da-DK"/>
        </w:rPr>
        <w:t>i</w:t>
      </w:r>
      <w:r w:rsidRPr="00CA4BB0">
        <w:rPr>
          <w:rFonts w:ascii="Helvetica" w:hAnsi="Helvetica"/>
          <w:lang w:val="da-DK"/>
        </w:rPr>
        <w:t xml:space="preserve"> </w:t>
      </w:r>
      <w:r>
        <w:rPr>
          <w:rFonts w:ascii="Helvetica" w:hAnsi="Helvetica"/>
          <w:lang w:val="da-DK"/>
        </w:rPr>
        <w:t>fejltilfælde</w:t>
      </w:r>
      <w:r w:rsidR="001A556B" w:rsidRPr="00CA4BB0">
        <w:rPr>
          <w:rFonts w:ascii="Helvetica" w:hAnsi="Helvetica"/>
          <w:lang w:val="da-DK"/>
        </w:rPr>
        <w:t>.</w:t>
      </w:r>
    </w:p>
    <w:p w:rsidR="001A556B" w:rsidRPr="00CA4BB0" w:rsidRDefault="001A556B" w:rsidP="001A556B">
      <w:pPr>
        <w:spacing w:line="360" w:lineRule="auto"/>
        <w:ind w:right="1701"/>
        <w:rPr>
          <w:rFonts w:ascii="Helvetica" w:hAnsi="Helvetica"/>
          <w:lang w:val="da-DK"/>
        </w:rPr>
      </w:pPr>
    </w:p>
    <w:p w:rsidR="0018055B" w:rsidRPr="00CA4BB0" w:rsidRDefault="00CA4BB0" w:rsidP="001A556B">
      <w:pPr>
        <w:spacing w:line="360" w:lineRule="auto"/>
        <w:ind w:right="1701"/>
        <w:rPr>
          <w:rFonts w:ascii="Helvetica" w:hAnsi="Helvetica"/>
          <w:b/>
          <w:lang w:val="da-DK"/>
        </w:rPr>
      </w:pPr>
      <w:r w:rsidRPr="00CA4BB0">
        <w:rPr>
          <w:rFonts w:ascii="Helvetica" w:hAnsi="Helvetica"/>
          <w:lang w:val="da-DK"/>
        </w:rPr>
        <w:t>D</w:t>
      </w:r>
      <w:r>
        <w:rPr>
          <w:rFonts w:ascii="Helvetica" w:hAnsi="Helvetica"/>
          <w:lang w:val="da-DK"/>
        </w:rPr>
        <w:t>e elektroniske</w:t>
      </w:r>
      <w:r w:rsidR="001A556B" w:rsidRPr="00CA4BB0">
        <w:rPr>
          <w:rFonts w:ascii="Helvetica" w:hAnsi="Helvetica"/>
          <w:lang w:val="da-DK"/>
        </w:rPr>
        <w:t xml:space="preserve"> </w:t>
      </w:r>
      <w:r>
        <w:rPr>
          <w:rFonts w:ascii="Helvetica" w:hAnsi="Helvetica"/>
          <w:lang w:val="da-DK"/>
        </w:rPr>
        <w:t>sikkerhedsafbrydere</w:t>
      </w:r>
      <w:r w:rsidR="001A556B" w:rsidRPr="00CA4BB0">
        <w:rPr>
          <w:rFonts w:ascii="Helvetica" w:hAnsi="Helvetica"/>
          <w:lang w:val="da-DK"/>
        </w:rPr>
        <w:t xml:space="preserve"> </w:t>
      </w:r>
      <w:r>
        <w:rPr>
          <w:rFonts w:ascii="Helvetica" w:hAnsi="Helvetica"/>
          <w:lang w:val="da-DK"/>
        </w:rPr>
        <w:t>arbejder med en aktiv strømbegrænsning, som forsinker den omgående udkobling ved temporære overstrømme</w:t>
      </w:r>
      <w:r w:rsidR="001A556B" w:rsidRPr="00CA4BB0">
        <w:rPr>
          <w:rFonts w:ascii="Helvetica" w:hAnsi="Helvetica"/>
          <w:lang w:val="da-DK"/>
        </w:rPr>
        <w:t>.</w:t>
      </w:r>
    </w:p>
    <w:p w:rsidR="0044268D" w:rsidRPr="00CA4BB0" w:rsidRDefault="0044268D" w:rsidP="005C67CD">
      <w:pPr>
        <w:tabs>
          <w:tab w:val="left" w:pos="3119"/>
          <w:tab w:val="left" w:pos="6521"/>
        </w:tabs>
        <w:spacing w:line="360" w:lineRule="auto"/>
        <w:rPr>
          <w:rFonts w:ascii="Helvetica" w:hAnsi="Helvetica"/>
          <w:b/>
          <w:lang w:val="da-DK"/>
        </w:rPr>
      </w:pPr>
    </w:p>
    <w:p w:rsidR="005C67CD" w:rsidRPr="00FA0911" w:rsidRDefault="005C67CD" w:rsidP="00FE0E7C">
      <w:pPr>
        <w:overflowPunct/>
        <w:spacing w:line="360" w:lineRule="auto"/>
        <w:ind w:right="992"/>
        <w:textAlignment w:val="auto"/>
        <w:rPr>
          <w:rFonts w:ascii="Helvetica" w:hAnsi="Helvetica"/>
          <w:lang w:val="da-DK"/>
        </w:rPr>
      </w:pPr>
      <w:bookmarkStart w:id="0" w:name="_GoBack"/>
      <w:bookmarkEnd w:id="0"/>
    </w:p>
    <w:sectPr w:rsidR="005C67CD" w:rsidRPr="00FA0911">
      <w:headerReference w:type="default" r:id="rId8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FF" w:rsidRDefault="00D827FF">
      <w:r>
        <w:separator/>
      </w:r>
    </w:p>
  </w:endnote>
  <w:endnote w:type="continuationSeparator" w:id="0">
    <w:p w:rsidR="00D827FF" w:rsidRDefault="00D8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FF" w:rsidRDefault="00D827FF">
      <w:r>
        <w:separator/>
      </w:r>
    </w:p>
  </w:footnote>
  <w:footnote w:type="continuationSeparator" w:id="0">
    <w:p w:rsidR="00D827FF" w:rsidRDefault="00D8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E9" w:rsidRDefault="00FA0911" w:rsidP="000444EE">
    <w:pPr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AE9">
      <w:rPr>
        <w:rFonts w:ascii="Helvetica" w:hAnsi="Helvetica"/>
        <w:b/>
        <w:i/>
        <w:spacing w:val="80"/>
        <w:sz w:val="40"/>
      </w:rPr>
      <w:t>Presse-Information</w:t>
    </w:r>
    <w:r w:rsidR="00B81AE9">
      <w:rPr>
        <w:rFonts w:ascii="Helvetica" w:hAnsi="Helvetica"/>
        <w:b/>
        <w:i/>
        <w:spacing w:val="80"/>
        <w:sz w:val="40"/>
      </w:rPr>
      <w:tab/>
    </w:r>
    <w:r w:rsidR="00B81AE9">
      <w:rPr>
        <w:rFonts w:ascii="Helvetica" w:hAnsi="Helvetica"/>
        <w:b/>
        <w:i/>
        <w:spacing w:val="80"/>
        <w:sz w:val="40"/>
      </w:rPr>
      <w:tab/>
    </w:r>
  </w:p>
  <w:p w:rsidR="00B81AE9" w:rsidRDefault="00B81AE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7C59"/>
    <w:rsid w:val="000100F6"/>
    <w:rsid w:val="00017500"/>
    <w:rsid w:val="00021EB1"/>
    <w:rsid w:val="00032263"/>
    <w:rsid w:val="00032589"/>
    <w:rsid w:val="000341AB"/>
    <w:rsid w:val="00034441"/>
    <w:rsid w:val="000403F4"/>
    <w:rsid w:val="000444EE"/>
    <w:rsid w:val="000635E0"/>
    <w:rsid w:val="00063A78"/>
    <w:rsid w:val="0006772F"/>
    <w:rsid w:val="000709CF"/>
    <w:rsid w:val="00075BFA"/>
    <w:rsid w:val="00077467"/>
    <w:rsid w:val="00090581"/>
    <w:rsid w:val="000A3CC6"/>
    <w:rsid w:val="000A5D47"/>
    <w:rsid w:val="000C52FF"/>
    <w:rsid w:val="000D7E8C"/>
    <w:rsid w:val="000E2750"/>
    <w:rsid w:val="000E56AB"/>
    <w:rsid w:val="000E5ED0"/>
    <w:rsid w:val="0011506A"/>
    <w:rsid w:val="00117966"/>
    <w:rsid w:val="001234A5"/>
    <w:rsid w:val="00130490"/>
    <w:rsid w:val="001345AE"/>
    <w:rsid w:val="00134F3B"/>
    <w:rsid w:val="001440B7"/>
    <w:rsid w:val="00145522"/>
    <w:rsid w:val="0015773E"/>
    <w:rsid w:val="00167628"/>
    <w:rsid w:val="0018055B"/>
    <w:rsid w:val="00197FD9"/>
    <w:rsid w:val="001A556B"/>
    <w:rsid w:val="001C532B"/>
    <w:rsid w:val="001E656E"/>
    <w:rsid w:val="001F292C"/>
    <w:rsid w:val="001F796A"/>
    <w:rsid w:val="002109DF"/>
    <w:rsid w:val="00210E50"/>
    <w:rsid w:val="002120DA"/>
    <w:rsid w:val="00217662"/>
    <w:rsid w:val="00233CC6"/>
    <w:rsid w:val="00236EF7"/>
    <w:rsid w:val="00243DA1"/>
    <w:rsid w:val="00257B4E"/>
    <w:rsid w:val="00264687"/>
    <w:rsid w:val="002715B8"/>
    <w:rsid w:val="00292506"/>
    <w:rsid w:val="00292E1E"/>
    <w:rsid w:val="002A20F7"/>
    <w:rsid w:val="002A6227"/>
    <w:rsid w:val="002A7E8E"/>
    <w:rsid w:val="002C6D8F"/>
    <w:rsid w:val="002D5ABD"/>
    <w:rsid w:val="002E10A9"/>
    <w:rsid w:val="002E7739"/>
    <w:rsid w:val="003047E6"/>
    <w:rsid w:val="00320A6A"/>
    <w:rsid w:val="003349B3"/>
    <w:rsid w:val="00357E82"/>
    <w:rsid w:val="00391338"/>
    <w:rsid w:val="003D61E9"/>
    <w:rsid w:val="003F3523"/>
    <w:rsid w:val="003F3E9B"/>
    <w:rsid w:val="0040389E"/>
    <w:rsid w:val="004160CC"/>
    <w:rsid w:val="00417A2F"/>
    <w:rsid w:val="00423811"/>
    <w:rsid w:val="00430973"/>
    <w:rsid w:val="0044268D"/>
    <w:rsid w:val="00461930"/>
    <w:rsid w:val="00465FC4"/>
    <w:rsid w:val="00475942"/>
    <w:rsid w:val="00484288"/>
    <w:rsid w:val="004847CB"/>
    <w:rsid w:val="004932F1"/>
    <w:rsid w:val="004E0491"/>
    <w:rsid w:val="004E46B6"/>
    <w:rsid w:val="004F09E9"/>
    <w:rsid w:val="00510FE1"/>
    <w:rsid w:val="00512D90"/>
    <w:rsid w:val="00515D8D"/>
    <w:rsid w:val="00516496"/>
    <w:rsid w:val="00526520"/>
    <w:rsid w:val="00532197"/>
    <w:rsid w:val="00532A9C"/>
    <w:rsid w:val="00552A61"/>
    <w:rsid w:val="00573D91"/>
    <w:rsid w:val="005820A8"/>
    <w:rsid w:val="0059768B"/>
    <w:rsid w:val="005976B3"/>
    <w:rsid w:val="005A1CF7"/>
    <w:rsid w:val="005A5A79"/>
    <w:rsid w:val="005A5E5F"/>
    <w:rsid w:val="005C67CD"/>
    <w:rsid w:val="005D7213"/>
    <w:rsid w:val="005F240E"/>
    <w:rsid w:val="0060120B"/>
    <w:rsid w:val="006018F9"/>
    <w:rsid w:val="00602253"/>
    <w:rsid w:val="006022A5"/>
    <w:rsid w:val="00610662"/>
    <w:rsid w:val="006146D5"/>
    <w:rsid w:val="006221B9"/>
    <w:rsid w:val="00632D8F"/>
    <w:rsid w:val="00633080"/>
    <w:rsid w:val="00641211"/>
    <w:rsid w:val="006578FF"/>
    <w:rsid w:val="006853B0"/>
    <w:rsid w:val="006A7D57"/>
    <w:rsid w:val="006B2352"/>
    <w:rsid w:val="006C0B61"/>
    <w:rsid w:val="006C4FFD"/>
    <w:rsid w:val="0070432E"/>
    <w:rsid w:val="007204D5"/>
    <w:rsid w:val="007239DD"/>
    <w:rsid w:val="0073323D"/>
    <w:rsid w:val="00743E93"/>
    <w:rsid w:val="00746105"/>
    <w:rsid w:val="0076142D"/>
    <w:rsid w:val="00766175"/>
    <w:rsid w:val="00767B53"/>
    <w:rsid w:val="00782FA4"/>
    <w:rsid w:val="0078566B"/>
    <w:rsid w:val="00785F15"/>
    <w:rsid w:val="0078692E"/>
    <w:rsid w:val="007874D8"/>
    <w:rsid w:val="00792C61"/>
    <w:rsid w:val="007D084C"/>
    <w:rsid w:val="007E0C94"/>
    <w:rsid w:val="007F40E1"/>
    <w:rsid w:val="00806331"/>
    <w:rsid w:val="00813D64"/>
    <w:rsid w:val="00823CF8"/>
    <w:rsid w:val="00824FC5"/>
    <w:rsid w:val="00845F4C"/>
    <w:rsid w:val="0084686E"/>
    <w:rsid w:val="00867866"/>
    <w:rsid w:val="008901C3"/>
    <w:rsid w:val="008C082F"/>
    <w:rsid w:val="008D06EF"/>
    <w:rsid w:val="008D1DE0"/>
    <w:rsid w:val="008D2327"/>
    <w:rsid w:val="008D7620"/>
    <w:rsid w:val="008E70B5"/>
    <w:rsid w:val="00905B1C"/>
    <w:rsid w:val="009114C4"/>
    <w:rsid w:val="00913B44"/>
    <w:rsid w:val="009437FE"/>
    <w:rsid w:val="0094390A"/>
    <w:rsid w:val="00946FA3"/>
    <w:rsid w:val="00955870"/>
    <w:rsid w:val="00955D43"/>
    <w:rsid w:val="0098562B"/>
    <w:rsid w:val="0098685E"/>
    <w:rsid w:val="00987501"/>
    <w:rsid w:val="009A1C42"/>
    <w:rsid w:val="009A2C1D"/>
    <w:rsid w:val="009C2280"/>
    <w:rsid w:val="00A05970"/>
    <w:rsid w:val="00A11443"/>
    <w:rsid w:val="00A20F18"/>
    <w:rsid w:val="00A21C83"/>
    <w:rsid w:val="00A26FD5"/>
    <w:rsid w:val="00A30744"/>
    <w:rsid w:val="00A402F9"/>
    <w:rsid w:val="00A40E21"/>
    <w:rsid w:val="00A46CA8"/>
    <w:rsid w:val="00A71FD2"/>
    <w:rsid w:val="00A72239"/>
    <w:rsid w:val="00A742F7"/>
    <w:rsid w:val="00A763B1"/>
    <w:rsid w:val="00AB566B"/>
    <w:rsid w:val="00AC543A"/>
    <w:rsid w:val="00AF016B"/>
    <w:rsid w:val="00B001A1"/>
    <w:rsid w:val="00B00253"/>
    <w:rsid w:val="00B02C9C"/>
    <w:rsid w:val="00B11C45"/>
    <w:rsid w:val="00B237F2"/>
    <w:rsid w:val="00B26C0E"/>
    <w:rsid w:val="00B33297"/>
    <w:rsid w:val="00B43CBD"/>
    <w:rsid w:val="00B766CD"/>
    <w:rsid w:val="00B81AE9"/>
    <w:rsid w:val="00B87EEA"/>
    <w:rsid w:val="00B94C10"/>
    <w:rsid w:val="00BA0992"/>
    <w:rsid w:val="00BD1793"/>
    <w:rsid w:val="00BD2FDD"/>
    <w:rsid w:val="00BF6A6A"/>
    <w:rsid w:val="00BF7634"/>
    <w:rsid w:val="00C06E91"/>
    <w:rsid w:val="00C264F6"/>
    <w:rsid w:val="00C26D2E"/>
    <w:rsid w:val="00C3183D"/>
    <w:rsid w:val="00C55C50"/>
    <w:rsid w:val="00C643F1"/>
    <w:rsid w:val="00C8125F"/>
    <w:rsid w:val="00C81C5C"/>
    <w:rsid w:val="00C82243"/>
    <w:rsid w:val="00C83EE5"/>
    <w:rsid w:val="00C87171"/>
    <w:rsid w:val="00CA0287"/>
    <w:rsid w:val="00CA4BB0"/>
    <w:rsid w:val="00CF3545"/>
    <w:rsid w:val="00CF38D1"/>
    <w:rsid w:val="00CF6D57"/>
    <w:rsid w:val="00D06415"/>
    <w:rsid w:val="00D15E1C"/>
    <w:rsid w:val="00D23935"/>
    <w:rsid w:val="00D35EBB"/>
    <w:rsid w:val="00D455DF"/>
    <w:rsid w:val="00D53B32"/>
    <w:rsid w:val="00D61425"/>
    <w:rsid w:val="00D6388B"/>
    <w:rsid w:val="00D827FF"/>
    <w:rsid w:val="00D90538"/>
    <w:rsid w:val="00D97126"/>
    <w:rsid w:val="00DA0AD7"/>
    <w:rsid w:val="00DA29D7"/>
    <w:rsid w:val="00DC2B5F"/>
    <w:rsid w:val="00E079E3"/>
    <w:rsid w:val="00E12217"/>
    <w:rsid w:val="00E13C52"/>
    <w:rsid w:val="00E276CF"/>
    <w:rsid w:val="00E4106C"/>
    <w:rsid w:val="00E4115E"/>
    <w:rsid w:val="00E46E08"/>
    <w:rsid w:val="00E471E4"/>
    <w:rsid w:val="00E63730"/>
    <w:rsid w:val="00E75CAD"/>
    <w:rsid w:val="00E77EE8"/>
    <w:rsid w:val="00E80B30"/>
    <w:rsid w:val="00E973D6"/>
    <w:rsid w:val="00EB213F"/>
    <w:rsid w:val="00EB488E"/>
    <w:rsid w:val="00EE1D85"/>
    <w:rsid w:val="00EE4A0E"/>
    <w:rsid w:val="00F13CEA"/>
    <w:rsid w:val="00F330F7"/>
    <w:rsid w:val="00F34546"/>
    <w:rsid w:val="00F44867"/>
    <w:rsid w:val="00F476D4"/>
    <w:rsid w:val="00F556DE"/>
    <w:rsid w:val="00F60C97"/>
    <w:rsid w:val="00F71084"/>
    <w:rsid w:val="00F943E6"/>
    <w:rsid w:val="00FA0229"/>
    <w:rsid w:val="00FA0911"/>
    <w:rsid w:val="00FA77F7"/>
    <w:rsid w:val="00FB1639"/>
    <w:rsid w:val="00FB168C"/>
    <w:rsid w:val="00FC0F84"/>
    <w:rsid w:val="00FE0E7C"/>
    <w:rsid w:val="00FE2E65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rdtekst21">
    <w:name w:val="Brødtekst 21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rdtekst22">
    <w:name w:val="Brødtekst 22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rdtekst31">
    <w:name w:val="Brødteks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rdtekst23">
    <w:name w:val="Brødteks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rdtekst24">
    <w:name w:val="Brødtekst 24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rdtekst25">
    <w:name w:val="Brødtekst 25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rdtekst21">
    <w:name w:val="Brødtekst 21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rdtekst22">
    <w:name w:val="Brødtekst 22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rdtekst31">
    <w:name w:val="Brødteks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rdtekst23">
    <w:name w:val="Brødteks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rdtekst24">
    <w:name w:val="Brødtekst 24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rdtekst25">
    <w:name w:val="Brødtekst 25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W-DOT\BENUTZ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3693-ED14-4BAE-82DB-7254120E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BENUTZER</Template>
  <TotalTime>1</TotalTime>
  <Pages>1</Pages>
  <Words>133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Achema</vt:lpstr>
    </vt:vector>
  </TitlesOfParts>
  <Company>Phoenix Contact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3</cp:revision>
  <cp:lastPrinted>2012-01-05T09:15:00Z</cp:lastPrinted>
  <dcterms:created xsi:type="dcterms:W3CDTF">2012-05-31T19:03:00Z</dcterms:created>
  <dcterms:modified xsi:type="dcterms:W3CDTF">2012-05-31T19:04:00Z</dcterms:modified>
</cp:coreProperties>
</file>