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5D48" w14:textId="41085442" w:rsidR="007A3A2F" w:rsidRPr="003432EB" w:rsidRDefault="007A3A2F" w:rsidP="007A3A2F">
      <w:pPr>
        <w:pStyle w:val="titel"/>
        <w:rPr>
          <w:sz w:val="22"/>
          <w:szCs w:val="22"/>
          <w:lang w:val="en-US"/>
        </w:rPr>
      </w:pPr>
      <w:r w:rsidRPr="003432EB">
        <w:rPr>
          <w:sz w:val="22"/>
          <w:szCs w:val="22"/>
          <w:lang w:val="en-US"/>
        </w:rPr>
        <w:t>GOETHEANUM</w:t>
      </w:r>
      <w:r w:rsidRPr="003432EB">
        <w:rPr>
          <w:sz w:val="22"/>
          <w:szCs w:val="22"/>
          <w:lang w:val="en-US"/>
        </w:rPr>
        <w:tab/>
      </w:r>
      <w:r w:rsidR="00B90BB3" w:rsidRPr="003432EB">
        <w:rPr>
          <w:sz w:val="22"/>
          <w:szCs w:val="22"/>
          <w:lang w:val="en-US"/>
        </w:rPr>
        <w:t xml:space="preserve"> </w:t>
      </w:r>
      <w:r w:rsidR="0081275A" w:rsidRPr="003432EB">
        <w:rPr>
          <w:sz w:val="22"/>
          <w:szCs w:val="22"/>
          <w:lang w:val="en-US"/>
        </w:rPr>
        <w:t>COMUNICACIÓN</w:t>
      </w:r>
    </w:p>
    <w:p w14:paraId="2CA980B4" w14:textId="77777777" w:rsidR="007A3A2F" w:rsidRPr="003432EB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2AC89ED5" w14:textId="77777777" w:rsidR="003432EB" w:rsidRPr="003432EB" w:rsidRDefault="003432EB" w:rsidP="003432EB">
      <w:pPr>
        <w:pStyle w:val="titel"/>
        <w:jc w:val="right"/>
        <w:rPr>
          <w:rFonts w:ascii="Titillium Lt" w:hAnsi="Titillium Lt" w:cs="Titillium Lt"/>
          <w:sz w:val="22"/>
          <w:szCs w:val="22"/>
          <w:lang w:val="en-US"/>
        </w:rPr>
      </w:pPr>
      <w:r w:rsidRPr="003432EB">
        <w:rPr>
          <w:sz w:val="22"/>
          <w:szCs w:val="22"/>
          <w:lang w:val="en-US"/>
        </w:rPr>
        <w:tab/>
        <w:t>Goetheanum, Dornach, Suiza, 18 de junio de 2024</w:t>
      </w:r>
    </w:p>
    <w:p w14:paraId="6D820AD9" w14:textId="77777777" w:rsidR="003432EB" w:rsidRPr="003432EB" w:rsidRDefault="003432EB" w:rsidP="003432EB">
      <w:pPr>
        <w:pStyle w:val="titel"/>
        <w:rPr>
          <w:sz w:val="28"/>
          <w:szCs w:val="28"/>
          <w:lang w:val="en-US"/>
        </w:rPr>
      </w:pPr>
    </w:p>
    <w:p w14:paraId="30E70CE3" w14:textId="77777777" w:rsidR="003432EB" w:rsidRPr="003432EB" w:rsidRDefault="003432EB" w:rsidP="003432EB">
      <w:pPr>
        <w:pStyle w:val="titel"/>
        <w:spacing w:before="57"/>
        <w:rPr>
          <w:b/>
          <w:bCs/>
          <w:sz w:val="28"/>
          <w:szCs w:val="28"/>
          <w:lang w:val="en-US"/>
        </w:rPr>
      </w:pPr>
      <w:r w:rsidRPr="003432EB">
        <w:rPr>
          <w:b/>
          <w:bCs/>
          <w:sz w:val="28"/>
          <w:szCs w:val="28"/>
          <w:lang w:val="en-US"/>
        </w:rPr>
        <w:t>Asistencia en casos del síndrome post-covid y postvacunal</w:t>
      </w:r>
    </w:p>
    <w:p w14:paraId="2AE62314" w14:textId="77777777" w:rsidR="003432EB" w:rsidRPr="003432EB" w:rsidRDefault="003432EB" w:rsidP="003432EB">
      <w:pPr>
        <w:pStyle w:val="titel"/>
        <w:spacing w:before="57"/>
        <w:rPr>
          <w:b/>
          <w:bCs/>
          <w:sz w:val="24"/>
          <w:szCs w:val="24"/>
          <w:lang w:val="en-US"/>
        </w:rPr>
      </w:pPr>
      <w:r w:rsidRPr="003432EB">
        <w:rPr>
          <w:b/>
          <w:bCs/>
          <w:sz w:val="24"/>
          <w:szCs w:val="24"/>
          <w:lang w:val="en-US"/>
        </w:rPr>
        <w:t>Experiencias con los métodos de la medicina antroposófica</w:t>
      </w:r>
    </w:p>
    <w:p w14:paraId="59DC7C19" w14:textId="77777777" w:rsidR="003432EB" w:rsidRPr="003432EB" w:rsidRDefault="003432EB" w:rsidP="003432EB">
      <w:pPr>
        <w:pStyle w:val="body"/>
        <w:rPr>
          <w:b/>
          <w:bCs/>
          <w:lang w:val="en-US"/>
        </w:rPr>
      </w:pPr>
    </w:p>
    <w:p w14:paraId="7A91B002" w14:textId="77777777" w:rsidR="003432EB" w:rsidRPr="003432EB" w:rsidRDefault="003432EB" w:rsidP="003432EB">
      <w:pPr>
        <w:pStyle w:val="body"/>
        <w:rPr>
          <w:rFonts w:ascii="Titillium" w:hAnsi="Titillium" w:cs="Titillium"/>
          <w:b/>
          <w:bCs/>
          <w:sz w:val="21"/>
          <w:szCs w:val="21"/>
          <w:lang w:val="en-US"/>
        </w:rPr>
      </w:pPr>
      <w:r w:rsidRPr="003432EB">
        <w:rPr>
          <w:rFonts w:ascii="Titillium" w:hAnsi="Titillium" w:cs="Titillium"/>
          <w:b/>
          <w:bCs/>
          <w:spacing w:val="-1"/>
          <w:sz w:val="21"/>
          <w:szCs w:val="21"/>
          <w:lang w:val="en-US"/>
        </w:rPr>
        <w:t>El tratamiento de las secuelas a largo plazo tras una infección por la Covid-19 o una vacunación contra la Covid-19 no es exitoso en todos los pacientes. La medicina antroposófica tiene experiencia en cómo ayudar en estos casos. El internista y gastroenterólogo Harald Matthes presenta los posibles tratamientos en un podcast.</w:t>
      </w:r>
    </w:p>
    <w:p w14:paraId="421A3044" w14:textId="77777777" w:rsidR="003432EB" w:rsidRPr="003432EB" w:rsidRDefault="003432EB" w:rsidP="003432EB">
      <w:pPr>
        <w:pStyle w:val="body"/>
        <w:rPr>
          <w:rFonts w:ascii="Titillium" w:hAnsi="Titillium" w:cs="Titillium"/>
          <w:spacing w:val="1"/>
          <w:sz w:val="21"/>
          <w:szCs w:val="21"/>
          <w:lang w:val="en-US"/>
        </w:rPr>
      </w:pPr>
      <w:r w:rsidRPr="003432EB">
        <w:rPr>
          <w:rFonts w:ascii="Titillium" w:hAnsi="Titillium" w:cs="Titillium"/>
          <w:spacing w:val="1"/>
          <w:sz w:val="21"/>
          <w:szCs w:val="21"/>
          <w:lang w:val="en-US"/>
        </w:rPr>
        <w:t xml:space="preserve"> </w:t>
      </w:r>
    </w:p>
    <w:p w14:paraId="01BA7DFE" w14:textId="77777777" w:rsidR="003432EB" w:rsidRPr="003432EB" w:rsidRDefault="003432EB" w:rsidP="003432EB">
      <w:pPr>
        <w:pStyle w:val="body"/>
        <w:rPr>
          <w:rFonts w:ascii="Titillium" w:hAnsi="Titillium" w:cs="Titillium"/>
          <w:spacing w:val="1"/>
          <w:sz w:val="21"/>
          <w:szCs w:val="21"/>
          <w:lang w:val="en-US"/>
        </w:rPr>
      </w:pPr>
      <w:r w:rsidRPr="003432EB">
        <w:rPr>
          <w:rFonts w:ascii="Titillium" w:hAnsi="Titillium" w:cs="Titillium"/>
          <w:spacing w:val="1"/>
          <w:sz w:val="21"/>
          <w:szCs w:val="21"/>
          <w:lang w:val="en-US"/>
        </w:rPr>
        <w:t>Quien sufre secuelas a largo plazo tras una infección por el virus de Covid-19 o tras vacunarse contra él suele verse doblemente afectado: los síntomas pueden ser tan graves que ya no es posible llevar una vida cotidiana normal; además es bastante habitual que los afectados tengan que pasar casi una odisea para recibir la asistencia adecuada. «Los médicos hemos tenido que aprender poco a poco a hacer el diagnóstico correcto», afirma Harald Matthes, Director Médico del Hospital Comunitario de Havelhöhe y catedrático de la Charité de Berlín (Alemania). Desde el estallido de la pandemia de Covid-19 hace cuatro años, el experto en medicina antroposófica e investigación en medicina integrativa trata a personas que padecen el síndrome persistente post-covid/Covid o el síndrome postvacunal.</w:t>
      </w:r>
    </w:p>
    <w:p w14:paraId="6A803237" w14:textId="77777777" w:rsidR="003432EB" w:rsidRPr="003432EB" w:rsidRDefault="003432EB" w:rsidP="003432EB">
      <w:pPr>
        <w:pStyle w:val="body"/>
        <w:rPr>
          <w:rFonts w:ascii="Titillium" w:hAnsi="Titillium" w:cs="Titillium"/>
          <w:spacing w:val="1"/>
          <w:sz w:val="21"/>
          <w:szCs w:val="21"/>
          <w:lang w:val="en-US"/>
        </w:rPr>
      </w:pPr>
    </w:p>
    <w:p w14:paraId="531369FC" w14:textId="77777777" w:rsidR="003432EB" w:rsidRPr="00DE6E6A" w:rsidRDefault="003432EB" w:rsidP="003432EB">
      <w:pPr>
        <w:pStyle w:val="body"/>
        <w:rPr>
          <w:rFonts w:ascii="Titillium" w:hAnsi="Titillium" w:cs="Titillium"/>
          <w:spacing w:val="1"/>
          <w:sz w:val="21"/>
          <w:szCs w:val="21"/>
          <w:lang w:val="en-US"/>
        </w:rPr>
      </w:pPr>
      <w:r w:rsidRPr="003C120C">
        <w:rPr>
          <w:rFonts w:ascii="Titillium" w:hAnsi="Titillium" w:cs="Titillium"/>
          <w:spacing w:val="1"/>
          <w:sz w:val="21"/>
          <w:szCs w:val="21"/>
          <w:lang w:val="en-US"/>
        </w:rPr>
        <w:t xml:space="preserve">Harald Matthes comenta que los pacientes a menudo se sienten solos. En Alemania, los costes del análisis complejo de autoinmunidad y de proteínas espiga, como indicios de efectos ‹post-Covid› a largo plazo, aún no son cubiertos por los seguros sanitarios. </w:t>
      </w:r>
      <w:r w:rsidRPr="00DE6E6A">
        <w:rPr>
          <w:rFonts w:ascii="Titillium" w:hAnsi="Titillium" w:cs="Titillium"/>
          <w:spacing w:val="1"/>
          <w:sz w:val="21"/>
          <w:szCs w:val="21"/>
          <w:lang w:val="en-US"/>
        </w:rPr>
        <w:t>Además, las terapias convencionales a menudo siguen sin tener métodos eficaces para los complejos síntomas. Frente a esta situación, junto con otros médicos de Alemania, Suiza, Países Bajos y Hungría, Harald Matthes ha recopilado experiencias de tratamiento con la medicina antroposófica en el portal especializado Anthromedics. En el portal, Matthes menciona medicamentos que alivian los síntomas y tienen un efecto regulador y fortalecedor sobre los sistemas orgánicos debilitados, y recomienda aplicaciones externas específicas como compresas, baños y terapias físicas y motoras antroposóficas. Harald Matthes también ha creado una nueva serie de podcasts para la Sección Médica del Goetheanum, titulada ‹Mensch und Gesundheit› (Ser Humano y Salud), en la que da su interpretación de la situación de los afectados, expone el estado de la investigación sobre el síndrome post-Covid y postvacunal y habla de la importancia de las terapias médicas integrales de una forma comprensible para todos.</w:t>
      </w:r>
    </w:p>
    <w:p w14:paraId="2AD5B8A6" w14:textId="77777777" w:rsidR="003432EB" w:rsidRPr="00DE6E6A" w:rsidRDefault="003432EB" w:rsidP="003432EB">
      <w:pPr>
        <w:pStyle w:val="body"/>
        <w:jc w:val="right"/>
        <w:rPr>
          <w:rFonts w:ascii="Titillium" w:hAnsi="Titillium" w:cs="Titillium"/>
          <w:spacing w:val="1"/>
          <w:sz w:val="21"/>
          <w:szCs w:val="21"/>
          <w:lang w:val="en-US"/>
        </w:rPr>
      </w:pPr>
      <w:r w:rsidRPr="00DE6E6A">
        <w:rPr>
          <w:rFonts w:ascii="Titillium" w:hAnsi="Titillium" w:cs="Titillium"/>
          <w:sz w:val="21"/>
          <w:szCs w:val="21"/>
          <w:lang w:val="en-US"/>
        </w:rPr>
        <w:t>(2373 caracteres/SJ; traducido por Michael Kranawetvogl)</w:t>
      </w:r>
    </w:p>
    <w:p w14:paraId="64197272" w14:textId="77777777" w:rsidR="003432EB" w:rsidRDefault="003432EB" w:rsidP="003432EB">
      <w:pPr>
        <w:pStyle w:val="body"/>
        <w:spacing w:before="57"/>
        <w:rPr>
          <w:rFonts w:ascii="Titillium" w:hAnsi="Titillium" w:cs="Titillium"/>
          <w:spacing w:val="1"/>
          <w:sz w:val="21"/>
          <w:szCs w:val="21"/>
        </w:rPr>
      </w:pPr>
      <w:r>
        <w:rPr>
          <w:rFonts w:ascii="Titillium Bd" w:hAnsi="Titillium Bd" w:cs="Titillium Bd"/>
          <w:b/>
          <w:bCs/>
          <w:spacing w:val="1"/>
          <w:sz w:val="21"/>
          <w:szCs w:val="21"/>
        </w:rPr>
        <w:t>Entrevista</w:t>
      </w:r>
      <w:r>
        <w:rPr>
          <w:rFonts w:ascii="Titillium" w:hAnsi="Titillium" w:cs="Titillium"/>
          <w:spacing w:val="1"/>
          <w:sz w:val="21"/>
          <w:szCs w:val="21"/>
        </w:rPr>
        <w:t xml:space="preserve"> ‹Was hilft bei Post-Covid und dem Post-Vakzin-Syndrom?› (Cómo tratar el síndrome post-Covid y postvacunal), en la serie de podcasts ‹Mensch und Gesundheit› (Ser Humano y Salud), de 45 minutos de duración, share.transistor.fm/s/0978a82c</w:t>
      </w:r>
    </w:p>
    <w:p w14:paraId="3F487DD2" w14:textId="77777777" w:rsidR="003432EB" w:rsidRDefault="003432EB" w:rsidP="003432EB">
      <w:pPr>
        <w:pStyle w:val="body"/>
        <w:spacing w:before="57"/>
        <w:rPr>
          <w:rFonts w:ascii="Titillium" w:hAnsi="Titillium" w:cs="Titillium"/>
          <w:spacing w:val="1"/>
          <w:sz w:val="21"/>
          <w:szCs w:val="21"/>
        </w:rPr>
      </w:pPr>
      <w:r>
        <w:rPr>
          <w:rFonts w:ascii="Titillium Bd" w:hAnsi="Titillium Bd" w:cs="Titillium Bd"/>
          <w:b/>
          <w:bCs/>
          <w:spacing w:val="1"/>
          <w:sz w:val="21"/>
          <w:szCs w:val="21"/>
        </w:rPr>
        <w:t>La eficacia terapéutica de la medicina antroposófica (alemán, inglés)</w:t>
      </w:r>
      <w:r>
        <w:rPr>
          <w:rFonts w:ascii="Titillium" w:hAnsi="Titillium" w:cs="Titillium"/>
          <w:spacing w:val="1"/>
          <w:sz w:val="21"/>
          <w:szCs w:val="21"/>
        </w:rPr>
        <w:br/>
        <w:t>www.anthromedics.org/PRA-0993-ES</w:t>
      </w:r>
    </w:p>
    <w:p w14:paraId="7DBB424B" w14:textId="5B0FA52C" w:rsidR="006E7E7B" w:rsidRDefault="003432EB" w:rsidP="003432EB">
      <w:r>
        <w:rPr>
          <w:rFonts w:ascii="Titillium Bd" w:hAnsi="Titillium Bd" w:cs="Titillium Bd"/>
          <w:b/>
          <w:bCs/>
          <w:spacing w:val="1"/>
          <w:sz w:val="21"/>
          <w:szCs w:val="21"/>
        </w:rPr>
        <w:t>Contacto</w:t>
      </w:r>
      <w:r>
        <w:rPr>
          <w:rFonts w:ascii="Titillium" w:hAnsi="Titillium" w:cs="Titillium"/>
          <w:spacing w:val="1"/>
          <w:sz w:val="21"/>
          <w:szCs w:val="21"/>
        </w:rPr>
        <w:t xml:space="preserve"> Julia Demming, julia.demming@medsektion-goetheanum.ch</w:t>
      </w:r>
    </w:p>
    <w:sectPr w:rsidR="006E7E7B" w:rsidSect="00DE6E6A">
      <w:pgSz w:w="11906" w:h="16838"/>
      <w:pgMar w:top="1134" w:right="1985" w:bottom="1134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Titillium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Titillium Lt"/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3432EB"/>
    <w:rsid w:val="00396DE3"/>
    <w:rsid w:val="003C120C"/>
    <w:rsid w:val="006E7E7B"/>
    <w:rsid w:val="006F57DB"/>
    <w:rsid w:val="007A3A2F"/>
    <w:rsid w:val="0081275A"/>
    <w:rsid w:val="00B90BB3"/>
    <w:rsid w:val="00DE6E6A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9</cp:revision>
  <dcterms:created xsi:type="dcterms:W3CDTF">2020-10-31T17:28:00Z</dcterms:created>
  <dcterms:modified xsi:type="dcterms:W3CDTF">2024-06-18T15:57:00Z</dcterms:modified>
</cp:coreProperties>
</file>