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95" w:rsidRDefault="00B74929">
      <w:pPr>
        <w:rPr>
          <w:sz w:val="36"/>
          <w:szCs w:val="36"/>
        </w:rPr>
      </w:pPr>
      <w:r w:rsidRPr="00B74929">
        <w:rPr>
          <w:sz w:val="36"/>
          <w:szCs w:val="36"/>
        </w:rPr>
        <w:t>Diagram fasadtrender villor</w:t>
      </w:r>
      <w:r w:rsidRPr="00B74929">
        <w:rPr>
          <w:sz w:val="36"/>
          <w:szCs w:val="36"/>
        </w:rPr>
        <w:br/>
      </w:r>
      <w:r>
        <w:rPr>
          <w:sz w:val="36"/>
          <w:szCs w:val="36"/>
        </w:rPr>
        <w:br/>
      </w:r>
      <w:r>
        <w:rPr>
          <w:noProof/>
        </w:rPr>
        <w:drawing>
          <wp:inline distT="0" distB="0" distL="0" distR="0" wp14:anchorId="1CF7BE1F" wp14:editId="67457AE9">
            <wp:extent cx="5387340" cy="2743200"/>
            <wp:effectExtent l="0" t="0" r="381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301411A-459F-4D31-B080-4B38930690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74929" w:rsidRDefault="00B74929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6929712" wp14:editId="694AEF59">
            <wp:extent cx="5166360" cy="4152900"/>
            <wp:effectExtent l="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5586E37F-FBA6-4B63-8F76-1951BA4355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59E9" w:rsidRDefault="000F59E9">
      <w:pPr>
        <w:rPr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677B642" wp14:editId="62123002">
            <wp:extent cx="5052060" cy="4823460"/>
            <wp:effectExtent l="0" t="0" r="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D9D75994-CCE1-4087-9CC6-2CDABF2D6E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4929" w:rsidRPr="00B74929" w:rsidRDefault="00B74929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0F52423" wp14:editId="5778054A">
            <wp:extent cx="4937760" cy="3535680"/>
            <wp:effectExtent l="0" t="0" r="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B07E3CE1-5774-4100-8CFF-1A1E12634B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B74929" w:rsidRPr="00B7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29"/>
    <w:rsid w:val="000F59E9"/>
    <w:rsid w:val="00A51995"/>
    <w:rsid w:val="00B74929"/>
    <w:rsid w:val="00C3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9603"/>
  <w15:chartTrackingRefBased/>
  <w15:docId w15:val="{9A369FFE-2386-4426-A5EF-7BC8CA8F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7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sv-SE" b="1">
                <a:solidFill>
                  <a:schemeClr val="tx1"/>
                </a:solidFill>
              </a:rPr>
              <a:t>De</a:t>
            </a:r>
            <a:r>
              <a:rPr lang="sv-SE" b="1" baseline="0">
                <a:solidFill>
                  <a:schemeClr val="tx1"/>
                </a:solidFill>
              </a:rPr>
              <a:t> starkaste f</a:t>
            </a:r>
            <a:r>
              <a:rPr lang="sv-SE" b="1">
                <a:solidFill>
                  <a:schemeClr val="tx1"/>
                </a:solidFill>
              </a:rPr>
              <a:t>asadtrenderna de närmaste tio</a:t>
            </a:r>
            <a:r>
              <a:rPr lang="sv-SE" b="1" baseline="0">
                <a:solidFill>
                  <a:schemeClr val="tx1"/>
                </a:solidFill>
              </a:rPr>
              <a:t> åren</a:t>
            </a:r>
            <a:endParaRPr lang="sv-SE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190062257069351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bar"/>
        <c:grouping val="clustered"/>
        <c:varyColors val="0"/>
        <c:ser>
          <c:idx val="2"/>
          <c:order val="2"/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Sheet1!$J$167:$J$177</c:f>
              <c:strCache>
                <c:ptCount val="11"/>
                <c:pt idx="0">
                  <c:v>Vet ej</c:v>
                </c:pt>
                <c:pt idx="1">
                  <c:v>Snickarglädje</c:v>
                </c:pt>
                <c:pt idx="2">
                  <c:v>Rena släta ytor</c:v>
                </c:pt>
                <c:pt idx="3">
                  <c:v>Mönster</c:v>
                </c:pt>
                <c:pt idx="4">
                  <c:v>Struktur</c:v>
                </c:pt>
                <c:pt idx="5">
                  <c:v>Mer färg</c:v>
                </c:pt>
                <c:pt idx="6">
                  <c:v>Underhållsfria material</c:v>
                </c:pt>
                <c:pt idx="7">
                  <c:v>Materialkombinationer</c:v>
                </c:pt>
                <c:pt idx="8">
                  <c:v>Växter som växer vertikalt</c:v>
                </c:pt>
                <c:pt idx="9">
                  <c:v>Stora glaspartier</c:v>
                </c:pt>
                <c:pt idx="10">
                  <c:v>Återanvänt material</c:v>
                </c:pt>
              </c:strCache>
            </c:strRef>
          </c:cat>
          <c:val>
            <c:numRef>
              <c:f>Sheet1!$M$167:$M$177</c:f>
              <c:numCache>
                <c:formatCode>0%</c:formatCode>
                <c:ptCount val="11"/>
                <c:pt idx="0">
                  <c:v>0.13</c:v>
                </c:pt>
                <c:pt idx="1">
                  <c:v>0.04</c:v>
                </c:pt>
                <c:pt idx="2">
                  <c:v>0.05</c:v>
                </c:pt>
                <c:pt idx="3">
                  <c:v>0.05</c:v>
                </c:pt>
                <c:pt idx="4">
                  <c:v>7.0000000000000007E-2</c:v>
                </c:pt>
                <c:pt idx="5">
                  <c:v>0.15</c:v>
                </c:pt>
                <c:pt idx="6">
                  <c:v>0.2</c:v>
                </c:pt>
                <c:pt idx="7">
                  <c:v>0.21</c:v>
                </c:pt>
                <c:pt idx="8">
                  <c:v>0.21</c:v>
                </c:pt>
                <c:pt idx="9">
                  <c:v>0.33</c:v>
                </c:pt>
                <c:pt idx="10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D4-4384-84DB-9C2F221C5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7681304"/>
        <c:axId val="42768261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Sheet1!$J$167:$J$177</c15:sqref>
                        </c15:formulaRef>
                      </c:ext>
                    </c:extLst>
                    <c:strCache>
                      <c:ptCount val="11"/>
                      <c:pt idx="0">
                        <c:v>Vet ej</c:v>
                      </c:pt>
                      <c:pt idx="1">
                        <c:v>Snickarglädje</c:v>
                      </c:pt>
                      <c:pt idx="2">
                        <c:v>Rena släta ytor</c:v>
                      </c:pt>
                      <c:pt idx="3">
                        <c:v>Mönster</c:v>
                      </c:pt>
                      <c:pt idx="4">
                        <c:v>Struktur</c:v>
                      </c:pt>
                      <c:pt idx="5">
                        <c:v>Mer färg</c:v>
                      </c:pt>
                      <c:pt idx="6">
                        <c:v>Underhållsfria material</c:v>
                      </c:pt>
                      <c:pt idx="7">
                        <c:v>Materialkombinationer</c:v>
                      </c:pt>
                      <c:pt idx="8">
                        <c:v>Växter som växer vertikalt</c:v>
                      </c:pt>
                      <c:pt idx="9">
                        <c:v>Stora glaspartier</c:v>
                      </c:pt>
                      <c:pt idx="10">
                        <c:v>Återanvänt material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Sheet1!$K$167:$K$177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8D4-4384-84DB-9C2F221C5495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Sheet1!$J$167:$J$177</c15:sqref>
                        </c15:formulaRef>
                      </c:ext>
                    </c:extLst>
                    <c:strCache>
                      <c:ptCount val="11"/>
                      <c:pt idx="0">
                        <c:v>Vet ej</c:v>
                      </c:pt>
                      <c:pt idx="1">
                        <c:v>Snickarglädje</c:v>
                      </c:pt>
                      <c:pt idx="2">
                        <c:v>Rena släta ytor</c:v>
                      </c:pt>
                      <c:pt idx="3">
                        <c:v>Mönster</c:v>
                      </c:pt>
                      <c:pt idx="4">
                        <c:v>Struktur</c:v>
                      </c:pt>
                      <c:pt idx="5">
                        <c:v>Mer färg</c:v>
                      </c:pt>
                      <c:pt idx="6">
                        <c:v>Underhållsfria material</c:v>
                      </c:pt>
                      <c:pt idx="7">
                        <c:v>Materialkombinationer</c:v>
                      </c:pt>
                      <c:pt idx="8">
                        <c:v>Växter som växer vertikalt</c:v>
                      </c:pt>
                      <c:pt idx="9">
                        <c:v>Stora glaspartier</c:v>
                      </c:pt>
                      <c:pt idx="10">
                        <c:v>Återanvänt material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Sheet1!$L$167:$L$177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78D4-4384-84DB-9C2F221C5495}"/>
                  </c:ext>
                </c:extLst>
              </c15:ser>
            </c15:filteredBarSeries>
          </c:ext>
        </c:extLst>
      </c:barChart>
      <c:catAx>
        <c:axId val="427681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27682616"/>
        <c:crosses val="autoZero"/>
        <c:auto val="1"/>
        <c:lblAlgn val="ctr"/>
        <c:lblOffset val="100"/>
        <c:noMultiLvlLbl val="0"/>
      </c:catAx>
      <c:valAx>
        <c:axId val="427682616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27681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 baseline="0">
                <a:solidFill>
                  <a:sysClr val="windowText" lastClr="000000"/>
                </a:solidFill>
              </a:rPr>
              <a:t>Fasadfärger som kommer att öka mest i popularitet</a:t>
            </a:r>
            <a:br>
              <a:rPr lang="sv-SE" b="1" baseline="0">
                <a:solidFill>
                  <a:sysClr val="windowText" lastClr="000000"/>
                </a:solidFill>
              </a:rPr>
            </a:br>
            <a:r>
              <a:rPr lang="sv-SE" b="1" baseline="0">
                <a:solidFill>
                  <a:sysClr val="windowText" lastClr="000000"/>
                </a:solidFill>
              </a:rPr>
              <a:t> de närmaste tio åren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5566-429E-927F-83738ADA44B7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5566-429E-927F-83738ADA44B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5566-429E-927F-83738ADA44B7}"/>
              </c:ext>
            </c:extLst>
          </c:dPt>
          <c:dPt>
            <c:idx val="3"/>
            <c:invertIfNegative val="0"/>
            <c:bubble3D val="0"/>
            <c:spPr>
              <a:gradFill flip="none" rotWithShape="1">
                <a:gsLst>
                  <a:gs pos="0">
                    <a:schemeClr val="accent2">
                      <a:lumMod val="60000"/>
                      <a:lumOff val="40000"/>
                      <a:shade val="30000"/>
                      <a:satMod val="115000"/>
                    </a:schemeClr>
                  </a:gs>
                  <a:gs pos="50000">
                    <a:schemeClr val="accent2">
                      <a:lumMod val="60000"/>
                      <a:lumOff val="40000"/>
                      <a:shade val="67500"/>
                      <a:satMod val="115000"/>
                    </a:schemeClr>
                  </a:gs>
                  <a:gs pos="100000">
                    <a:schemeClr val="accent2">
                      <a:lumMod val="60000"/>
                      <a:lumOff val="40000"/>
                      <a:shade val="100000"/>
                      <a:satMod val="115000"/>
                    </a:schemeClr>
                  </a:gs>
                </a:gsLst>
                <a:lin ang="5400000" scaled="1"/>
                <a:tileRect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5566-429E-927F-83738ADA44B7}"/>
              </c:ext>
            </c:extLst>
          </c:dPt>
          <c:dPt>
            <c:idx val="4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5566-429E-927F-83738ADA44B7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5566-429E-927F-83738ADA44B7}"/>
              </c:ext>
            </c:extLst>
          </c:dPt>
          <c:dPt>
            <c:idx val="6"/>
            <c:invertIfNegative val="0"/>
            <c:bubble3D val="0"/>
            <c:spPr>
              <a:solidFill>
                <a:schemeClr val="tx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5566-429E-927F-83738ADA44B7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5566-429E-927F-83738ADA44B7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5566-429E-927F-83738ADA44B7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5566-429E-927F-83738ADA44B7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5566-429E-927F-83738ADA44B7}"/>
              </c:ext>
            </c:extLst>
          </c:dPt>
          <c:cat>
            <c:strRef>
              <c:f>Sheet1!$L$141:$L$152</c:f>
              <c:strCache>
                <c:ptCount val="12"/>
                <c:pt idx="0">
                  <c:v>Vitt</c:v>
                </c:pt>
                <c:pt idx="1">
                  <c:v>Rött</c:v>
                </c:pt>
                <c:pt idx="2">
                  <c:v>Grått</c:v>
                </c:pt>
                <c:pt idx="3">
                  <c:v>Naturlig</c:v>
                </c:pt>
                <c:pt idx="4">
                  <c:v>Gult</c:v>
                </c:pt>
                <c:pt idx="5">
                  <c:v>Grönt</c:v>
                </c:pt>
                <c:pt idx="6">
                  <c:v>Svart</c:v>
                </c:pt>
                <c:pt idx="7">
                  <c:v>Brunt</c:v>
                </c:pt>
                <c:pt idx="8">
                  <c:v>Blått</c:v>
                </c:pt>
                <c:pt idx="9">
                  <c:v>Beige</c:v>
                </c:pt>
                <c:pt idx="10">
                  <c:v>Vet ej</c:v>
                </c:pt>
                <c:pt idx="11">
                  <c:v>Annan färg</c:v>
                </c:pt>
              </c:strCache>
            </c:strRef>
          </c:cat>
          <c:val>
            <c:numRef>
              <c:f>Sheet1!$M$141:$M$152</c:f>
              <c:numCache>
                <c:formatCode>0%</c:formatCode>
                <c:ptCount val="12"/>
                <c:pt idx="0">
                  <c:v>0.19</c:v>
                </c:pt>
                <c:pt idx="1">
                  <c:v>0.18</c:v>
                </c:pt>
                <c:pt idx="2">
                  <c:v>0.15</c:v>
                </c:pt>
                <c:pt idx="3">
                  <c:v>0.14000000000000001</c:v>
                </c:pt>
                <c:pt idx="4">
                  <c:v>0.13</c:v>
                </c:pt>
                <c:pt idx="5">
                  <c:v>0.09</c:v>
                </c:pt>
                <c:pt idx="6">
                  <c:v>0.09</c:v>
                </c:pt>
                <c:pt idx="7">
                  <c:v>0.06</c:v>
                </c:pt>
                <c:pt idx="8">
                  <c:v>0.06</c:v>
                </c:pt>
                <c:pt idx="9">
                  <c:v>0.05</c:v>
                </c:pt>
                <c:pt idx="10">
                  <c:v>0.32</c:v>
                </c:pt>
                <c:pt idx="11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5566-429E-927F-83738ADA44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1563240"/>
        <c:axId val="401563568"/>
        <c:axId val="0"/>
      </c:bar3DChart>
      <c:catAx>
        <c:axId val="401563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01563568"/>
        <c:crosses val="autoZero"/>
        <c:auto val="1"/>
        <c:lblAlgn val="ctr"/>
        <c:lblOffset val="100"/>
        <c:noMultiLvlLbl val="0"/>
      </c:catAx>
      <c:valAx>
        <c:axId val="40156356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01563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>
                <a:solidFill>
                  <a:sysClr val="windowText" lastClr="000000"/>
                </a:solidFill>
              </a:rPr>
              <a:t>Fasadmaterial</a:t>
            </a:r>
            <a:r>
              <a:rPr lang="sv-SE" b="1" baseline="0">
                <a:solidFill>
                  <a:sysClr val="windowText" lastClr="000000"/>
                </a:solidFill>
              </a:rPr>
              <a:t> som kommer att öka mest i popularitet </a:t>
            </a:r>
          </a:p>
          <a:p>
            <a:pPr>
              <a:defRPr/>
            </a:pPr>
            <a:r>
              <a:rPr lang="sv-SE" b="1" baseline="0">
                <a:solidFill>
                  <a:sysClr val="windowText" lastClr="000000"/>
                </a:solidFill>
              </a:rPr>
              <a:t>de närmaste tio åren</a:t>
            </a:r>
            <a:endParaRPr lang="sv-SE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3826913217480469"/>
          <c:y val="0.206886697574018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344925634295713E-2"/>
          <c:y val="0.19486111111111112"/>
          <c:w val="0.81873118985126858"/>
          <c:h val="0.62452269400904326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293037349923097E-2"/>
                  <c:y val="-3.5692804024496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0D-474A-AEB0-11E5A67900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Sheet1!$J$155:$J$165</c:f>
              <c:strCache>
                <c:ptCount val="11"/>
                <c:pt idx="0">
                  <c:v>Träpanel</c:v>
                </c:pt>
                <c:pt idx="1">
                  <c:v>Tegel</c:v>
                </c:pt>
                <c:pt idx="2">
                  <c:v>Fibercement</c:v>
                </c:pt>
                <c:pt idx="3">
                  <c:v>Puts</c:v>
                </c:pt>
                <c:pt idx="4">
                  <c:v>Glas</c:v>
                </c:pt>
                <c:pt idx="5">
                  <c:v>Natursten</c:v>
                </c:pt>
                <c:pt idx="6">
                  <c:v>Plåt</c:v>
                </c:pt>
                <c:pt idx="7">
                  <c:v>Betong</c:v>
                </c:pt>
                <c:pt idx="8">
                  <c:v>Metall</c:v>
                </c:pt>
                <c:pt idx="9">
                  <c:v>Annat material</c:v>
                </c:pt>
                <c:pt idx="10">
                  <c:v>Vet ej</c:v>
                </c:pt>
              </c:strCache>
            </c:strRef>
          </c:cat>
          <c:val>
            <c:numRef>
              <c:f>Sheet1!$K$155:$K$165</c:f>
              <c:numCache>
                <c:formatCode>0%</c:formatCode>
                <c:ptCount val="11"/>
                <c:pt idx="0">
                  <c:v>0.59</c:v>
                </c:pt>
                <c:pt idx="1">
                  <c:v>0.21</c:v>
                </c:pt>
                <c:pt idx="2">
                  <c:v>0.12</c:v>
                </c:pt>
                <c:pt idx="3">
                  <c:v>0.1</c:v>
                </c:pt>
                <c:pt idx="4">
                  <c:v>0.06</c:v>
                </c:pt>
                <c:pt idx="5">
                  <c:v>0.06</c:v>
                </c:pt>
                <c:pt idx="6">
                  <c:v>0.05</c:v>
                </c:pt>
                <c:pt idx="7">
                  <c:v>0.04</c:v>
                </c:pt>
                <c:pt idx="8">
                  <c:v>0.04</c:v>
                </c:pt>
                <c:pt idx="9">
                  <c:v>0.03</c:v>
                </c:pt>
                <c:pt idx="10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0D-474A-AEB0-11E5A6790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7522744"/>
        <c:axId val="497525040"/>
        <c:axId val="693126888"/>
      </c:bar3DChart>
      <c:catAx>
        <c:axId val="497522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97525040"/>
        <c:crosses val="autoZero"/>
        <c:auto val="1"/>
        <c:lblAlgn val="ctr"/>
        <c:lblOffset val="100"/>
        <c:noMultiLvlLbl val="0"/>
      </c:catAx>
      <c:valAx>
        <c:axId val="49752504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97522744"/>
        <c:crosses val="autoZero"/>
        <c:crossBetween val="between"/>
      </c:valAx>
      <c:serAx>
        <c:axId val="6931268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97525040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>
                <a:solidFill>
                  <a:sysClr val="windowText" lastClr="000000"/>
                </a:solidFill>
              </a:rPr>
              <a:t>Fasadmaterial</a:t>
            </a:r>
            <a:r>
              <a:rPr lang="sv-SE" b="1" baseline="0">
                <a:solidFill>
                  <a:sysClr val="windowText" lastClr="000000"/>
                </a:solidFill>
              </a:rPr>
              <a:t> som ger mest problem under 50 år</a:t>
            </a:r>
            <a:endParaRPr lang="sv-SE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111111111111112E-2"/>
                  <c:y val="-0.328703703703703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505-445F-8D07-99BB94B6585C}"/>
                </c:ext>
              </c:extLst>
            </c:dLbl>
            <c:dLbl>
              <c:idx val="1"/>
              <c:layout>
                <c:manualLayout>
                  <c:x val="8.3333333333333332E-3"/>
                  <c:y val="-0.226851851851851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05-445F-8D07-99BB94B6585C}"/>
                </c:ext>
              </c:extLst>
            </c:dLbl>
            <c:dLbl>
              <c:idx val="2"/>
              <c:layout>
                <c:manualLayout>
                  <c:x val="1.1111111111111112E-2"/>
                  <c:y val="-0.185185185185185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05-445F-8D07-99BB94B6585C}"/>
                </c:ext>
              </c:extLst>
            </c:dLbl>
            <c:dLbl>
              <c:idx val="3"/>
              <c:layout>
                <c:manualLayout>
                  <c:x val="8.3333333333333332E-3"/>
                  <c:y val="-0.143518518518518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05-445F-8D07-99BB94B6585C}"/>
                </c:ext>
              </c:extLst>
            </c:dLbl>
            <c:dLbl>
              <c:idx val="4"/>
              <c:layout>
                <c:manualLayout>
                  <c:x val="5.5555555555555558E-3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05-445F-8D07-99BB94B6585C}"/>
                </c:ext>
              </c:extLst>
            </c:dLbl>
            <c:dLbl>
              <c:idx val="5"/>
              <c:layout>
                <c:manualLayout>
                  <c:x val="0"/>
                  <c:y val="-5.09259259259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05-445F-8D07-99BB94B6585C}"/>
                </c:ext>
              </c:extLst>
            </c:dLbl>
            <c:dLbl>
              <c:idx val="6"/>
              <c:layout>
                <c:manualLayout>
                  <c:x val="0"/>
                  <c:y val="-5.555555555555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505-445F-8D07-99BB94B6585C}"/>
                </c:ext>
              </c:extLst>
            </c:dLbl>
            <c:dLbl>
              <c:idx val="7"/>
              <c:layout>
                <c:manualLayout>
                  <c:x val="-1.0185067526415994E-16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505-445F-8D07-99BB94B6585C}"/>
                </c:ext>
              </c:extLst>
            </c:dLbl>
            <c:dLbl>
              <c:idx val="8"/>
              <c:layout>
                <c:manualLayout>
                  <c:x val="-1.0185067526415994E-16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505-445F-8D07-99BB94B6585C}"/>
                </c:ext>
              </c:extLst>
            </c:dLbl>
            <c:dLbl>
              <c:idx val="9"/>
              <c:layout>
                <c:manualLayout>
                  <c:x val="2.7777777777777779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505-445F-8D07-99BB94B6585C}"/>
                </c:ext>
              </c:extLst>
            </c:dLbl>
            <c:dLbl>
              <c:idx val="10"/>
              <c:layout>
                <c:manualLayout>
                  <c:x val="8.3333333333333332E-3"/>
                  <c:y val="-0.199074074074074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505-445F-8D07-99BB94B658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Sheet1!$J$185:$J$195</c:f>
              <c:strCache>
                <c:ptCount val="11"/>
                <c:pt idx="0">
                  <c:v>Puts</c:v>
                </c:pt>
                <c:pt idx="1">
                  <c:v>Träpanel</c:v>
                </c:pt>
                <c:pt idx="2">
                  <c:v>Plast/komposit</c:v>
                </c:pt>
                <c:pt idx="3">
                  <c:v>Plåt</c:v>
                </c:pt>
                <c:pt idx="4">
                  <c:v>Fibercement</c:v>
                </c:pt>
                <c:pt idx="5">
                  <c:v>Betong</c:v>
                </c:pt>
                <c:pt idx="6">
                  <c:v>Tegel</c:v>
                </c:pt>
                <c:pt idx="7">
                  <c:v>Metall</c:v>
                </c:pt>
                <c:pt idx="8">
                  <c:v>Natursten</c:v>
                </c:pt>
                <c:pt idx="9">
                  <c:v>Glas</c:v>
                </c:pt>
                <c:pt idx="10">
                  <c:v>Vet ej</c:v>
                </c:pt>
              </c:strCache>
            </c:strRef>
          </c:cat>
          <c:val>
            <c:numRef>
              <c:f>Sheet1!$K$185:$K$195</c:f>
              <c:numCache>
                <c:formatCode>0%</c:formatCode>
                <c:ptCount val="11"/>
                <c:pt idx="0">
                  <c:v>0.41</c:v>
                </c:pt>
                <c:pt idx="1">
                  <c:v>0.27</c:v>
                </c:pt>
                <c:pt idx="2">
                  <c:v>0.18</c:v>
                </c:pt>
                <c:pt idx="3">
                  <c:v>0.11</c:v>
                </c:pt>
                <c:pt idx="4">
                  <c:v>0.09</c:v>
                </c:pt>
                <c:pt idx="5">
                  <c:v>0.03</c:v>
                </c:pt>
                <c:pt idx="6">
                  <c:v>0.03</c:v>
                </c:pt>
                <c:pt idx="7">
                  <c:v>0.02</c:v>
                </c:pt>
                <c:pt idx="8">
                  <c:v>0.01</c:v>
                </c:pt>
                <c:pt idx="9">
                  <c:v>0</c:v>
                </c:pt>
                <c:pt idx="10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505-445F-8D07-99BB94B65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9465248"/>
        <c:axId val="539460328"/>
        <c:axId val="0"/>
      </c:bar3DChart>
      <c:catAx>
        <c:axId val="53946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39460328"/>
        <c:crosses val="autoZero"/>
        <c:auto val="1"/>
        <c:lblAlgn val="ctr"/>
        <c:lblOffset val="100"/>
        <c:noMultiLvlLbl val="0"/>
      </c:catAx>
      <c:valAx>
        <c:axId val="5394603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3946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Lyckesjö</dc:creator>
  <cp:keywords/>
  <dc:description/>
  <cp:lastModifiedBy>Maria Lyckesjö</cp:lastModifiedBy>
  <cp:revision>2</cp:revision>
  <dcterms:created xsi:type="dcterms:W3CDTF">2019-04-26T08:50:00Z</dcterms:created>
  <dcterms:modified xsi:type="dcterms:W3CDTF">2019-05-02T13:00:00Z</dcterms:modified>
</cp:coreProperties>
</file>