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nb"/>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Default="004829D3" w:rsidP="001E5BDD">
      <w:pPr>
        <w:spacing w:after="0" w:line="240" w:lineRule="auto"/>
        <w:rPr>
          <w:rFonts w:ascii="Arial" w:hAnsi="Arial" w:cs="Arial"/>
          <w:color w:val="FF0000"/>
          <w:sz w:val="20"/>
          <w:szCs w:val="20"/>
        </w:rPr>
      </w:pPr>
    </w:p>
    <w:p w:rsidR="00764012" w:rsidRPr="00952ED2" w:rsidRDefault="00764012" w:rsidP="001E5BDD">
      <w:pPr>
        <w:spacing w:after="0" w:line="240" w:lineRule="auto"/>
        <w:rPr>
          <w:rFonts w:ascii="Arial" w:hAnsi="Arial" w:cs="Arial"/>
          <w:color w:val="FF0000"/>
          <w:sz w:val="20"/>
          <w:szCs w:val="20"/>
        </w:rPr>
      </w:pPr>
    </w:p>
    <w:p w:rsidR="00505899" w:rsidRDefault="00242673" w:rsidP="00505899">
      <w:pPr>
        <w:spacing w:after="0" w:line="240" w:lineRule="auto"/>
        <w:ind w:left="3600" w:hanging="3600"/>
        <w:rPr>
          <w:rFonts w:ascii="Arial" w:hAnsi="Arial" w:cs="Arial"/>
        </w:rPr>
      </w:pPr>
      <w:r>
        <w:rPr>
          <w:rFonts w:ascii="Arial" w:hAnsi="Arial" w:cs="Arial"/>
          <w:lang w:val="nb"/>
        </w:rPr>
        <w:tab/>
      </w:r>
      <w:r>
        <w:rPr>
          <w:rFonts w:ascii="Arial" w:hAnsi="Arial" w:cs="Arial"/>
          <w:lang w:val="nb"/>
        </w:rPr>
        <w:tab/>
      </w:r>
      <w:r>
        <w:rPr>
          <w:rFonts w:ascii="Arial" w:hAnsi="Arial" w:cs="Arial"/>
          <w:lang w:val="nb"/>
        </w:rPr>
        <w:tab/>
        <w:t xml:space="preserve">Kontakt: Karen Bartlett, </w:t>
      </w:r>
    </w:p>
    <w:p w:rsidR="00505899" w:rsidRDefault="00D7226E" w:rsidP="00505899">
      <w:pPr>
        <w:spacing w:after="0" w:line="240" w:lineRule="auto"/>
        <w:ind w:left="3600" w:hanging="3600"/>
        <w:rPr>
          <w:rFonts w:ascii="Arial" w:hAnsi="Arial" w:cs="Arial"/>
        </w:rPr>
      </w:pPr>
      <w:r>
        <w:rPr>
          <w:rFonts w:ascii="Arial" w:hAnsi="Arial" w:cs="Arial"/>
          <w:lang w:val="nb"/>
        </w:rPr>
        <w:t>20</w:t>
      </w:r>
      <w:r w:rsidR="00AB5468">
        <w:rPr>
          <w:rFonts w:ascii="Arial" w:hAnsi="Arial" w:cs="Arial"/>
          <w:lang w:val="nb"/>
        </w:rPr>
        <w:t xml:space="preserve">. </w:t>
      </w:r>
      <w:r>
        <w:rPr>
          <w:rFonts w:ascii="Arial" w:hAnsi="Arial" w:cs="Arial"/>
          <w:lang w:val="nb"/>
        </w:rPr>
        <w:t>mars</w:t>
      </w:r>
      <w:r w:rsidR="00AB5468">
        <w:rPr>
          <w:rFonts w:ascii="Arial" w:hAnsi="Arial" w:cs="Arial"/>
          <w:lang w:val="nb"/>
        </w:rPr>
        <w:t xml:space="preserve"> 2018 </w:t>
      </w:r>
      <w:r w:rsidR="00AB5468">
        <w:rPr>
          <w:rFonts w:ascii="Arial" w:hAnsi="Arial" w:cs="Arial"/>
          <w:lang w:val="nb"/>
        </w:rPr>
        <w:tab/>
      </w:r>
      <w:r w:rsidR="00AB5468">
        <w:rPr>
          <w:rFonts w:ascii="Arial" w:hAnsi="Arial" w:cs="Arial"/>
          <w:lang w:val="nb"/>
        </w:rPr>
        <w:tab/>
      </w:r>
      <w:r w:rsidR="00AB5468">
        <w:rPr>
          <w:rFonts w:ascii="Arial" w:hAnsi="Arial" w:cs="Arial"/>
          <w:lang w:val="nb"/>
        </w:rPr>
        <w:tab/>
        <w:t>Saltwater Stone, +44 1202 669244</w:t>
      </w:r>
    </w:p>
    <w:p w:rsidR="00505899" w:rsidRDefault="00505899" w:rsidP="00505899">
      <w:pPr>
        <w:spacing w:after="0" w:line="240" w:lineRule="auto"/>
        <w:ind w:left="3600" w:hanging="3600"/>
        <w:rPr>
          <w:rFonts w:ascii="Arial" w:hAnsi="Arial" w:cs="Arial"/>
        </w:rPr>
      </w:pPr>
      <w:r>
        <w:rPr>
          <w:rFonts w:ascii="Arial" w:hAnsi="Arial" w:cs="Arial"/>
          <w:lang w:val="nb"/>
        </w:rPr>
        <w:tab/>
      </w:r>
      <w:r>
        <w:rPr>
          <w:rFonts w:ascii="Arial" w:hAnsi="Arial" w:cs="Arial"/>
          <w:lang w:val="nb"/>
        </w:rPr>
        <w:tab/>
      </w:r>
      <w:r>
        <w:rPr>
          <w:rFonts w:ascii="Arial" w:hAnsi="Arial" w:cs="Arial"/>
          <w:lang w:val="nb"/>
        </w:rPr>
        <w:tab/>
      </w:r>
      <w:hyperlink r:id="rId8" w:history="1">
        <w:r>
          <w:rPr>
            <w:rStyle w:val="Hyperlink"/>
            <w:rFonts w:ascii="Arial" w:hAnsi="Arial" w:cs="Arial"/>
            <w:lang w:val="nb"/>
          </w:rPr>
          <w:t>k.bartlett@saltwater-stone.com</w:t>
        </w:r>
      </w:hyperlink>
    </w:p>
    <w:p w:rsidR="00505899" w:rsidRDefault="00505899" w:rsidP="00505899">
      <w:pPr>
        <w:spacing w:after="0" w:line="240" w:lineRule="auto"/>
        <w:ind w:left="3600" w:hanging="3600"/>
        <w:rPr>
          <w:rFonts w:ascii="Arial" w:hAnsi="Arial" w:cs="Arial"/>
        </w:rPr>
      </w:pPr>
    </w:p>
    <w:p w:rsidR="00505899" w:rsidRPr="00C94BCB" w:rsidRDefault="00505899" w:rsidP="00505899">
      <w:pPr>
        <w:spacing w:after="0" w:line="240" w:lineRule="auto"/>
        <w:ind w:left="3600" w:hanging="3600"/>
        <w:rPr>
          <w:rFonts w:ascii="Arial" w:hAnsi="Arial" w:cs="Arial"/>
          <w:b/>
          <w:sz w:val="24"/>
          <w:highlight w:val="yellow"/>
        </w:rPr>
      </w:pPr>
    </w:p>
    <w:p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nb"/>
        </w:rPr>
        <w:t xml:space="preserve">FLIR lanserer Raymarine Quantum 2 CHIRP-radar med dopplerteknologi </w:t>
      </w:r>
    </w:p>
    <w:p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nb"/>
        </w:rPr>
        <w:t>Dopplerteknologi gir forbedret radarbilde for større bevissthet og tryggere navigasjon</w:t>
      </w:r>
    </w:p>
    <w:p w:rsidR="00242673" w:rsidRDefault="00242673" w:rsidP="002222C3">
      <w:pPr>
        <w:pStyle w:val="NoSpacing"/>
        <w:rPr>
          <w:rFonts w:ascii="Arial" w:hAnsi="Arial" w:cs="Arial"/>
          <w:b/>
          <w:sz w:val="20"/>
          <w:szCs w:val="20"/>
          <w:highlight w:val="yellow"/>
        </w:rPr>
      </w:pPr>
    </w:p>
    <w:p w:rsidR="00350F85" w:rsidRDefault="00242673" w:rsidP="002222C3">
      <w:pPr>
        <w:pStyle w:val="NoSpacing"/>
        <w:rPr>
          <w:rFonts w:ascii="Arial" w:hAnsi="Arial" w:cs="Arial"/>
        </w:rPr>
      </w:pPr>
      <w:r>
        <w:rPr>
          <w:rFonts w:ascii="Arial" w:hAnsi="Arial" w:cs="Arial"/>
          <w:b/>
          <w:bCs/>
          <w:lang w:val="nb"/>
        </w:rPr>
        <w:t xml:space="preserve">WILSONVILLE, OR </w:t>
      </w:r>
      <w:r>
        <w:rPr>
          <w:rFonts w:ascii="Arial" w:hAnsi="Arial" w:cs="Arial"/>
          <w:lang w:val="nb"/>
        </w:rPr>
        <w:t>–</w:t>
      </w:r>
      <w:r>
        <w:rPr>
          <w:rFonts w:ascii="Arial" w:hAnsi="Arial" w:cs="Arial"/>
          <w:b/>
          <w:bCs/>
          <w:lang w:val="nb"/>
        </w:rPr>
        <w:t xml:space="preserve"> </w:t>
      </w:r>
      <w:r w:rsidR="00D7226E">
        <w:rPr>
          <w:rFonts w:ascii="Arial" w:hAnsi="Arial" w:cs="Arial"/>
          <w:b/>
          <w:bCs/>
          <w:lang w:val="nb"/>
        </w:rPr>
        <w:t>20</w:t>
      </w:r>
      <w:r>
        <w:rPr>
          <w:rFonts w:ascii="Arial" w:hAnsi="Arial" w:cs="Arial"/>
          <w:b/>
          <w:bCs/>
          <w:lang w:val="nb"/>
        </w:rPr>
        <w:t xml:space="preserve">. </w:t>
      </w:r>
      <w:r w:rsidR="00D7226E">
        <w:rPr>
          <w:rFonts w:ascii="Arial" w:hAnsi="Arial" w:cs="Arial"/>
          <w:b/>
          <w:bCs/>
          <w:lang w:val="nb"/>
        </w:rPr>
        <w:t>mars</w:t>
      </w:r>
      <w:r>
        <w:rPr>
          <w:rFonts w:ascii="Arial" w:hAnsi="Arial" w:cs="Arial"/>
          <w:b/>
          <w:bCs/>
          <w:lang w:val="nb"/>
        </w:rPr>
        <w:t xml:space="preserve"> 2018 </w:t>
      </w:r>
      <w:r>
        <w:rPr>
          <w:rFonts w:ascii="Arial" w:hAnsi="Arial" w:cs="Arial"/>
          <w:lang w:val="nb"/>
        </w:rPr>
        <w:t>– FLIR Systems, Inc. (NASDAQ: FLIR) lanserer i dag sin mest avanserte «solid-state»-båtradar – Quantum® 2 med dopplerteknologibasert målidentifisering. Quantum 2 er utviklet for integrering med Raymarines prisbelønte Axiom® multifunksjonsdisplayer og gir forbedret situasjonsbevissthet til sjøs takket være intelligent identifisering av stasjonære objekter eller objekter i bevegelse på både kort og lang avstand.</w:t>
      </w:r>
    </w:p>
    <w:p w:rsidR="00350F85" w:rsidRDefault="00350F85" w:rsidP="002222C3">
      <w:pPr>
        <w:pStyle w:val="NoSpacing"/>
        <w:rPr>
          <w:rFonts w:ascii="Arial" w:hAnsi="Arial" w:cs="Arial"/>
        </w:rPr>
      </w:pPr>
    </w:p>
    <w:p w:rsidR="00490105" w:rsidRDefault="003F2383" w:rsidP="002222C3">
      <w:pPr>
        <w:pStyle w:val="NoSpacing"/>
        <w:rPr>
          <w:rFonts w:ascii="Arial" w:hAnsi="Arial" w:cs="Arial"/>
        </w:rPr>
      </w:pPr>
      <w:r>
        <w:rPr>
          <w:rFonts w:ascii="Arial" w:hAnsi="Arial" w:cs="Arial"/>
          <w:lang w:val="nb"/>
        </w:rPr>
        <w:t xml:space="preserve">Quantum 2 bruker avansert dopplerbehandling til å registrere frekvensforskyvninger i radarekko som angir om et objekt er stasjonært eller beveger seg. Quantum 2 bruker så unike fargekoder på disse objektene. Rødt angir at objektet er på veg mot radaren, mens grønt angir at objektet beveger seg bort fra radaren. Quantum 2 har i tillegg en ny sikkerhetssonefunksjon som uthever og fargekoder potensielt farlige stasjonære objekter innenfor 200 meter foran fartøyet, noe som gjør det enklere for kapteiner å oppdage umiddelbare farer.  </w:t>
      </w:r>
    </w:p>
    <w:p w:rsidR="00490105" w:rsidRDefault="00490105" w:rsidP="002222C3">
      <w:pPr>
        <w:pStyle w:val="NoSpacing"/>
        <w:rPr>
          <w:rFonts w:ascii="Arial" w:hAnsi="Arial" w:cs="Arial"/>
        </w:rPr>
      </w:pPr>
    </w:p>
    <w:p w:rsidR="000E7E47" w:rsidRDefault="00623612" w:rsidP="002222C3">
      <w:pPr>
        <w:pStyle w:val="NoSpacing"/>
        <w:rPr>
          <w:rFonts w:ascii="Arial" w:hAnsi="Arial" w:cs="Arial"/>
        </w:rPr>
      </w:pPr>
      <w:r>
        <w:rPr>
          <w:rFonts w:ascii="Arial" w:hAnsi="Arial" w:cs="Arial"/>
          <w:lang w:val="nb"/>
        </w:rPr>
        <w:t>Erfarne brukere og kapteiner vil sette pris på Quantum 2s MARPA-funksjon (mini-automatic radar plotting aid) med 25 objekter. MARPA-funksjonen som benyttes i Quantum 2, ble opprinnelig utviklet for den amerikanske kystvakten og andre hurtiggående fartøy og viser automatisk møtende objekter på skjermen. Dette eliminerer behovet for å hente objekter manuelt eller definere vaktsoner, noe som reduserer arbeidsmengden for kapteinen og gjør det enklere å navigere i sterkt trafikkerte farvann.</w:t>
      </w:r>
    </w:p>
    <w:p w:rsidR="003F2383" w:rsidRDefault="003F2383" w:rsidP="002222C3">
      <w:pPr>
        <w:pStyle w:val="NoSpacing"/>
        <w:rPr>
          <w:rFonts w:ascii="Arial" w:hAnsi="Arial" w:cs="Arial"/>
        </w:rPr>
      </w:pPr>
    </w:p>
    <w:p w:rsidR="00242673" w:rsidRPr="0028331B" w:rsidRDefault="003F2383" w:rsidP="002222C3">
      <w:pPr>
        <w:pStyle w:val="NoSpacing"/>
        <w:rPr>
          <w:rFonts w:ascii="Arial" w:hAnsi="Arial" w:cs="Arial"/>
        </w:rPr>
      </w:pPr>
      <w:r>
        <w:rPr>
          <w:rFonts w:ascii="Arial" w:hAnsi="Arial"/>
          <w:lang w:val="nb"/>
        </w:rPr>
        <w:t>Quantum 2 har også CHIRP-pulskompresjonsteknologi som benytter flere komprimerte radarpulser til å vise objekter som båter, landemerker, skjær og værfronter i uovertruffen oppløsning og separasjonskvalitet.</w:t>
      </w:r>
      <w:r>
        <w:rPr>
          <w:lang w:val="nb"/>
        </w:rPr>
        <w:t xml:space="preserve"> </w:t>
      </w:r>
      <w:r>
        <w:rPr>
          <w:rFonts w:ascii="Arial" w:hAnsi="Arial"/>
          <w:lang w:val="nb"/>
        </w:rPr>
        <w:t>Quantum 2 har en vekt på 5,6 kilo, noe som betyr at den veier opptil 50 prosent mindre enn tradisjonelle magnetronradarer. Quantum 2 har fleksibel design med trådløs tilkobling til Raymarines multifunksjonsdisplayer (MFD), eller du kan bruke tradisjonell kablet tilkobling. Det gir enkel installasjon og eliminerer behovet for ekstrakabler til radaren eller grensesnittbokser.</w:t>
      </w:r>
    </w:p>
    <w:p w:rsidR="00242673" w:rsidRPr="0028331B" w:rsidRDefault="00242673" w:rsidP="002222C3">
      <w:pPr>
        <w:pStyle w:val="NoSpacing"/>
        <w:rPr>
          <w:rFonts w:ascii="Arial" w:hAnsi="Arial" w:cs="Arial"/>
        </w:rPr>
      </w:pPr>
    </w:p>
    <w:p w:rsidR="007864BA" w:rsidRDefault="008F287C" w:rsidP="00E81DF4">
      <w:pPr>
        <w:pStyle w:val="NoSpacing"/>
        <w:rPr>
          <w:rStyle w:val="Hyperlink"/>
          <w:rFonts w:ascii="Arial" w:hAnsi="Arial" w:cs="Arial"/>
        </w:rPr>
      </w:pPr>
      <w:r>
        <w:rPr>
          <w:rFonts w:ascii="Arial" w:hAnsi="Arial" w:cs="Arial"/>
          <w:lang w:val="nb"/>
        </w:rPr>
        <w:t>Quantum</w:t>
      </w:r>
      <w:r>
        <w:rPr>
          <w:rFonts w:ascii="Arial" w:hAnsi="Arial" w:cs="Arial"/>
          <w:color w:val="222A35"/>
          <w:lang w:val="nb"/>
        </w:rPr>
        <w:t>2</w:t>
      </w:r>
      <w:r>
        <w:rPr>
          <w:rFonts w:ascii="Arial" w:hAnsi="Arial" w:cs="Arial"/>
          <w:lang w:val="nb"/>
        </w:rPr>
        <w:t xml:space="preserve"> blir tilgjengelig verden over i andre kvartal av 2018 gjennom Raymarines nettverk av autoriserte forhandlere og distributører og får en startpris på 1949,99 USD. Du finner mer informasjon om Quantum </w:t>
      </w:r>
      <w:r>
        <w:rPr>
          <w:rFonts w:ascii="Arial" w:hAnsi="Arial" w:cs="Arial"/>
          <w:color w:val="222A35"/>
          <w:lang w:val="nb"/>
        </w:rPr>
        <w:t>2</w:t>
      </w:r>
      <w:r>
        <w:rPr>
          <w:rFonts w:ascii="Arial" w:hAnsi="Arial" w:cs="Arial"/>
          <w:lang w:val="nb"/>
        </w:rPr>
        <w:t xml:space="preserve"> på: </w:t>
      </w:r>
      <w:hyperlink r:id="rId9" w:history="1">
        <w:r>
          <w:rPr>
            <w:rStyle w:val="Hyperlink"/>
            <w:rFonts w:ascii="Arial" w:hAnsi="Arial" w:cs="Arial"/>
            <w:lang w:val="nb"/>
          </w:rPr>
          <w:t>www.raymarine.com/quantum2</w:t>
        </w:r>
      </w:hyperlink>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r>
        <w:rPr>
          <w:rFonts w:ascii="Arial" w:hAnsi="Arial" w:cs="Arial"/>
          <w:i/>
          <w:iCs/>
          <w:sz w:val="20"/>
          <w:szCs w:val="20"/>
          <w:lang w:val="nb"/>
        </w:rPr>
        <w:t>####</w:t>
      </w: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Pr="006979DB" w:rsidRDefault="00505899" w:rsidP="00505899">
      <w:pPr>
        <w:spacing w:after="0"/>
        <w:rPr>
          <w:rFonts w:ascii="Arial" w:hAnsi="Arial" w:cs="Arial"/>
          <w:b/>
          <w:sz w:val="16"/>
          <w:szCs w:val="16"/>
        </w:rPr>
      </w:pPr>
      <w:r>
        <w:rPr>
          <w:rFonts w:ascii="Arial" w:hAnsi="Arial" w:cs="Arial"/>
          <w:b/>
          <w:bCs/>
          <w:sz w:val="16"/>
          <w:szCs w:val="16"/>
          <w:lang w:val="nb"/>
        </w:rPr>
        <w:t xml:space="preserve">Om FLIR Systems </w:t>
      </w:r>
    </w:p>
    <w:p w:rsidR="00505899" w:rsidRDefault="00505899" w:rsidP="00505899">
      <w:pPr>
        <w:spacing w:after="0"/>
        <w:rPr>
          <w:rFonts w:ascii="Arial" w:hAnsi="Arial" w:cs="Arial"/>
          <w:i/>
          <w:sz w:val="16"/>
          <w:szCs w:val="16"/>
        </w:rPr>
      </w:pPr>
      <w:r>
        <w:rPr>
          <w:rFonts w:ascii="Arial" w:hAnsi="Arial" w:cs="Arial"/>
          <w:i/>
          <w:iCs/>
          <w:sz w:val="16"/>
          <w:szCs w:val="16"/>
          <w:lang w:val="nb"/>
        </w:rPr>
        <w:t xml:space="preserve">FLIR Systems ble grunnlagt i 1978 og har hovedkontor i Wilsonville, Oregon. Selskapet er en verdensledende produsent av sensorsystemer for bedre avlesning og større bevissthet, noe som bidrar til å redde liv, forbedre produktiviteten og beskytte miljøet. Med sine snart 3500 ansatte er FLIRs visjon å være «verdens sjette sans» ved å utnytte termisk bildebehandling og tilhørende teknologier til å tilby nyskapende, intelligente løsninger for sikkerhet og overvåking, miljø- og tilstandskontroll, fritidsaktiviteter utendørs, maskinvisjonsteknologi, navigasjon og avansert trusseloppdagelse. Hvis du vil ha mer informasjon, kan du gå til </w:t>
      </w:r>
      <w:hyperlink r:id="rId10" w:history="1">
        <w:r>
          <w:rPr>
            <w:rFonts w:ascii="Arial" w:hAnsi="Arial" w:cs="Arial"/>
            <w:i/>
            <w:iCs/>
            <w:sz w:val="16"/>
            <w:szCs w:val="16"/>
            <w:lang w:val="nb"/>
          </w:rPr>
          <w:t>www.flir.com</w:t>
        </w:r>
      </w:hyperlink>
      <w:r>
        <w:rPr>
          <w:rFonts w:ascii="Arial" w:hAnsi="Arial" w:cs="Arial"/>
          <w:i/>
          <w:iCs/>
          <w:sz w:val="16"/>
          <w:szCs w:val="16"/>
          <w:lang w:val="nb"/>
        </w:rPr>
        <w:t xml:space="preserve"> og følge </w:t>
      </w:r>
      <w:hyperlink r:id="rId11" w:history="1">
        <w:r>
          <w:rPr>
            <w:rFonts w:ascii="Arial" w:hAnsi="Arial" w:cs="Arial"/>
            <w:i/>
            <w:iCs/>
            <w:sz w:val="16"/>
            <w:szCs w:val="16"/>
            <w:lang w:val="nb"/>
          </w:rPr>
          <w:t>@flir</w:t>
        </w:r>
      </w:hyperlink>
      <w:r>
        <w:rPr>
          <w:rFonts w:ascii="Arial" w:hAnsi="Arial" w:cs="Arial"/>
          <w:i/>
          <w:iCs/>
          <w:sz w:val="16"/>
          <w:szCs w:val="16"/>
          <w:lang w:val="nb"/>
        </w:rPr>
        <w:t>.</w:t>
      </w:r>
      <w:r>
        <w:rPr>
          <w:rFonts w:ascii="Arial" w:hAnsi="Arial" w:cs="Arial"/>
          <w:sz w:val="16"/>
          <w:szCs w:val="16"/>
          <w:lang w:val="nb"/>
        </w:rPr>
        <w:t xml:space="preserve"> </w:t>
      </w:r>
    </w:p>
    <w:p w:rsidR="00505899" w:rsidRPr="006979DB" w:rsidRDefault="00505899" w:rsidP="00505899">
      <w:pPr>
        <w:spacing w:after="0"/>
        <w:rPr>
          <w:rFonts w:ascii="Arial" w:hAnsi="Arial" w:cs="Arial"/>
          <w:i/>
          <w:sz w:val="16"/>
          <w:szCs w:val="16"/>
        </w:rPr>
      </w:pPr>
    </w:p>
    <w:p w:rsidR="00505899" w:rsidRPr="00242673" w:rsidRDefault="00505899" w:rsidP="00505899">
      <w:pPr>
        <w:spacing w:after="0"/>
        <w:rPr>
          <w:rFonts w:ascii="Arial" w:hAnsi="Arial" w:cs="Arial"/>
          <w:b/>
          <w:sz w:val="16"/>
          <w:szCs w:val="16"/>
        </w:rPr>
      </w:pPr>
      <w:r>
        <w:rPr>
          <w:rFonts w:ascii="Arial" w:hAnsi="Arial" w:cs="Arial"/>
          <w:b/>
          <w:bCs/>
          <w:sz w:val="16"/>
          <w:szCs w:val="16"/>
          <w:lang w:val="nb"/>
        </w:rPr>
        <w:t xml:space="preserve">Om Raymarine: </w:t>
      </w:r>
    </w:p>
    <w:p w:rsidR="00505899" w:rsidRDefault="00505899" w:rsidP="00505899">
      <w:pPr>
        <w:spacing w:after="0"/>
        <w:rPr>
          <w:rFonts w:ascii="Arial" w:hAnsi="Arial" w:cs="Arial"/>
          <w:i/>
          <w:sz w:val="20"/>
          <w:szCs w:val="20"/>
        </w:rPr>
      </w:pPr>
      <w:r>
        <w:rPr>
          <w:rFonts w:ascii="Arial" w:hAnsi="Arial" w:cs="Arial"/>
          <w:i/>
          <w:iCs/>
          <w:sz w:val="16"/>
          <w:szCs w:val="16"/>
          <w:lang w:val="nb"/>
        </w:rPr>
        <w:t>Raymarine er verdensledende innen maritim elektronikk og utvikler og produserer et bredt utvalg av produkter innen maritim elektronikk rettet mot fritidsbåter og lettere kommersielle fartøyer.</w:t>
      </w:r>
      <w:r>
        <w:rPr>
          <w:rFonts w:ascii="Arial" w:hAnsi="Arial" w:cs="Arial"/>
          <w:sz w:val="16"/>
          <w:szCs w:val="16"/>
          <w:lang w:val="nb"/>
        </w:rPr>
        <w:t xml:space="preserve"> </w:t>
      </w:r>
      <w:r>
        <w:rPr>
          <w:rFonts w:ascii="Arial" w:hAnsi="Arial" w:cs="Arial"/>
          <w:i/>
          <w:iCs/>
          <w:sz w:val="16"/>
          <w:szCs w:val="16"/>
          <w:lang w:val="nb"/>
        </w:rPr>
        <w:t xml:space="preserve">Våre prisbelønte produkter er utviklet for høy ytelse og høy grad av brukervennlighet og selges gjennom et globalt nettverk av forhandlere og distributører. Raymarines produktutvalg omfatter radarer, autopiloter, GPS, instrumenter, ekkolodd, kommunikasjon og integrerte systemer. Raymarine er en del av FLIR Systems, en verdensleder innen termisk bildebehandling. Du finner mer informasjon om Raymarine på </w:t>
      </w:r>
      <w:hyperlink r:id="rId12" w:history="1">
        <w:r>
          <w:rPr>
            <w:rFonts w:ascii="Arial" w:hAnsi="Arial" w:cs="Arial"/>
            <w:i/>
            <w:iCs/>
            <w:sz w:val="16"/>
            <w:szCs w:val="16"/>
            <w:lang w:val="nb"/>
          </w:rPr>
          <w:t>www.raymarine.com</w:t>
        </w:r>
      </w:hyperlink>
      <w:r>
        <w:rPr>
          <w:rFonts w:ascii="Arial" w:hAnsi="Arial" w:cs="Arial"/>
          <w:i/>
          <w:iCs/>
          <w:sz w:val="20"/>
          <w:szCs w:val="20"/>
          <w:lang w:val="nb"/>
        </w:rPr>
        <w:t xml:space="preserve">. </w:t>
      </w:r>
    </w:p>
    <w:p w:rsidR="00505899" w:rsidRDefault="00505899" w:rsidP="00505899">
      <w:pPr>
        <w:spacing w:after="0"/>
        <w:rPr>
          <w:rFonts w:ascii="Arial" w:hAnsi="Arial" w:cs="Arial"/>
          <w:i/>
          <w:sz w:val="16"/>
        </w:rPr>
      </w:pPr>
    </w:p>
    <w:p w:rsidR="00D7226E" w:rsidRPr="005365D2" w:rsidRDefault="00D7226E" w:rsidP="00D7226E">
      <w:pPr>
        <w:rPr>
          <w:sz w:val="16"/>
          <w:szCs w:val="16"/>
        </w:rPr>
      </w:pPr>
      <w:r w:rsidRPr="005365D2">
        <w:rPr>
          <w:rStyle w:val="Emphasis"/>
          <w:rFonts w:ascii="Arial" w:hAnsi="Arial" w:cs="Arial"/>
          <w:b/>
          <w:bCs/>
          <w:sz w:val="16"/>
          <w:szCs w:val="16"/>
          <w:shd w:val="clear" w:color="auto" w:fill="FFFFFF"/>
        </w:rPr>
        <w:t>Forward-Looking Statements</w:t>
      </w:r>
      <w:r w:rsidRPr="005365D2">
        <w:rPr>
          <w:rFonts w:ascii="Arial" w:hAnsi="Arial" w:cs="Arial"/>
          <w:sz w:val="16"/>
          <w:szCs w:val="16"/>
        </w:rPr>
        <w:br/>
      </w:r>
      <w:r w:rsidRPr="005365D2">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rsidR="00505899" w:rsidRDefault="00505899" w:rsidP="00505899">
      <w:pPr>
        <w:spacing w:after="0"/>
        <w:rPr>
          <w:rFonts w:ascii="Arial" w:hAnsi="Arial" w:cs="Arial"/>
          <w:b/>
          <w:sz w:val="16"/>
        </w:rPr>
      </w:pPr>
    </w:p>
    <w:p w:rsidR="00505899" w:rsidRDefault="00505899" w:rsidP="00505899">
      <w:pPr>
        <w:spacing w:after="0"/>
        <w:jc w:val="both"/>
        <w:rPr>
          <w:rFonts w:ascii="Arial" w:hAnsi="Arial" w:cs="Arial"/>
          <w:b/>
          <w:sz w:val="16"/>
        </w:rPr>
      </w:pPr>
      <w:bookmarkStart w:id="0" w:name="_GoBack"/>
      <w:r>
        <w:rPr>
          <w:rFonts w:ascii="Arial" w:hAnsi="Arial" w:cs="Arial"/>
          <w:b/>
          <w:bCs/>
          <w:sz w:val="16"/>
          <w:lang w:val="nb"/>
        </w:rPr>
        <w:t>Mediekontakt:</w:t>
      </w:r>
    </w:p>
    <w:p w:rsidR="00505899" w:rsidRDefault="00505899" w:rsidP="00505899">
      <w:pPr>
        <w:spacing w:after="0"/>
        <w:jc w:val="both"/>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nb"/>
        </w:rPr>
        <w:t>Karen Bartlett</w:t>
      </w:r>
    </w:p>
    <w:p w:rsidR="00505899" w:rsidRPr="00B21756" w:rsidRDefault="00505899" w:rsidP="00505899">
      <w:pPr>
        <w:spacing w:after="0"/>
        <w:jc w:val="both"/>
        <w:rPr>
          <w:rFonts w:ascii="Arial" w:hAnsi="Arial" w:cs="Arial"/>
          <w:b/>
          <w:sz w:val="16"/>
        </w:rPr>
      </w:pPr>
      <w:r>
        <w:rPr>
          <w:rFonts w:ascii="Arial" w:hAnsi="Arial" w:cs="Arial"/>
          <w:b/>
          <w:bCs/>
          <w:sz w:val="16"/>
          <w:lang w:val="nb"/>
        </w:rPr>
        <w:t>Saltwater Stone</w:t>
      </w:r>
    </w:p>
    <w:p w:rsidR="00505899" w:rsidRDefault="00505899" w:rsidP="00505899">
      <w:pPr>
        <w:spacing w:after="0"/>
        <w:jc w:val="both"/>
        <w:rPr>
          <w:rFonts w:ascii="Arial" w:hAnsi="Arial" w:cs="Arial"/>
          <w:sz w:val="16"/>
        </w:rPr>
      </w:pPr>
      <w:r>
        <w:rPr>
          <w:rFonts w:ascii="Arial" w:hAnsi="Arial" w:cs="Arial"/>
          <w:sz w:val="16"/>
          <w:lang w:val="nb"/>
        </w:rPr>
        <w:t>+44 (0) 1202 669 244</w:t>
      </w:r>
    </w:p>
    <w:p w:rsidR="00505899" w:rsidRPr="00A2045C" w:rsidRDefault="00505899" w:rsidP="00505899">
      <w:pPr>
        <w:spacing w:after="0"/>
        <w:rPr>
          <w:rFonts w:ascii="Arial" w:hAnsi="Arial" w:cs="Arial"/>
          <w:b/>
          <w:sz w:val="16"/>
        </w:rPr>
      </w:pPr>
      <w:r>
        <w:rPr>
          <w:rFonts w:ascii="Arial" w:hAnsi="Arial" w:cs="Arial"/>
          <w:sz w:val="16"/>
          <w:lang w:val="nb"/>
        </w:rPr>
        <w:t>k.bartlett@saltwater-stone.com</w:t>
      </w:r>
    </w:p>
    <w:bookmarkEnd w:id="0"/>
    <w:p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07" w:rsidRDefault="00473207" w:rsidP="00380C78">
      <w:pPr>
        <w:spacing w:after="0" w:line="240" w:lineRule="auto"/>
      </w:pPr>
      <w:r>
        <w:separator/>
      </w:r>
    </w:p>
  </w:endnote>
  <w:endnote w:type="continuationSeparator" w:id="0">
    <w:p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nb"/>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07" w:rsidRDefault="00473207" w:rsidP="00380C78">
      <w:pPr>
        <w:spacing w:after="0" w:line="240" w:lineRule="auto"/>
      </w:pPr>
      <w:r>
        <w:separator/>
      </w:r>
    </w:p>
  </w:footnote>
  <w:footnote w:type="continuationSeparator" w:id="0">
    <w:p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nb"/>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4817"/>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226E"/>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65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D72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D8CD-5507-4F47-ABAE-99483813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2018-03-20T12:23:00Z</dcterms:created>
  <dcterms:modified xsi:type="dcterms:W3CDTF">2018-03-20T12:23:00Z</dcterms:modified>
</cp:coreProperties>
</file>