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C6" w:rsidRPr="00511206" w:rsidRDefault="00366CD8" w:rsidP="001412C6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 xml:space="preserve">Juni </w:t>
      </w:r>
      <w:r w:rsidR="001412C6">
        <w:rPr>
          <w:rFonts w:ascii="Arial" w:hAnsi="Arial" w:cs="Arial"/>
          <w:color w:val="7F7F7F"/>
          <w:sz w:val="24"/>
          <w:szCs w:val="24"/>
          <w:lang w:val="sv-SE"/>
        </w:rPr>
        <w:t xml:space="preserve"> 2013</w:t>
      </w:r>
    </w:p>
    <w:p w:rsidR="00BF2F7E" w:rsidRPr="00511206" w:rsidRDefault="00BF2F7E" w:rsidP="00BF2F7E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Liquid Ice Xtra Cut – Ny polerpasta fra Norton</w:t>
      </w:r>
      <w:r w:rsidRPr="0051120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1412C6" w:rsidRDefault="001412C6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bookmarkStart w:id="0" w:name="_GoBack"/>
      <w:bookmarkEnd w:id="0"/>
    </w:p>
    <w:p w:rsidR="00BF2F7E" w:rsidRDefault="00BF2F7E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B56EFE">
        <w:rPr>
          <w:rFonts w:ascii="Arial" w:hAnsi="Arial" w:cs="Arial"/>
          <w:color w:val="7F7F7F"/>
          <w:sz w:val="20"/>
          <w:szCs w:val="20"/>
          <w:lang w:val="sv-SE"/>
        </w:rPr>
        <w:t>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orton lanserer en ny polerpasta 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 xml:space="preserve">som </w:t>
      </w:r>
      <w:r>
        <w:rPr>
          <w:rFonts w:ascii="Arial" w:hAnsi="Arial" w:cs="Arial"/>
          <w:color w:val="7F7F7F"/>
          <w:sz w:val="20"/>
          <w:szCs w:val="20"/>
          <w:lang w:val="sv-SE"/>
        </w:rPr>
        <w:t>fjern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>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riper og gjenskap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 xml:space="preserve">er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høyblank 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>over</w:t>
      </w:r>
      <w:r>
        <w:rPr>
          <w:rFonts w:ascii="Arial" w:hAnsi="Arial" w:cs="Arial"/>
          <w:color w:val="7F7F7F"/>
          <w:sz w:val="20"/>
          <w:szCs w:val="20"/>
          <w:lang w:val="sv-SE"/>
        </w:rPr>
        <w:t>flate. Den nye polerpastan, Norton Ice Xtra Cut, gjør i henhold til produsenten dette i en og samme operasjon og pasta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n kan brukes på de fleste lakk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>-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og farger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>typer</w:t>
      </w:r>
      <w:r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BF2F7E" w:rsidRDefault="00BF2F7E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BF2F7E" w:rsidRDefault="00BF2F7E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 Ice Xtra Cut brukes for fjerning av sliperiper etter s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 xml:space="preserve">liping med korn 1200 og polerer samtidig overflaten </w:t>
      </w:r>
      <w:r>
        <w:rPr>
          <w:rFonts w:ascii="Arial" w:hAnsi="Arial" w:cs="Arial"/>
          <w:color w:val="7F7F7F"/>
          <w:sz w:val="20"/>
          <w:szCs w:val="20"/>
          <w:lang w:val="sv-SE"/>
        </w:rPr>
        <w:t>i en og samme operasjon. For beste resultat bør hard polersvamp eller lam</w:t>
      </w:r>
      <w:r w:rsidR="00366CD8">
        <w:rPr>
          <w:rFonts w:ascii="Arial" w:hAnsi="Arial" w:cs="Arial"/>
          <w:color w:val="7F7F7F"/>
          <w:sz w:val="20"/>
          <w:szCs w:val="20"/>
          <w:lang w:val="sv-SE"/>
        </w:rPr>
        <w:t>me</w:t>
      </w:r>
      <w:r>
        <w:rPr>
          <w:rFonts w:ascii="Arial" w:hAnsi="Arial" w:cs="Arial"/>
          <w:color w:val="7F7F7F"/>
          <w:sz w:val="20"/>
          <w:szCs w:val="20"/>
          <w:lang w:val="sv-SE"/>
        </w:rPr>
        <w:t>ullshette benyttes. Norton Ice Xtra Cut er vannbasert noe som gjør produktet miljø- og brukevennlig. Den gir også kald polering som igjen minsker risikoen for at topplakken blir ødelagt.</w:t>
      </w:r>
    </w:p>
    <w:p w:rsidR="00BF2F7E" w:rsidRDefault="00BF2F7E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BF2F7E" w:rsidRDefault="00BF2F7E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A51EC7">
        <w:rPr>
          <w:rFonts w:ascii="Arial" w:hAnsi="Arial" w:cs="Arial"/>
          <w:color w:val="7F7F7F"/>
          <w:sz w:val="20"/>
          <w:szCs w:val="20"/>
          <w:lang w:val="sv-SE"/>
        </w:rPr>
        <w:t>I Norton Ice-sortimentet,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som 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r et komplett system f</w:t>
      </w:r>
      <w:r>
        <w:rPr>
          <w:rFonts w:ascii="Arial" w:hAnsi="Arial" w:cs="Arial"/>
          <w:color w:val="7F7F7F"/>
          <w:sz w:val="20"/>
          <w:szCs w:val="20"/>
          <w:lang w:val="sv-SE"/>
        </w:rPr>
        <w:t>o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r slu</w:t>
      </w:r>
      <w:r>
        <w:rPr>
          <w:rFonts w:ascii="Arial" w:hAnsi="Arial" w:cs="Arial"/>
          <w:color w:val="7F7F7F"/>
          <w:sz w:val="20"/>
          <w:szCs w:val="20"/>
          <w:lang w:val="sv-SE"/>
        </w:rPr>
        <w:t>t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tbearbe</w:t>
      </w:r>
      <w:r>
        <w:rPr>
          <w:rFonts w:ascii="Arial" w:hAnsi="Arial" w:cs="Arial"/>
          <w:color w:val="7F7F7F"/>
          <w:sz w:val="20"/>
          <w:szCs w:val="20"/>
          <w:lang w:val="sv-SE"/>
        </w:rPr>
        <w:t>iding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o</w:t>
      </w:r>
      <w:r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polering av la</w:t>
      </w:r>
      <w:r>
        <w:rPr>
          <w:rFonts w:ascii="Arial" w:hAnsi="Arial" w:cs="Arial"/>
          <w:color w:val="7F7F7F"/>
          <w:sz w:val="20"/>
          <w:szCs w:val="20"/>
          <w:lang w:val="sv-SE"/>
        </w:rPr>
        <w:t>k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k o</w:t>
      </w:r>
      <w:r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klarla</w:t>
      </w:r>
      <w:r>
        <w:rPr>
          <w:rFonts w:ascii="Arial" w:hAnsi="Arial" w:cs="Arial"/>
          <w:color w:val="7F7F7F"/>
          <w:sz w:val="20"/>
          <w:szCs w:val="20"/>
          <w:lang w:val="sv-SE"/>
        </w:rPr>
        <w:t>k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k, i</w:t>
      </w:r>
      <w:r>
        <w:rPr>
          <w:rFonts w:ascii="Arial" w:hAnsi="Arial" w:cs="Arial"/>
          <w:color w:val="7F7F7F"/>
          <w:sz w:val="20"/>
          <w:szCs w:val="20"/>
          <w:lang w:val="sv-SE"/>
        </w:rPr>
        <w:t>nn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går dessut</w:t>
      </w:r>
      <w:r>
        <w:rPr>
          <w:rFonts w:ascii="Arial" w:hAnsi="Arial" w:cs="Arial"/>
          <w:color w:val="7F7F7F"/>
          <w:sz w:val="20"/>
          <w:szCs w:val="20"/>
          <w:lang w:val="sv-SE"/>
        </w:rPr>
        <w:t>en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filmrondeller, våtslip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pap</w:t>
      </w:r>
      <w:r>
        <w:rPr>
          <w:rFonts w:ascii="Arial" w:hAnsi="Arial" w:cs="Arial"/>
          <w:color w:val="7F7F7F"/>
          <w:sz w:val="20"/>
          <w:szCs w:val="20"/>
          <w:lang w:val="sv-SE"/>
        </w:rPr>
        <w:t>i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r, rosettrondeller f</w:t>
      </w:r>
      <w:r>
        <w:rPr>
          <w:rFonts w:ascii="Arial" w:hAnsi="Arial" w:cs="Arial"/>
          <w:color w:val="7F7F7F"/>
          <w:sz w:val="20"/>
          <w:szCs w:val="20"/>
          <w:lang w:val="sv-SE"/>
        </w:rPr>
        <w:t>o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r </w:t>
      </w:r>
      <w:r>
        <w:rPr>
          <w:rFonts w:ascii="Arial" w:hAnsi="Arial" w:cs="Arial"/>
          <w:color w:val="7F7F7F"/>
          <w:sz w:val="20"/>
          <w:szCs w:val="20"/>
          <w:lang w:val="sv-SE"/>
        </w:rPr>
        <w:t>fjerning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av </w:t>
      </w:r>
      <w:r>
        <w:rPr>
          <w:rFonts w:ascii="Arial" w:hAnsi="Arial" w:cs="Arial"/>
          <w:color w:val="7F7F7F"/>
          <w:sz w:val="20"/>
          <w:szCs w:val="20"/>
          <w:lang w:val="sv-SE"/>
        </w:rPr>
        <w:t>støvansamlinger o.l.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va</w:t>
      </w:r>
      <w:r>
        <w:rPr>
          <w:rFonts w:ascii="Arial" w:hAnsi="Arial" w:cs="Arial"/>
          <w:color w:val="7F7F7F"/>
          <w:sz w:val="20"/>
          <w:szCs w:val="20"/>
          <w:lang w:val="sv-SE"/>
        </w:rPr>
        <w:t>nnb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aser</w:t>
      </w:r>
      <w:r>
        <w:rPr>
          <w:rFonts w:ascii="Arial" w:hAnsi="Arial" w:cs="Arial"/>
          <w:color w:val="7F7F7F"/>
          <w:sz w:val="20"/>
          <w:szCs w:val="20"/>
          <w:lang w:val="sv-SE"/>
        </w:rPr>
        <w:t>te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polerpast</w:t>
      </w:r>
      <w:r>
        <w:rPr>
          <w:rFonts w:ascii="Arial" w:hAnsi="Arial" w:cs="Arial"/>
          <w:color w:val="7F7F7F"/>
          <w:sz w:val="20"/>
          <w:szCs w:val="20"/>
          <w:lang w:val="sv-SE"/>
        </w:rPr>
        <w:t>ae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r, polersvamp</w:t>
      </w:r>
      <w:r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r o</w:t>
      </w:r>
      <w:r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lam</w:t>
      </w:r>
      <w:r w:rsidR="00366CD8">
        <w:rPr>
          <w:rFonts w:ascii="Arial" w:hAnsi="Arial" w:cs="Arial"/>
          <w:color w:val="7F7F7F"/>
          <w:sz w:val="20"/>
          <w:szCs w:val="20"/>
          <w:lang w:val="sv-SE"/>
        </w:rPr>
        <w:t>me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ullsh</w:t>
      </w:r>
      <w:r>
        <w:rPr>
          <w:rFonts w:ascii="Arial" w:hAnsi="Arial" w:cs="Arial"/>
          <w:color w:val="7F7F7F"/>
          <w:sz w:val="20"/>
          <w:szCs w:val="20"/>
          <w:lang w:val="sv-SE"/>
        </w:rPr>
        <w:t>etter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, la</w:t>
      </w:r>
      <w:r>
        <w:rPr>
          <w:rFonts w:ascii="Arial" w:hAnsi="Arial" w:cs="Arial"/>
          <w:color w:val="7F7F7F"/>
          <w:sz w:val="20"/>
          <w:szCs w:val="20"/>
          <w:lang w:val="sv-SE"/>
        </w:rPr>
        <w:t>k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k</w:t>
      </w:r>
      <w:r>
        <w:rPr>
          <w:rFonts w:ascii="Arial" w:hAnsi="Arial" w:cs="Arial"/>
          <w:color w:val="7F7F7F"/>
          <w:sz w:val="20"/>
          <w:szCs w:val="20"/>
          <w:lang w:val="sv-SE"/>
        </w:rPr>
        <w:t>beskyttelse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, mikrofiberduk o</w:t>
      </w:r>
      <w:r>
        <w:rPr>
          <w:rFonts w:ascii="Arial" w:hAnsi="Arial" w:cs="Arial"/>
          <w:color w:val="7F7F7F"/>
          <w:sz w:val="20"/>
          <w:szCs w:val="20"/>
          <w:lang w:val="sv-SE"/>
        </w:rPr>
        <w:t>g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 xml:space="preserve"> underlagsplat</w:t>
      </w:r>
      <w:r>
        <w:rPr>
          <w:rFonts w:ascii="Arial" w:hAnsi="Arial" w:cs="Arial"/>
          <w:color w:val="7F7F7F"/>
          <w:sz w:val="20"/>
          <w:szCs w:val="20"/>
          <w:lang w:val="sv-SE"/>
        </w:rPr>
        <w:t>er</w:t>
      </w:r>
      <w:r w:rsidRPr="00A51EC7"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BF2F7E" w:rsidRDefault="00BF2F7E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BF2F7E" w:rsidRDefault="00BF2F7E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”Med Norton Ice Xtra Cut kan poleringstiden forkortes i og med at den nye polerpastaen fjerner riper og polerer i e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>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og samme </w:t>
      </w:r>
      <w:r w:rsidR="0046005A">
        <w:rPr>
          <w:rFonts w:ascii="Arial" w:hAnsi="Arial" w:cs="Arial"/>
          <w:color w:val="7F7F7F"/>
          <w:sz w:val="20"/>
          <w:szCs w:val="20"/>
          <w:lang w:val="sv-SE"/>
        </w:rPr>
        <w:t>operasjon</w:t>
      </w:r>
      <w:r>
        <w:rPr>
          <w:rFonts w:ascii="Arial" w:hAnsi="Arial" w:cs="Arial"/>
          <w:color w:val="7F7F7F"/>
          <w:sz w:val="20"/>
          <w:szCs w:val="20"/>
          <w:lang w:val="sv-SE"/>
        </w:rPr>
        <w:t>, noe som øker effektiviteten.” sier Lars-Erik Arnesen, salgsrepresentant hos Saint-Gobain Abrasives AS.</w:t>
      </w:r>
    </w:p>
    <w:p w:rsidR="00BF2F7E" w:rsidRDefault="00BF2F7E" w:rsidP="00BF2F7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A81ABA" w:rsidRPr="00BF2F7E" w:rsidRDefault="00BF2F7E" w:rsidP="001412C6">
      <w:pPr>
        <w:spacing w:after="0" w:line="360" w:lineRule="auto"/>
        <w:rPr>
          <w:lang w:val="nb-NO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Se også www.saint-gobain-abrasives.com</w:t>
      </w:r>
      <w:r w:rsidR="0046005A">
        <w:rPr>
          <w:lang w:val="nb-NO"/>
        </w:rPr>
        <w:tab/>
        <w:t xml:space="preserve">  </w:t>
      </w:r>
    </w:p>
    <w:p w:rsidR="00A81ABA" w:rsidRPr="00BF2F7E" w:rsidRDefault="00A81ABA" w:rsidP="00A81ABA">
      <w:pPr>
        <w:rPr>
          <w:lang w:val="nb-NO"/>
        </w:rPr>
      </w:pPr>
    </w:p>
    <w:p w:rsidR="00A81ABA" w:rsidRPr="00BF2F7E" w:rsidRDefault="00A81ABA" w:rsidP="00A81ABA">
      <w:pPr>
        <w:rPr>
          <w:lang w:val="nb-NO"/>
        </w:rPr>
      </w:pPr>
    </w:p>
    <w:p w:rsidR="00A81ABA" w:rsidRPr="00BF2F7E" w:rsidRDefault="00A81ABA" w:rsidP="00A81ABA">
      <w:pPr>
        <w:rPr>
          <w:lang w:val="nb-NO"/>
        </w:rPr>
      </w:pPr>
    </w:p>
    <w:p w:rsidR="00A81ABA" w:rsidRPr="00BF2F7E" w:rsidRDefault="00A81ABA" w:rsidP="00A81ABA">
      <w:pPr>
        <w:rPr>
          <w:lang w:val="nb-NO"/>
        </w:rPr>
      </w:pPr>
    </w:p>
    <w:p w:rsidR="008D46D9" w:rsidRPr="00BF2F7E" w:rsidRDefault="00A81ABA" w:rsidP="00A81ABA">
      <w:pPr>
        <w:tabs>
          <w:tab w:val="left" w:pos="3134"/>
        </w:tabs>
        <w:rPr>
          <w:lang w:val="nb-NO"/>
        </w:rPr>
      </w:pPr>
      <w:r w:rsidRPr="00BF2F7E">
        <w:rPr>
          <w:lang w:val="nb-NO"/>
        </w:rPr>
        <w:tab/>
      </w:r>
    </w:p>
    <w:sectPr w:rsidR="008D46D9" w:rsidRPr="00BF2F7E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C6" w:rsidRDefault="001412C6" w:rsidP="000B27D9">
      <w:pPr>
        <w:spacing w:after="0" w:line="240" w:lineRule="auto"/>
      </w:pPr>
      <w:r>
        <w:separator/>
      </w:r>
    </w:p>
  </w:endnote>
  <w:endnote w:type="continuationSeparator" w:id="0">
    <w:p w:rsidR="001412C6" w:rsidRDefault="001412C6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C6" w:rsidRDefault="001412C6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2C6" w:rsidRPr="008D46D9" w:rsidRDefault="001412C6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Saint-Gobain Abrasives AS, 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  84 0582 Oslo, P.b. 11, Alna, 0614 Oslo</w:t>
                          </w:r>
                        </w:p>
                        <w:p w:rsidR="001412C6" w:rsidRPr="008D46D9" w:rsidRDefault="001412C6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1412C6" w:rsidRPr="008D46D9" w:rsidRDefault="001412C6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Saint-Gobain Abrasives AS, 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Brobekkveien  84 0582 Oslo, P.b. 11, Alna, 0614 Oslo</w:t>
                    </w:r>
                  </w:p>
                  <w:p w:rsidR="001412C6" w:rsidRPr="008D46D9" w:rsidRDefault="001412C6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1412C6" w:rsidRDefault="001412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C6" w:rsidRDefault="001412C6" w:rsidP="000B27D9">
      <w:pPr>
        <w:spacing w:after="0" w:line="240" w:lineRule="auto"/>
      </w:pPr>
      <w:r>
        <w:separator/>
      </w:r>
    </w:p>
  </w:footnote>
  <w:footnote w:type="continuationSeparator" w:id="0">
    <w:p w:rsidR="001412C6" w:rsidRDefault="001412C6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C6" w:rsidRDefault="001412C6">
    <w:pPr>
      <w:pStyle w:val="Topptekst"/>
    </w:pPr>
  </w:p>
  <w:p w:rsidR="001412C6" w:rsidRDefault="001412C6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412C6"/>
    <w:rsid w:val="00175AE6"/>
    <w:rsid w:val="00366CD8"/>
    <w:rsid w:val="003F3723"/>
    <w:rsid w:val="0046005A"/>
    <w:rsid w:val="00515C30"/>
    <w:rsid w:val="00683DBE"/>
    <w:rsid w:val="0073766D"/>
    <w:rsid w:val="008D46D9"/>
    <w:rsid w:val="00A81ABA"/>
    <w:rsid w:val="00BF2F7E"/>
    <w:rsid w:val="00C925AF"/>
    <w:rsid w:val="00DC714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3AA4-11E4-4280-AFEE-1C5EDBF1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2</cp:revision>
  <dcterms:created xsi:type="dcterms:W3CDTF">2013-06-17T08:11:00Z</dcterms:created>
  <dcterms:modified xsi:type="dcterms:W3CDTF">2013-06-17T08:11:00Z</dcterms:modified>
</cp:coreProperties>
</file>