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204F3766" w14:textId="77777777" w:rsidR="0018451A" w:rsidRDefault="0018451A" w:rsidP="0018451A">
      <w:pPr>
        <w:pStyle w:val="titel"/>
        <w:jc w:val="right"/>
        <w:rPr>
          <w:rFonts w:ascii="Titillium Lt" w:hAnsi="Titillium Lt" w:cs="Titillium Lt"/>
          <w:sz w:val="22"/>
          <w:szCs w:val="22"/>
        </w:rPr>
      </w:pPr>
      <w:r>
        <w:rPr>
          <w:sz w:val="22"/>
          <w:szCs w:val="22"/>
        </w:rPr>
        <w:tab/>
        <w:t>Goetheanum, Dornach, Suiza, 19 de junio 2025</w:t>
      </w:r>
    </w:p>
    <w:p w14:paraId="1A0CF908" w14:textId="77777777" w:rsidR="0018451A" w:rsidRDefault="0018451A" w:rsidP="0018451A">
      <w:pPr>
        <w:pStyle w:val="titel"/>
        <w:rPr>
          <w:sz w:val="28"/>
          <w:szCs w:val="28"/>
        </w:rPr>
      </w:pPr>
    </w:p>
    <w:p w14:paraId="7EBA6B7D" w14:textId="77777777" w:rsidR="0018451A" w:rsidRPr="0018451A" w:rsidRDefault="0018451A" w:rsidP="0018451A">
      <w:pPr>
        <w:pStyle w:val="titel"/>
        <w:spacing w:before="57"/>
        <w:rPr>
          <w:b/>
          <w:bCs/>
          <w:sz w:val="28"/>
          <w:szCs w:val="28"/>
        </w:rPr>
      </w:pPr>
      <w:r w:rsidRPr="0018451A">
        <w:rPr>
          <w:b/>
          <w:bCs/>
          <w:sz w:val="28"/>
          <w:szCs w:val="28"/>
        </w:rPr>
        <w:t>Los preparados biodinámicos activan los microorganismos en el suelo</w:t>
      </w:r>
    </w:p>
    <w:p w14:paraId="50BA9478" w14:textId="77777777" w:rsidR="0018451A" w:rsidRPr="0018451A" w:rsidRDefault="0018451A" w:rsidP="0018451A">
      <w:pPr>
        <w:pStyle w:val="titel"/>
        <w:spacing w:before="57"/>
        <w:rPr>
          <w:b/>
          <w:bCs/>
          <w:sz w:val="24"/>
          <w:szCs w:val="24"/>
        </w:rPr>
      </w:pPr>
      <w:r w:rsidRPr="0018451A">
        <w:rPr>
          <w:b/>
          <w:bCs/>
          <w:sz w:val="24"/>
          <w:szCs w:val="24"/>
        </w:rPr>
        <w:t>Jürgen Fritz presenta su modelo explicativo sobre el efecto estadísticamente significativo</w:t>
      </w:r>
    </w:p>
    <w:p w14:paraId="20DE9564" w14:textId="77777777" w:rsidR="0018451A" w:rsidRPr="0018451A" w:rsidRDefault="0018451A" w:rsidP="0018451A">
      <w:pPr>
        <w:pStyle w:val="body"/>
        <w:rPr>
          <w:b/>
          <w:bCs/>
        </w:rPr>
      </w:pPr>
    </w:p>
    <w:p w14:paraId="1615CFFC" w14:textId="77777777" w:rsidR="0018451A" w:rsidRPr="0018451A" w:rsidRDefault="0018451A" w:rsidP="0018451A">
      <w:pPr>
        <w:pStyle w:val="body"/>
        <w:rPr>
          <w:rFonts w:ascii="Titillium" w:hAnsi="Titillium" w:cs="Titillium"/>
          <w:b/>
          <w:bCs/>
          <w:sz w:val="18"/>
          <w:szCs w:val="18"/>
        </w:rPr>
      </w:pPr>
      <w:r w:rsidRPr="0018451A">
        <w:rPr>
          <w:rFonts w:ascii="Titillium" w:hAnsi="Titillium" w:cs="Titillium"/>
          <w:b/>
          <w:bCs/>
          <w:spacing w:val="-1"/>
          <w:sz w:val="18"/>
          <w:szCs w:val="18"/>
        </w:rPr>
        <w:t>El uso de preparados especiales es un elemento central de la agricultura biodinámica, sin embargo, hasta ahora se sabía poco sobre el efecto de los preparados desde un punto de vista científico. Jürgen Fritz, científico agrícola de la Universidad de Kassel, Alemania, presenta un modelo que explica la eficacia de los preparados biodinámicos en la revista ‹Living Farms› de la Sección de Agricultura del Goetheanum, Suiza.</w:t>
      </w:r>
    </w:p>
    <w:p w14:paraId="5DD8A1EE" w14:textId="77777777" w:rsidR="0018451A" w:rsidRDefault="0018451A" w:rsidP="0018451A">
      <w:pPr>
        <w:pStyle w:val="body"/>
        <w:rPr>
          <w:rFonts w:ascii="Titillium" w:hAnsi="Titillium" w:cs="Titillium"/>
          <w:spacing w:val="1"/>
          <w:sz w:val="18"/>
          <w:szCs w:val="18"/>
        </w:rPr>
      </w:pPr>
    </w:p>
    <w:p w14:paraId="5AC907D1" w14:textId="77777777" w:rsidR="0018451A" w:rsidRDefault="0018451A" w:rsidP="0018451A">
      <w:pPr>
        <w:pStyle w:val="body"/>
        <w:rPr>
          <w:rFonts w:ascii="Titillium" w:hAnsi="Titillium" w:cs="Titillium"/>
          <w:spacing w:val="1"/>
          <w:sz w:val="18"/>
          <w:szCs w:val="18"/>
        </w:rPr>
      </w:pPr>
      <w:r>
        <w:rPr>
          <w:rFonts w:ascii="Titillium" w:hAnsi="Titillium" w:cs="Titillium"/>
          <w:spacing w:val="1"/>
          <w:sz w:val="18"/>
          <w:szCs w:val="18"/>
        </w:rPr>
        <w:t>Las investigaciones de Jürgen Fritz muestran que el uso de preparados biodinámicos cambia el microbioma del suelo. «Después de rociar el terreno con los preparados medimos el efecto sobre la cantidad de microorganismos que favorecen el crecimiento, durante un periodo de cuatro meses», comenta el doctor en ciencias agrícolas y experto en protección ecológica del medio ambiente. Es asistente de investigación en Agricultura y Producción Vegetal Ecológicas de la Universidad de Kassel, donde coordina el Departamento de Agricultura Biodinámica.</w:t>
      </w:r>
    </w:p>
    <w:p w14:paraId="6D3DCD64" w14:textId="77777777" w:rsidR="0018451A" w:rsidRDefault="0018451A" w:rsidP="0018451A">
      <w:pPr>
        <w:pStyle w:val="body"/>
        <w:spacing w:before="113"/>
        <w:rPr>
          <w:rFonts w:ascii="Titillium" w:hAnsi="Titillium" w:cs="Titillium"/>
          <w:spacing w:val="1"/>
          <w:sz w:val="18"/>
          <w:szCs w:val="18"/>
        </w:rPr>
      </w:pPr>
      <w:r>
        <w:rPr>
          <w:rFonts w:ascii="Titillium" w:hAnsi="Titillium" w:cs="Titillium"/>
          <w:spacing w:val="1"/>
          <w:sz w:val="18"/>
          <w:szCs w:val="18"/>
        </w:rPr>
        <w:t>Con el objetivo de investigar la composición y la reticulación de los organismos del suelo, el equipo de investigación utilizó métodos clásicos de la microbiología, el análisis multicriterio para un estudio de la respiración del suelo inducida por sustratos, y la secuenciación de ADN. En el proyecto se analizaron muestras de suelo de 23 sitios en Alemania y Francia. Después de aplicar los preparados, los investigadores registraron un aumento significativo de microorganismos capaces de favorecer el crecimiento – un fenómeno que incluso se pudo comprobar a lo largo de varias semanas. Por lo tanto, en términos estadísticos, los suelos tratados con preparados biodinámicos difieren significativamente de los suelos no tratados.</w:t>
      </w:r>
    </w:p>
    <w:p w14:paraId="76FD67D1" w14:textId="77777777" w:rsidR="0018451A" w:rsidRDefault="0018451A" w:rsidP="0018451A">
      <w:pPr>
        <w:pStyle w:val="body"/>
        <w:spacing w:before="113"/>
        <w:rPr>
          <w:rFonts w:ascii="Titillium" w:hAnsi="Titillium" w:cs="Titillium"/>
          <w:spacing w:val="1"/>
          <w:sz w:val="18"/>
          <w:szCs w:val="18"/>
        </w:rPr>
      </w:pPr>
      <w:r>
        <w:rPr>
          <w:rFonts w:ascii="Titillium" w:hAnsi="Titillium" w:cs="Titillium"/>
          <w:spacing w:val="1"/>
          <w:sz w:val="18"/>
          <w:szCs w:val="18"/>
        </w:rPr>
        <w:t>«Ahora, por primera vez, tenemos un resultado verificable de impacto», dice Jürgen Fritz. Sin embargo, hay que tener en cuenta que «el empleo de los preparados no funciona como la fertilización nitrogenada clásica, que siempre tiene efectos idénticos. Los procesos del suelo son muy complejos; por eso, los preparados pueden tener un buen efecto en un año, pero no en el año siguiente. Todavía hay muchas preguntas sin resolver».</w:t>
      </w:r>
    </w:p>
    <w:p w14:paraId="7284ABBE" w14:textId="77777777" w:rsidR="0018451A" w:rsidRDefault="0018451A" w:rsidP="0018451A">
      <w:pPr>
        <w:pStyle w:val="body"/>
        <w:spacing w:before="113"/>
        <w:rPr>
          <w:rFonts w:ascii="Titillium" w:hAnsi="Titillium" w:cs="Titillium"/>
          <w:spacing w:val="1"/>
          <w:sz w:val="18"/>
          <w:szCs w:val="18"/>
        </w:rPr>
      </w:pPr>
      <w:r>
        <w:rPr>
          <w:rFonts w:ascii="Titillium" w:hAnsi="Titillium" w:cs="Titillium"/>
          <w:spacing w:val="1"/>
          <w:sz w:val="18"/>
          <w:szCs w:val="18"/>
        </w:rPr>
        <w:t>Estos y otros hallazgos son fundamentales para el discurso internacional de investigación sobre la agricultura biodinámica. Éste Incluye la Conferencia Internacional de Investigación Biodinámica en la Royal Agricultural University de Cirencester, Reino Unido, organizada por la Sección de Agricultura en el Goetheanum, el Forschungsring Deutschland, la Asociación de Biodinámica del Reino Unido y la Royal Agricultural University.</w:t>
      </w:r>
    </w:p>
    <w:p w14:paraId="66BD8ABD" w14:textId="11A9CEE3" w:rsidR="0018451A" w:rsidRDefault="0018451A" w:rsidP="0018451A">
      <w:pPr>
        <w:pStyle w:val="body"/>
        <w:jc w:val="right"/>
        <w:rPr>
          <w:rFonts w:ascii="Titillium" w:hAnsi="Titillium" w:cs="Titillium"/>
          <w:sz w:val="18"/>
          <w:szCs w:val="18"/>
        </w:rPr>
      </w:pPr>
      <w:r>
        <w:rPr>
          <w:rFonts w:ascii="Titillium" w:hAnsi="Titillium" w:cs="Titillium"/>
          <w:sz w:val="18"/>
          <w:szCs w:val="18"/>
        </w:rPr>
        <w:t>(2556 caracteres/</w:t>
      </w:r>
      <w:r w:rsidR="00B12741">
        <w:rPr>
          <w:rFonts w:ascii="Titillium" w:hAnsi="Titillium" w:cs="Titillium"/>
          <w:sz w:val="18"/>
          <w:szCs w:val="18"/>
        </w:rPr>
        <w:t>Anna Storchenegger</w:t>
      </w:r>
      <w:r>
        <w:rPr>
          <w:rFonts w:ascii="Titillium" w:hAnsi="Titillium" w:cs="Titillium"/>
          <w:sz w:val="18"/>
          <w:szCs w:val="18"/>
        </w:rPr>
        <w:t>; traducido por Michael Kranawetvogl)</w:t>
      </w:r>
    </w:p>
    <w:p w14:paraId="10805219" w14:textId="23238FED" w:rsidR="0018451A" w:rsidRPr="007262CB" w:rsidRDefault="0018451A" w:rsidP="0018451A">
      <w:pPr>
        <w:pStyle w:val="body"/>
        <w:spacing w:before="57"/>
        <w:rPr>
          <w:rFonts w:ascii="Titillium" w:hAnsi="Titillium" w:cs="Titillium"/>
          <w:sz w:val="18"/>
          <w:szCs w:val="18"/>
        </w:rPr>
      </w:pPr>
      <w:r>
        <w:rPr>
          <w:rStyle w:val="fett"/>
          <w:rFonts w:ascii="Titillium Bd" w:hAnsi="Titillium Bd" w:cs="Titillium Bd"/>
          <w:b/>
          <w:bCs/>
          <w:spacing w:val="1"/>
          <w:sz w:val="18"/>
          <w:szCs w:val="18"/>
        </w:rPr>
        <w:t>Entrevista con Jürgen Fritz</w:t>
      </w:r>
      <w:r>
        <w:rPr>
          <w:rFonts w:ascii="Titillium" w:hAnsi="Titillium" w:cs="Titillium"/>
          <w:spacing w:val="1"/>
          <w:sz w:val="18"/>
          <w:szCs w:val="18"/>
        </w:rPr>
        <w:t xml:space="preserve"> Das Geheimnis der biodynamischen Präparate lüftet sich (Levantando el secreto de los preparados biodinámicos), revista ‹Living Farms› número 1/2025, páginas 18 a 19</w:t>
      </w:r>
      <w:r w:rsidR="00C17C08">
        <w:rPr>
          <w:rFonts w:ascii="Titillium" w:hAnsi="Titillium" w:cs="Titillium"/>
          <w:spacing w:val="1"/>
          <w:sz w:val="18"/>
          <w:szCs w:val="18"/>
        </w:rPr>
        <w:t>,</w:t>
      </w:r>
      <w:r>
        <w:rPr>
          <w:rFonts w:ascii="Titillium" w:hAnsi="Titillium" w:cs="Titillium"/>
          <w:spacing w:val="1"/>
          <w:sz w:val="18"/>
          <w:szCs w:val="18"/>
        </w:rPr>
        <w:t xml:space="preserve"> descargable en la </w:t>
      </w:r>
      <w:r>
        <w:rPr>
          <w:rFonts w:ascii="Titillium Bd" w:hAnsi="Titillium Bd" w:cs="Titillium Bd"/>
          <w:b/>
          <w:bCs/>
          <w:spacing w:val="1"/>
          <w:sz w:val="18"/>
          <w:szCs w:val="18"/>
        </w:rPr>
        <w:t>Web</w:t>
      </w:r>
      <w:r>
        <w:rPr>
          <w:rFonts w:ascii="Titillium" w:hAnsi="Titillium" w:cs="Titillium"/>
          <w:spacing w:val="1"/>
          <w:sz w:val="18"/>
          <w:szCs w:val="18"/>
        </w:rPr>
        <w:t xml:space="preserve"> </w:t>
      </w:r>
      <w:r>
        <w:rPr>
          <w:rFonts w:ascii="Titillium Bd" w:hAnsi="Titillium Bd" w:cs="Titillium Bd"/>
          <w:b/>
          <w:bCs/>
          <w:spacing w:val="1"/>
          <w:sz w:val="18"/>
          <w:szCs w:val="18"/>
        </w:rPr>
        <w:t>(en inglés)</w:t>
      </w:r>
      <w:r>
        <w:rPr>
          <w:rFonts w:ascii="Titillium" w:hAnsi="Titillium" w:cs="Titillium"/>
          <w:spacing w:val="1"/>
          <w:sz w:val="18"/>
          <w:szCs w:val="18"/>
        </w:rPr>
        <w:t xml:space="preserve"> </w:t>
      </w:r>
      <w:r w:rsidR="007262CB">
        <w:rPr>
          <w:rFonts w:ascii="Titillium" w:hAnsi="Titillium" w:cs="Titillium"/>
          <w:sz w:val="18"/>
          <w:szCs w:val="18"/>
        </w:rPr>
        <w:t xml:space="preserve">www.sektion-landwirtschaft.org/fileadmin/landwirtschaft/Dateien_zum_downloaden/2501_LF_EN_web.pdf </w:t>
      </w:r>
    </w:p>
    <w:p w14:paraId="400DDC69" w14:textId="77777777" w:rsidR="0018451A" w:rsidRDefault="0018451A" w:rsidP="0018451A">
      <w:pPr>
        <w:pStyle w:val="body"/>
        <w:spacing w:before="57"/>
        <w:rPr>
          <w:rFonts w:ascii="Titillium" w:hAnsi="Titillium" w:cs="Titillium"/>
          <w:spacing w:val="1"/>
          <w:sz w:val="18"/>
          <w:szCs w:val="18"/>
        </w:rPr>
      </w:pPr>
      <w:r>
        <w:rPr>
          <w:rFonts w:ascii="Titillium Bd" w:hAnsi="Titillium Bd" w:cs="Titillium Bd"/>
          <w:b/>
          <w:bCs/>
          <w:spacing w:val="1"/>
          <w:sz w:val="18"/>
          <w:szCs w:val="18"/>
        </w:rPr>
        <w:t>Conferencia Internacional de Investigación Biodinámica</w:t>
      </w:r>
      <w:r>
        <w:rPr>
          <w:rFonts w:ascii="Titillium" w:hAnsi="Titillium" w:cs="Titillium"/>
          <w:spacing w:val="1"/>
          <w:sz w:val="18"/>
          <w:szCs w:val="18"/>
        </w:rPr>
        <w:t xml:space="preserve"> The whole and its parts. Researching biodynamic agriculture, del 31 de agosto al 4 de septiembre de 2025, Royal Agricultural University de Cirencester, Reino Unido </w:t>
      </w:r>
      <w:r>
        <w:rPr>
          <w:rFonts w:ascii="Titillium Bd" w:hAnsi="Titillium Bd" w:cs="Titillium Bd"/>
          <w:b/>
          <w:bCs/>
          <w:spacing w:val="1"/>
          <w:sz w:val="18"/>
          <w:szCs w:val="18"/>
        </w:rPr>
        <w:t>Web (en inglés)</w:t>
      </w:r>
      <w:r>
        <w:rPr>
          <w:rFonts w:ascii="Titillium" w:hAnsi="Titillium" w:cs="Titillium"/>
          <w:spacing w:val="1"/>
          <w:sz w:val="18"/>
          <w:szCs w:val="18"/>
        </w:rPr>
        <w:t xml:space="preserve"> www.biodynamic-research.org</w:t>
      </w:r>
    </w:p>
    <w:p w14:paraId="7DBB424B" w14:textId="66D6231C" w:rsidR="006E7E7B" w:rsidRPr="0018451A" w:rsidRDefault="0018451A" w:rsidP="0018451A">
      <w:pPr>
        <w:pStyle w:val="body"/>
        <w:spacing w:before="57"/>
        <w:rPr>
          <w:rFonts w:ascii="Titillium" w:hAnsi="Titillium" w:cs="Titillium"/>
          <w:spacing w:val="1"/>
          <w:sz w:val="18"/>
          <w:szCs w:val="18"/>
        </w:rPr>
      </w:pPr>
      <w:r>
        <w:rPr>
          <w:rFonts w:ascii="Titillium Bd" w:hAnsi="Titillium Bd" w:cs="Titillium Bd"/>
          <w:b/>
          <w:bCs/>
          <w:spacing w:val="1"/>
          <w:sz w:val="18"/>
          <w:szCs w:val="18"/>
        </w:rPr>
        <w:t>Contacto</w:t>
      </w:r>
      <w:r>
        <w:rPr>
          <w:rFonts w:ascii="Titillium" w:hAnsi="Titillium" w:cs="Titillium"/>
          <w:spacing w:val="1"/>
          <w:sz w:val="18"/>
          <w:szCs w:val="18"/>
        </w:rPr>
        <w:t xml:space="preserve"> Anna Stochenegger, anna.storchenegger@goetheanum.ch</w:t>
      </w:r>
    </w:p>
    <w:sectPr w:rsidR="006E7E7B" w:rsidRPr="0018451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8451A"/>
    <w:rsid w:val="006E7E7B"/>
    <w:rsid w:val="006F57DB"/>
    <w:rsid w:val="007262CB"/>
    <w:rsid w:val="007A3A2F"/>
    <w:rsid w:val="0081275A"/>
    <w:rsid w:val="00B12741"/>
    <w:rsid w:val="00B90BB3"/>
    <w:rsid w:val="00C17C08"/>
    <w:rsid w:val="00C864A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customStyle="1" w:styleId="fett">
    <w:name w:val="fett"/>
    <w:uiPriority w:val="99"/>
    <w:rsid w:val="0018451A"/>
    <w:rPr>
      <w:rFonts w:ascii="Titillium" w:hAnsi="Titillium" w:cs="Titilliu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3037</Characters>
  <Application>Microsoft Office Word</Application>
  <DocSecurity>0</DocSecurity>
  <Lines>25</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14</cp:revision>
  <dcterms:created xsi:type="dcterms:W3CDTF">2020-10-31T17:28:00Z</dcterms:created>
  <dcterms:modified xsi:type="dcterms:W3CDTF">2025-06-19T15:43:00Z</dcterms:modified>
</cp:coreProperties>
</file>