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06" w:rsidRDefault="00ED3706" w:rsidP="00ED3706">
      <w:pPr>
        <w:jc w:val="center"/>
      </w:pPr>
      <w:r w:rsidRPr="00ED3706">
        <w:rPr>
          <w:b/>
          <w:sz w:val="32"/>
        </w:rPr>
        <w:t>Statistik 2011 Juni</w:t>
      </w:r>
    </w:p>
    <w:p w:rsidR="00ED3706" w:rsidRDefault="00ED3706"/>
    <w:p w:rsidR="003427EF" w:rsidRDefault="00B5251A">
      <w:r w:rsidRPr="00B5251A">
        <w:rPr>
          <w:noProof/>
          <w:lang w:eastAsia="sv-SE"/>
        </w:rPr>
        <w:drawing>
          <wp:inline distT="0" distB="0" distL="0" distR="0">
            <wp:extent cx="5760720" cy="2332216"/>
            <wp:effectExtent l="19050" t="0" r="1143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27EF" w:rsidRDefault="003427EF"/>
    <w:p w:rsidR="003427EF" w:rsidRDefault="00B5251A">
      <w:r w:rsidRPr="00B5251A">
        <w:rPr>
          <w:noProof/>
          <w:lang w:eastAsia="sv-SE"/>
        </w:rPr>
        <w:drawing>
          <wp:inline distT="0" distB="0" distL="0" distR="0">
            <wp:extent cx="5760720" cy="2353652"/>
            <wp:effectExtent l="19050" t="0" r="11430" b="8548"/>
            <wp:docPr id="11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27EF" w:rsidRDefault="003427EF"/>
    <w:p w:rsidR="003427EF" w:rsidRDefault="00B5251A">
      <w:r w:rsidRPr="00B5251A">
        <w:rPr>
          <w:noProof/>
          <w:lang w:eastAsia="sv-SE"/>
        </w:rPr>
        <w:drawing>
          <wp:inline distT="0" distB="0" distL="0" distR="0">
            <wp:extent cx="5760720" cy="2354877"/>
            <wp:effectExtent l="19050" t="0" r="11430" b="7323"/>
            <wp:docPr id="12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7EF" w:rsidRDefault="003427EF"/>
    <w:p w:rsidR="003427EF" w:rsidRDefault="003427EF"/>
    <w:p w:rsidR="003427EF" w:rsidRDefault="003427EF"/>
    <w:p w:rsidR="003427EF" w:rsidRDefault="003427EF"/>
    <w:sectPr w:rsidR="003427EF" w:rsidSect="0082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427EF"/>
    <w:rsid w:val="001C70DA"/>
    <w:rsid w:val="003427EF"/>
    <w:rsid w:val="003B3BF2"/>
    <w:rsid w:val="004A2FBC"/>
    <w:rsid w:val="004B069A"/>
    <w:rsid w:val="00734CC6"/>
    <w:rsid w:val="00820E71"/>
    <w:rsid w:val="00856D58"/>
    <w:rsid w:val="00992F97"/>
    <w:rsid w:val="00AB5BE3"/>
    <w:rsid w:val="00B14363"/>
    <w:rsid w:val="00B5251A"/>
    <w:rsid w:val="00EC6EEA"/>
    <w:rsid w:val="00ED3706"/>
    <w:rsid w:val="00F3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2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jr\Mina%20dokument\BCA\F&#246;rs&#228;ljning\Marknadsf&#246;ring\PR\110607,%20Diagram%20till%20Pressrea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jr\Mina%20dokument\BCA\F&#246;rs&#228;ljning\Marknadsf&#246;ring\PR\110607,%20Diagram%20till%20Pressrea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jr\Mina%20dokument\BCA\F&#246;rs&#228;ljning\Marknadsf&#246;ring\PR\110607,%20Diagram%20till%20Pressrea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Sålda begagnade Personbilar i Sverige - Totalt</a:t>
            </a:r>
            <a:endParaRPr lang="sv-SE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Blad1!$A$5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Blad1!$B$5:$M$5</c:f>
              <c:numCache>
                <c:formatCode>General</c:formatCode>
                <c:ptCount val="12"/>
                <c:pt idx="0">
                  <c:v>66086</c:v>
                </c:pt>
                <c:pt idx="1">
                  <c:v>66568</c:v>
                </c:pt>
                <c:pt idx="2">
                  <c:v>80305</c:v>
                </c:pt>
                <c:pt idx="3">
                  <c:v>85052</c:v>
                </c:pt>
                <c:pt idx="4">
                  <c:v>94139</c:v>
                </c:pt>
                <c:pt idx="5">
                  <c:v>86508</c:v>
                </c:pt>
              </c:numCache>
            </c:numRef>
          </c:val>
        </c:ser>
        <c:ser>
          <c:idx val="1"/>
          <c:order val="1"/>
          <c:tx>
            <c:strRef>
              <c:f>Blad1!$A$6</c:f>
              <c:strCache>
                <c:ptCount val="1"/>
                <c:pt idx="0">
                  <c:v>År 2010</c:v>
                </c:pt>
              </c:strCache>
            </c:strRef>
          </c:tx>
          <c:marker>
            <c:symbol val="none"/>
          </c:marker>
          <c:cat>
            <c:strRef>
              <c:f>Blad1!$B$4:$M$4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Blad1!$B$6:$M$6</c:f>
              <c:numCache>
                <c:formatCode>General</c:formatCode>
                <c:ptCount val="12"/>
                <c:pt idx="0">
                  <c:v>63816</c:v>
                </c:pt>
                <c:pt idx="1">
                  <c:v>60332</c:v>
                </c:pt>
                <c:pt idx="2">
                  <c:v>74581</c:v>
                </c:pt>
                <c:pt idx="3">
                  <c:v>81928</c:v>
                </c:pt>
                <c:pt idx="4">
                  <c:v>85613</c:v>
                </c:pt>
                <c:pt idx="5">
                  <c:v>87339</c:v>
                </c:pt>
                <c:pt idx="6">
                  <c:v>88060</c:v>
                </c:pt>
                <c:pt idx="7">
                  <c:v>87812</c:v>
                </c:pt>
                <c:pt idx="8">
                  <c:v>91308</c:v>
                </c:pt>
                <c:pt idx="9">
                  <c:v>94041</c:v>
                </c:pt>
                <c:pt idx="10">
                  <c:v>83150</c:v>
                </c:pt>
                <c:pt idx="11">
                  <c:v>67286</c:v>
                </c:pt>
              </c:numCache>
            </c:numRef>
          </c:val>
        </c:ser>
        <c:marker val="1"/>
        <c:axId val="111241088"/>
        <c:axId val="111242624"/>
      </c:lineChart>
      <c:catAx>
        <c:axId val="111241088"/>
        <c:scaling>
          <c:orientation val="minMax"/>
        </c:scaling>
        <c:axPos val="b"/>
        <c:numFmt formatCode="mmm/yy" sourceLinked="1"/>
        <c:majorTickMark val="none"/>
        <c:tickLblPos val="nextTo"/>
        <c:crossAx val="111242624"/>
        <c:crosses val="autoZero"/>
        <c:auto val="1"/>
        <c:lblAlgn val="ctr"/>
        <c:lblOffset val="100"/>
      </c:catAx>
      <c:valAx>
        <c:axId val="1112426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Antal fordon</a:t>
                </a:r>
                <a:endParaRPr lang="sv-SE" sz="1200"/>
              </a:p>
            </c:rich>
          </c:tx>
        </c:title>
        <c:numFmt formatCode="General" sourceLinked="1"/>
        <c:majorTickMark val="none"/>
        <c:tickLblPos val="nextTo"/>
        <c:crossAx val="111241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Sålda begagnade Personbilar i Sverige - Bilhandel</a:t>
            </a:r>
            <a:endParaRPr lang="sv-SE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Blad1!$A$36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Blad1!$B$35:$M$35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Blad1!$B$36:$M$36</c:f>
              <c:numCache>
                <c:formatCode>General</c:formatCode>
                <c:ptCount val="12"/>
                <c:pt idx="0">
                  <c:v>27014</c:v>
                </c:pt>
                <c:pt idx="1">
                  <c:v>28024</c:v>
                </c:pt>
                <c:pt idx="2">
                  <c:v>32081</c:v>
                </c:pt>
                <c:pt idx="3">
                  <c:v>31309</c:v>
                </c:pt>
                <c:pt idx="4">
                  <c:v>34036</c:v>
                </c:pt>
                <c:pt idx="5">
                  <c:v>31548</c:v>
                </c:pt>
              </c:numCache>
            </c:numRef>
          </c:val>
        </c:ser>
        <c:ser>
          <c:idx val="1"/>
          <c:order val="1"/>
          <c:tx>
            <c:strRef>
              <c:f>Blad1!$A$37</c:f>
              <c:strCache>
                <c:ptCount val="1"/>
                <c:pt idx="0">
                  <c:v>År 2010</c:v>
                </c:pt>
              </c:strCache>
            </c:strRef>
          </c:tx>
          <c:marker>
            <c:symbol val="none"/>
          </c:marker>
          <c:cat>
            <c:strRef>
              <c:f>Blad1!$B$35:$M$35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Blad1!$B$37:$M$37</c:f>
              <c:numCache>
                <c:formatCode>General</c:formatCode>
                <c:ptCount val="12"/>
                <c:pt idx="0">
                  <c:v>23992</c:v>
                </c:pt>
                <c:pt idx="1">
                  <c:v>23752</c:v>
                </c:pt>
                <c:pt idx="2">
                  <c:v>29563</c:v>
                </c:pt>
                <c:pt idx="3">
                  <c:v>29153</c:v>
                </c:pt>
                <c:pt idx="4">
                  <c:v>29549</c:v>
                </c:pt>
                <c:pt idx="5">
                  <c:v>31056</c:v>
                </c:pt>
                <c:pt idx="6">
                  <c:v>32812</c:v>
                </c:pt>
                <c:pt idx="7">
                  <c:v>30579</c:v>
                </c:pt>
                <c:pt idx="8">
                  <c:v>31547</c:v>
                </c:pt>
                <c:pt idx="9">
                  <c:v>31441</c:v>
                </c:pt>
                <c:pt idx="10">
                  <c:v>29207</c:v>
                </c:pt>
                <c:pt idx="11">
                  <c:v>24987</c:v>
                </c:pt>
              </c:numCache>
            </c:numRef>
          </c:val>
        </c:ser>
        <c:marker val="1"/>
        <c:axId val="126895616"/>
        <c:axId val="126897152"/>
      </c:lineChart>
      <c:catAx>
        <c:axId val="126895616"/>
        <c:scaling>
          <c:orientation val="minMax"/>
        </c:scaling>
        <c:axPos val="b"/>
        <c:numFmt formatCode="mmm/yy" sourceLinked="1"/>
        <c:majorTickMark val="none"/>
        <c:tickLblPos val="nextTo"/>
        <c:crossAx val="126897152"/>
        <c:crosses val="autoZero"/>
        <c:auto val="1"/>
        <c:lblAlgn val="ctr"/>
        <c:lblOffset val="100"/>
      </c:catAx>
      <c:valAx>
        <c:axId val="126897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 b="1" i="0" baseline="0"/>
                  <a:t>Antal fordon</a:t>
                </a:r>
                <a:endParaRPr lang="sv-SE" sz="1200"/>
              </a:p>
            </c:rich>
          </c:tx>
        </c:title>
        <c:numFmt formatCode="General" sourceLinked="1"/>
        <c:majorTickMark val="none"/>
        <c:tickLblPos val="nextTo"/>
        <c:crossAx val="126895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 w="15875"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Sålda begagnade Personbilar i Sverige - Privatpersoner</a:t>
            </a:r>
            <a:endParaRPr lang="sv-SE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Blad1!$A$65</c:f>
              <c:strCache>
                <c:ptCount val="1"/>
                <c:pt idx="0">
                  <c:v>År 2011</c:v>
                </c:pt>
              </c:strCache>
            </c:strRef>
          </c:tx>
          <c:marker>
            <c:symbol val="none"/>
          </c:marker>
          <c:cat>
            <c:strRef>
              <c:f>Blad1!$B$64:$M$64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Blad1!$B$65:$M$65</c:f>
              <c:numCache>
                <c:formatCode>General</c:formatCode>
                <c:ptCount val="12"/>
                <c:pt idx="0">
                  <c:v>36209</c:v>
                </c:pt>
                <c:pt idx="1">
                  <c:v>35594</c:v>
                </c:pt>
                <c:pt idx="2">
                  <c:v>44863</c:v>
                </c:pt>
                <c:pt idx="3">
                  <c:v>50603</c:v>
                </c:pt>
                <c:pt idx="4">
                  <c:v>56427</c:v>
                </c:pt>
                <c:pt idx="5">
                  <c:v>51624</c:v>
                </c:pt>
              </c:numCache>
            </c:numRef>
          </c:val>
        </c:ser>
        <c:ser>
          <c:idx val="1"/>
          <c:order val="1"/>
          <c:tx>
            <c:strRef>
              <c:f>Blad1!$A$66</c:f>
              <c:strCache>
                <c:ptCount val="1"/>
                <c:pt idx="0">
                  <c:v>År 2010</c:v>
                </c:pt>
              </c:strCache>
            </c:strRef>
          </c:tx>
          <c:marker>
            <c:symbol val="none"/>
          </c:marker>
          <c:cat>
            <c:strRef>
              <c:f>Blad1!$B$64:$M$64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Blad1!$B$66:$M$66</c:f>
              <c:numCache>
                <c:formatCode>General</c:formatCode>
                <c:ptCount val="12"/>
                <c:pt idx="0">
                  <c:v>36855</c:v>
                </c:pt>
                <c:pt idx="1">
                  <c:v>33760</c:v>
                </c:pt>
                <c:pt idx="2">
                  <c:v>41639</c:v>
                </c:pt>
                <c:pt idx="3">
                  <c:v>49455</c:v>
                </c:pt>
                <c:pt idx="4">
                  <c:v>52724</c:v>
                </c:pt>
                <c:pt idx="5">
                  <c:v>52628</c:v>
                </c:pt>
                <c:pt idx="6">
                  <c:v>52143</c:v>
                </c:pt>
                <c:pt idx="7">
                  <c:v>54359</c:v>
                </c:pt>
                <c:pt idx="8">
                  <c:v>56445</c:v>
                </c:pt>
                <c:pt idx="9">
                  <c:v>58940</c:v>
                </c:pt>
                <c:pt idx="10">
                  <c:v>50673</c:v>
                </c:pt>
                <c:pt idx="11">
                  <c:v>38945</c:v>
                </c:pt>
              </c:numCache>
            </c:numRef>
          </c:val>
        </c:ser>
        <c:marker val="1"/>
        <c:axId val="127317120"/>
        <c:axId val="127318656"/>
      </c:lineChart>
      <c:catAx>
        <c:axId val="127317120"/>
        <c:scaling>
          <c:orientation val="minMax"/>
        </c:scaling>
        <c:axPos val="b"/>
        <c:numFmt formatCode="mmm/yy" sourceLinked="1"/>
        <c:majorTickMark val="none"/>
        <c:tickLblPos val="nextTo"/>
        <c:crossAx val="127318656"/>
        <c:crosses val="autoZero"/>
        <c:auto val="1"/>
        <c:lblAlgn val="ctr"/>
        <c:lblOffset val="100"/>
      </c:catAx>
      <c:valAx>
        <c:axId val="1273186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 i="0" baseline="0"/>
                  <a:t>Antal fordon</a:t>
                </a:r>
                <a:endParaRPr lang="sv-SE" sz="700"/>
              </a:p>
            </c:rich>
          </c:tx>
        </c:title>
        <c:numFmt formatCode="General" sourceLinked="1"/>
        <c:majorTickMark val="none"/>
        <c:tickLblPos val="nextTo"/>
        <c:crossAx val="127317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Company>BCA Sverige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Ramnek</dc:creator>
  <cp:keywords/>
  <dc:description/>
  <cp:lastModifiedBy>Jonas Ramnek</cp:lastModifiedBy>
  <cp:revision>3</cp:revision>
  <dcterms:created xsi:type="dcterms:W3CDTF">2011-07-05T09:42:00Z</dcterms:created>
  <dcterms:modified xsi:type="dcterms:W3CDTF">2011-07-05T09:48:00Z</dcterms:modified>
</cp:coreProperties>
</file>