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869E6" w:rsidRPr="0021077B" w:rsidRDefault="006869E6" w:rsidP="00D24631">
      <w:pPr>
        <w:pStyle w:val="Abbott-Subtitle"/>
        <w:tabs>
          <w:tab w:val="clear" w:pos="8640"/>
        </w:tabs>
        <w:spacing w:line="240" w:lineRule="auto"/>
        <w:ind w:right="178"/>
        <w:rPr>
          <w:rFonts w:cs="Arial"/>
          <w:i w:val="0"/>
          <w:sz w:val="32"/>
          <w:szCs w:val="32"/>
          <w:lang w:val="sv-SE"/>
        </w:rPr>
      </w:pPr>
      <w:r>
        <w:rPr>
          <w:rFonts w:cs="Arial"/>
          <w:i w:val="0"/>
          <w:sz w:val="32"/>
          <w:szCs w:val="32"/>
          <w:lang w:val="sv-SE"/>
        </w:rPr>
        <w:t xml:space="preserve">Två av tre </w:t>
      </w:r>
      <w:r w:rsidRPr="00D24631">
        <w:rPr>
          <w:rFonts w:cs="Arial"/>
          <w:i w:val="0"/>
          <w:sz w:val="32"/>
          <w:szCs w:val="32"/>
          <w:lang w:val="sv-SE"/>
        </w:rPr>
        <w:t xml:space="preserve">patienter med </w:t>
      </w:r>
      <w:r>
        <w:rPr>
          <w:rFonts w:cs="Arial"/>
          <w:i w:val="0"/>
          <w:sz w:val="32"/>
          <w:szCs w:val="32"/>
          <w:lang w:val="sv-SE"/>
        </w:rPr>
        <w:t>den reumatiska ryggsjukdomen</w:t>
      </w:r>
      <w:r w:rsidRPr="00D24631">
        <w:rPr>
          <w:rFonts w:cs="Arial"/>
          <w:i w:val="0"/>
          <w:sz w:val="32"/>
          <w:szCs w:val="32"/>
          <w:lang w:val="sv-SE"/>
        </w:rPr>
        <w:t xml:space="preserve"> axial spondylart</w:t>
      </w:r>
      <w:r>
        <w:rPr>
          <w:rFonts w:cs="Arial"/>
          <w:i w:val="0"/>
          <w:sz w:val="32"/>
          <w:szCs w:val="32"/>
          <w:lang w:val="sv-SE"/>
        </w:rPr>
        <w:t>r</w:t>
      </w:r>
      <w:r w:rsidRPr="00D24631">
        <w:rPr>
          <w:rFonts w:cs="Arial"/>
          <w:i w:val="0"/>
          <w:sz w:val="32"/>
          <w:szCs w:val="32"/>
          <w:lang w:val="sv-SE"/>
        </w:rPr>
        <w:t>it</w:t>
      </w:r>
      <w:r>
        <w:rPr>
          <w:rFonts w:cs="Arial"/>
          <w:i w:val="0"/>
          <w:sz w:val="32"/>
          <w:szCs w:val="32"/>
          <w:lang w:val="sv-SE"/>
        </w:rPr>
        <w:t xml:space="preserve"> nådde behandlingsmålen vid behandling med HUMIRA</w:t>
      </w:r>
      <w:r w:rsidRPr="0021077B">
        <w:rPr>
          <w:rFonts w:cs="Arial"/>
          <w:i w:val="0"/>
          <w:sz w:val="32"/>
          <w:szCs w:val="32"/>
          <w:vertAlign w:val="superscript"/>
          <w:lang w:val="sv-SE"/>
        </w:rPr>
        <w:t>®</w:t>
      </w:r>
    </w:p>
    <w:p w:rsidR="006869E6" w:rsidRPr="00D24631" w:rsidRDefault="006869E6" w:rsidP="005104AA">
      <w:pPr>
        <w:autoSpaceDE w:val="0"/>
        <w:autoSpaceDN w:val="0"/>
        <w:adjustRightInd w:val="0"/>
        <w:rPr>
          <w:rFonts w:ascii="Arial" w:hAnsi="Arial"/>
          <w:i/>
          <w:sz w:val="20"/>
          <w:lang w:val="sv-SE"/>
        </w:rPr>
      </w:pPr>
      <w:r>
        <w:rPr>
          <w:rFonts w:ascii="Arial" w:hAnsi="Arial" w:cs="Arial"/>
          <w:i/>
          <w:sz w:val="22"/>
          <w:szCs w:val="22"/>
          <w:lang w:val="sv-SE"/>
        </w:rPr>
        <w:br/>
      </w:r>
      <w:r w:rsidRPr="004864C8">
        <w:rPr>
          <w:rFonts w:ascii="Arial" w:hAnsi="Arial"/>
          <w:i/>
          <w:sz w:val="20"/>
          <w:lang w:val="sv-SE"/>
        </w:rPr>
        <w:t>ABBOTT PARK</w:t>
      </w:r>
      <w:r>
        <w:rPr>
          <w:rFonts w:ascii="Arial" w:hAnsi="Arial"/>
          <w:i/>
          <w:sz w:val="20"/>
          <w:lang w:val="sv-SE"/>
        </w:rPr>
        <w:t>, Ill., 2012-06-08</w:t>
      </w:r>
    </w:p>
    <w:p w:rsidR="006869E6" w:rsidRPr="00B9264E" w:rsidRDefault="006869E6" w:rsidP="00B9264E">
      <w:pPr>
        <w:autoSpaceDE w:val="0"/>
        <w:autoSpaceDN w:val="0"/>
        <w:adjustRightInd w:val="0"/>
        <w:rPr>
          <w:rFonts w:ascii="Arial" w:hAnsi="Arial" w:cs="Arial"/>
          <w:sz w:val="22"/>
          <w:szCs w:val="22"/>
          <w:lang w:val="sv-SE"/>
        </w:rPr>
      </w:pPr>
    </w:p>
    <w:p w:rsidR="006869E6" w:rsidRPr="00D36F1C" w:rsidRDefault="006869E6" w:rsidP="00D24631">
      <w:pPr>
        <w:autoSpaceDE w:val="0"/>
        <w:autoSpaceDN w:val="0"/>
        <w:adjustRightInd w:val="0"/>
        <w:rPr>
          <w:rFonts w:ascii="Arial" w:hAnsi="Arial" w:cs="Arial"/>
          <w:b/>
          <w:i/>
          <w:sz w:val="22"/>
          <w:szCs w:val="22"/>
          <w:lang w:val="sv-SE"/>
        </w:rPr>
      </w:pPr>
      <w:r w:rsidRPr="00D36F1C">
        <w:rPr>
          <w:rFonts w:ascii="Arial" w:hAnsi="Arial" w:cs="Arial"/>
          <w:b/>
          <w:i/>
          <w:sz w:val="22"/>
          <w:szCs w:val="22"/>
          <w:lang w:val="sv-SE"/>
        </w:rPr>
        <w:t>Under den pågående europeiska reumatologkongressen EULAR i Berlin presenterade Abbott fas III resultat från ABILITY-1 studien</w:t>
      </w:r>
      <w:r>
        <w:rPr>
          <w:rFonts w:ascii="Arial" w:hAnsi="Arial" w:cs="Arial"/>
          <w:b/>
          <w:i/>
          <w:sz w:val="22"/>
          <w:szCs w:val="22"/>
          <w:lang w:val="sv-SE"/>
        </w:rPr>
        <w:t>. Studien</w:t>
      </w:r>
      <w:r w:rsidRPr="00D36F1C">
        <w:rPr>
          <w:rFonts w:ascii="Arial" w:hAnsi="Arial" w:cs="Arial"/>
          <w:b/>
          <w:i/>
          <w:sz w:val="22"/>
          <w:szCs w:val="22"/>
          <w:lang w:val="sv-SE"/>
        </w:rPr>
        <w:t xml:space="preserve"> undersöker Humiras effekt vid behandling av axial spondylartrit</w:t>
      </w:r>
      <w:r>
        <w:rPr>
          <w:rFonts w:ascii="Arial" w:hAnsi="Arial" w:cs="Arial"/>
          <w:b/>
          <w:i/>
          <w:sz w:val="22"/>
          <w:szCs w:val="22"/>
          <w:lang w:val="sv-SE"/>
        </w:rPr>
        <w:t xml:space="preserve"> och r</w:t>
      </w:r>
      <w:r w:rsidRPr="00D36F1C">
        <w:rPr>
          <w:rFonts w:ascii="Arial" w:hAnsi="Arial" w:cs="Arial"/>
          <w:b/>
          <w:i/>
          <w:sz w:val="22"/>
          <w:szCs w:val="22"/>
          <w:lang w:val="sv-SE"/>
        </w:rPr>
        <w:t xml:space="preserve">esultaten visar </w:t>
      </w:r>
      <w:r>
        <w:rPr>
          <w:rFonts w:ascii="Arial" w:hAnsi="Arial" w:cs="Arial"/>
          <w:b/>
          <w:i/>
          <w:sz w:val="22"/>
          <w:szCs w:val="22"/>
          <w:lang w:val="sv-SE"/>
        </w:rPr>
        <w:t xml:space="preserve">att två av tre deltagare (67%) </w:t>
      </w:r>
      <w:r w:rsidRPr="00D36F1C">
        <w:rPr>
          <w:rFonts w:ascii="Arial" w:hAnsi="Arial" w:cs="Arial"/>
          <w:b/>
          <w:i/>
          <w:sz w:val="22"/>
          <w:szCs w:val="22"/>
          <w:lang w:val="sv-SE"/>
        </w:rPr>
        <w:t>uppnådde behandlingsmålen med 40 procents förbättring av symptomen. ABILITY-1 studien är den första stu</w:t>
      </w:r>
      <w:r>
        <w:rPr>
          <w:rFonts w:ascii="Arial" w:hAnsi="Arial" w:cs="Arial"/>
          <w:b/>
          <w:i/>
          <w:sz w:val="22"/>
          <w:szCs w:val="22"/>
          <w:lang w:val="sv-SE"/>
        </w:rPr>
        <w:t>dien som utvärderar en anti-TNF-</w:t>
      </w:r>
      <w:r w:rsidRPr="00D36F1C">
        <w:rPr>
          <w:rFonts w:ascii="Arial" w:hAnsi="Arial" w:cs="Arial"/>
          <w:b/>
          <w:i/>
          <w:sz w:val="22"/>
          <w:szCs w:val="22"/>
          <w:lang w:val="sv-SE"/>
        </w:rPr>
        <w:t>hämmare för behandling av icke-radiografisk axial spondylartrit.</w:t>
      </w:r>
    </w:p>
    <w:p w:rsidR="006869E6" w:rsidRDefault="006869E6" w:rsidP="00D24631">
      <w:pPr>
        <w:autoSpaceDE w:val="0"/>
        <w:autoSpaceDN w:val="0"/>
        <w:adjustRightInd w:val="0"/>
        <w:rPr>
          <w:rFonts w:ascii="Arial" w:hAnsi="Arial" w:cs="Arial"/>
          <w:sz w:val="22"/>
          <w:szCs w:val="22"/>
          <w:lang w:val="sv-SE"/>
        </w:rPr>
      </w:pPr>
    </w:p>
    <w:p w:rsidR="006869E6" w:rsidRPr="00D36F1C" w:rsidRDefault="006869E6" w:rsidP="004C7298">
      <w:pPr>
        <w:pStyle w:val="Abbott-Subtitle"/>
        <w:spacing w:line="240" w:lineRule="auto"/>
        <w:rPr>
          <w:rFonts w:cs="Arial"/>
          <w:i w:val="0"/>
          <w:szCs w:val="22"/>
          <w:lang w:val="sv-SE"/>
        </w:rPr>
      </w:pPr>
      <w:r w:rsidRPr="005104AA">
        <w:rPr>
          <w:rFonts w:cs="Arial"/>
          <w:i w:val="0"/>
          <w:szCs w:val="22"/>
          <w:lang w:val="sv-SE"/>
        </w:rPr>
        <w:t xml:space="preserve">Studien </w:t>
      </w:r>
      <w:r>
        <w:rPr>
          <w:rFonts w:cs="Arial"/>
          <w:i w:val="0"/>
          <w:szCs w:val="22"/>
          <w:lang w:val="sv-SE"/>
        </w:rPr>
        <w:t xml:space="preserve">undersöker </w:t>
      </w:r>
      <w:r w:rsidRPr="005104AA">
        <w:rPr>
          <w:rFonts w:cs="Arial"/>
          <w:i w:val="0"/>
          <w:szCs w:val="22"/>
          <w:lang w:val="sv-SE"/>
        </w:rPr>
        <w:t>förbättringar i sjukdomstecken och symtom för patienter med aktiv axi</w:t>
      </w:r>
      <w:r>
        <w:rPr>
          <w:rFonts w:cs="Arial"/>
          <w:i w:val="0"/>
          <w:szCs w:val="22"/>
          <w:lang w:val="sv-SE"/>
        </w:rPr>
        <w:t>al</w:t>
      </w:r>
      <w:r w:rsidRPr="005104AA">
        <w:rPr>
          <w:rFonts w:cs="Arial"/>
          <w:i w:val="0"/>
          <w:szCs w:val="22"/>
          <w:lang w:val="sv-SE"/>
        </w:rPr>
        <w:t xml:space="preserve"> spondylartrit (axial</w:t>
      </w:r>
      <w:r>
        <w:rPr>
          <w:rFonts w:cs="Arial"/>
          <w:i w:val="0"/>
          <w:szCs w:val="22"/>
          <w:lang w:val="sv-SE"/>
        </w:rPr>
        <w:t xml:space="preserve"> SpA)</w:t>
      </w:r>
      <w:r w:rsidRPr="005104AA">
        <w:rPr>
          <w:rFonts w:cs="Arial"/>
          <w:i w:val="0"/>
          <w:szCs w:val="22"/>
          <w:lang w:val="sv-SE"/>
        </w:rPr>
        <w:t xml:space="preserve"> som inte uppvisar strukturell skada på lederna vid röntgen</w:t>
      </w:r>
      <w:r>
        <w:rPr>
          <w:rFonts w:cs="Arial"/>
          <w:i w:val="0"/>
          <w:szCs w:val="22"/>
          <w:lang w:val="sv-SE"/>
        </w:rPr>
        <w:t>undersökning</w:t>
      </w:r>
      <w:r w:rsidRPr="005104AA">
        <w:rPr>
          <w:rFonts w:cs="Arial"/>
          <w:i w:val="0"/>
          <w:szCs w:val="22"/>
          <w:lang w:val="sv-SE"/>
        </w:rPr>
        <w:t xml:space="preserve">. </w:t>
      </w:r>
      <w:r>
        <w:rPr>
          <w:rFonts w:cs="Arial"/>
          <w:i w:val="0"/>
          <w:szCs w:val="22"/>
          <w:lang w:val="sv-SE"/>
        </w:rPr>
        <w:t xml:space="preserve">Axial SpA ingår i en grupp av likartade sjukdomar som kallas spondylartriter, </w:t>
      </w:r>
      <w:r>
        <w:rPr>
          <w:rFonts w:cs="Arial"/>
          <w:i w:val="0"/>
          <w:color w:val="000000"/>
          <w:szCs w:val="22"/>
          <w:lang w:val="sv-SE"/>
        </w:rPr>
        <w:t>där bland annat även psoriasisartrit och Ankyloserande spondylit</w:t>
      </w:r>
      <w:r>
        <w:rPr>
          <w:rStyle w:val="FootnoteReference"/>
          <w:i w:val="0"/>
          <w:color w:val="000000"/>
          <w:szCs w:val="22"/>
          <w:lang w:val="sv-SE"/>
        </w:rPr>
        <w:footnoteReference w:id="2"/>
      </w:r>
      <w:r>
        <w:rPr>
          <w:rFonts w:cs="Arial"/>
          <w:i w:val="0"/>
          <w:color w:val="000000"/>
          <w:szCs w:val="22"/>
          <w:lang w:val="sv-SE"/>
        </w:rPr>
        <w:t xml:space="preserve"> ingår.</w:t>
      </w:r>
      <w:r w:rsidRPr="007060EF">
        <w:rPr>
          <w:lang w:val="sv-SE"/>
        </w:rPr>
        <w:t xml:space="preserve"> </w:t>
      </w:r>
    </w:p>
    <w:p w:rsidR="006869E6" w:rsidRPr="00B9264E" w:rsidRDefault="006869E6" w:rsidP="00B9264E">
      <w:pPr>
        <w:autoSpaceDE w:val="0"/>
        <w:autoSpaceDN w:val="0"/>
        <w:adjustRightInd w:val="0"/>
        <w:rPr>
          <w:rFonts w:ascii="Arial" w:hAnsi="Arial" w:cs="Arial"/>
          <w:sz w:val="22"/>
          <w:szCs w:val="22"/>
          <w:lang w:val="sv-SE"/>
        </w:rPr>
      </w:pPr>
    </w:p>
    <w:p w:rsidR="006869E6" w:rsidRPr="00B9264E" w:rsidRDefault="006869E6" w:rsidP="004C7298">
      <w:pPr>
        <w:autoSpaceDE w:val="0"/>
        <w:autoSpaceDN w:val="0"/>
        <w:adjustRightInd w:val="0"/>
        <w:rPr>
          <w:rFonts w:ascii="Arial" w:hAnsi="Arial" w:cs="Arial"/>
          <w:sz w:val="22"/>
          <w:szCs w:val="22"/>
          <w:lang w:val="sv-SE"/>
        </w:rPr>
      </w:pPr>
      <w:r>
        <w:rPr>
          <w:rFonts w:ascii="Arial" w:hAnsi="Arial" w:cs="Arial"/>
          <w:sz w:val="22"/>
          <w:szCs w:val="22"/>
          <w:lang w:val="sv-SE"/>
        </w:rPr>
        <w:t>ABILITY</w:t>
      </w:r>
      <w:r w:rsidRPr="00B9264E">
        <w:rPr>
          <w:rFonts w:ascii="Arial" w:hAnsi="Arial" w:cs="Arial"/>
          <w:sz w:val="22"/>
          <w:szCs w:val="22"/>
          <w:lang w:val="sv-SE"/>
        </w:rPr>
        <w:t xml:space="preserve">-1 är den första stora studien </w:t>
      </w:r>
      <w:r>
        <w:rPr>
          <w:rFonts w:ascii="Arial" w:hAnsi="Arial" w:cs="Arial"/>
          <w:sz w:val="22"/>
          <w:szCs w:val="22"/>
          <w:lang w:val="sv-SE"/>
        </w:rPr>
        <w:t>som använder S</w:t>
      </w:r>
      <w:r w:rsidRPr="00B9264E">
        <w:rPr>
          <w:rFonts w:ascii="Arial" w:hAnsi="Arial" w:cs="Arial"/>
          <w:sz w:val="22"/>
          <w:szCs w:val="22"/>
          <w:lang w:val="sv-SE"/>
        </w:rPr>
        <w:t>pondyl</w:t>
      </w:r>
      <w:r>
        <w:rPr>
          <w:rFonts w:ascii="Arial" w:hAnsi="Arial" w:cs="Arial"/>
          <w:sz w:val="22"/>
          <w:szCs w:val="22"/>
          <w:lang w:val="sv-SE"/>
        </w:rPr>
        <w:t>oA</w:t>
      </w:r>
      <w:r w:rsidRPr="00B9264E">
        <w:rPr>
          <w:rFonts w:ascii="Arial" w:hAnsi="Arial" w:cs="Arial"/>
          <w:sz w:val="22"/>
          <w:szCs w:val="22"/>
          <w:lang w:val="sv-SE"/>
        </w:rPr>
        <w:t>rt</w:t>
      </w:r>
      <w:r>
        <w:rPr>
          <w:rFonts w:ascii="Arial" w:hAnsi="Arial" w:cs="Arial"/>
          <w:sz w:val="22"/>
          <w:szCs w:val="22"/>
          <w:lang w:val="sv-SE"/>
        </w:rPr>
        <w:t>hr</w:t>
      </w:r>
      <w:r w:rsidRPr="00B9264E">
        <w:rPr>
          <w:rFonts w:ascii="Arial" w:hAnsi="Arial" w:cs="Arial"/>
          <w:sz w:val="22"/>
          <w:szCs w:val="22"/>
          <w:lang w:val="sv-SE"/>
        </w:rPr>
        <w:t>it</w:t>
      </w:r>
      <w:r>
        <w:rPr>
          <w:rFonts w:ascii="Arial" w:hAnsi="Arial" w:cs="Arial"/>
          <w:sz w:val="22"/>
          <w:szCs w:val="22"/>
          <w:lang w:val="sv-SE"/>
        </w:rPr>
        <w:t>is</w:t>
      </w:r>
      <w:r w:rsidRPr="00B9264E">
        <w:rPr>
          <w:rFonts w:ascii="Arial" w:hAnsi="Arial" w:cs="Arial"/>
          <w:sz w:val="22"/>
          <w:szCs w:val="22"/>
          <w:lang w:val="sv-SE"/>
        </w:rPr>
        <w:t xml:space="preserve"> International Society (ASAS) kriterier </w:t>
      </w:r>
      <w:r>
        <w:rPr>
          <w:rFonts w:ascii="Arial" w:hAnsi="Arial" w:cs="Arial"/>
          <w:sz w:val="22"/>
          <w:szCs w:val="22"/>
          <w:lang w:val="sv-SE"/>
        </w:rPr>
        <w:t xml:space="preserve">i sin bedömning </w:t>
      </w:r>
      <w:r w:rsidRPr="00B9264E">
        <w:rPr>
          <w:rFonts w:ascii="Arial" w:hAnsi="Arial" w:cs="Arial"/>
          <w:sz w:val="22"/>
          <w:szCs w:val="22"/>
          <w:lang w:val="sv-SE"/>
        </w:rPr>
        <w:t>för att</w:t>
      </w:r>
      <w:r>
        <w:rPr>
          <w:rFonts w:ascii="Arial" w:hAnsi="Arial" w:cs="Arial"/>
          <w:sz w:val="22"/>
          <w:szCs w:val="22"/>
          <w:lang w:val="sv-SE"/>
        </w:rPr>
        <w:t xml:space="preserve"> klassificera patienter med icke-radiografisk axial SpA</w:t>
      </w:r>
      <w:r w:rsidRPr="00B9264E">
        <w:rPr>
          <w:rFonts w:ascii="Arial" w:hAnsi="Arial" w:cs="Arial"/>
          <w:sz w:val="22"/>
          <w:szCs w:val="22"/>
          <w:lang w:val="sv-SE"/>
        </w:rPr>
        <w:t xml:space="preserve">. </w:t>
      </w:r>
      <w:r>
        <w:rPr>
          <w:rFonts w:ascii="Arial" w:hAnsi="Arial" w:cs="Arial"/>
          <w:sz w:val="22"/>
          <w:szCs w:val="22"/>
          <w:lang w:val="sv-SE"/>
        </w:rPr>
        <w:t>I ABILITY</w:t>
      </w:r>
      <w:r w:rsidRPr="00B9264E">
        <w:rPr>
          <w:rFonts w:ascii="Arial" w:hAnsi="Arial" w:cs="Arial"/>
          <w:sz w:val="22"/>
          <w:szCs w:val="22"/>
          <w:lang w:val="sv-SE"/>
        </w:rPr>
        <w:t>-1 anvä</w:t>
      </w:r>
      <w:r>
        <w:rPr>
          <w:rFonts w:ascii="Arial" w:hAnsi="Arial" w:cs="Arial"/>
          <w:sz w:val="22"/>
          <w:szCs w:val="22"/>
          <w:lang w:val="sv-SE"/>
        </w:rPr>
        <w:t>ndes</w:t>
      </w:r>
      <w:r w:rsidRPr="00B9264E">
        <w:rPr>
          <w:rFonts w:ascii="Arial" w:hAnsi="Arial" w:cs="Arial"/>
          <w:sz w:val="22"/>
          <w:szCs w:val="22"/>
          <w:lang w:val="sv-SE"/>
        </w:rPr>
        <w:t xml:space="preserve"> </w:t>
      </w:r>
      <w:r>
        <w:rPr>
          <w:rFonts w:ascii="Arial" w:hAnsi="Arial" w:cs="Arial"/>
          <w:sz w:val="22"/>
          <w:szCs w:val="22"/>
          <w:lang w:val="sv-SE"/>
        </w:rPr>
        <w:t xml:space="preserve">effektmåttet </w:t>
      </w:r>
      <w:r w:rsidRPr="00B9264E">
        <w:rPr>
          <w:rFonts w:ascii="Arial" w:hAnsi="Arial" w:cs="Arial"/>
          <w:sz w:val="22"/>
          <w:szCs w:val="22"/>
          <w:lang w:val="sv-SE"/>
        </w:rPr>
        <w:t xml:space="preserve">ASAS 40 </w:t>
      </w:r>
      <w:r>
        <w:rPr>
          <w:rFonts w:ascii="Arial" w:hAnsi="Arial" w:cs="Arial"/>
          <w:sz w:val="22"/>
          <w:szCs w:val="22"/>
          <w:lang w:val="sv-SE"/>
        </w:rPr>
        <w:t>som primärt behandlingsmål, vilket är ett strängare utfalls</w:t>
      </w:r>
      <w:r w:rsidRPr="00B9264E">
        <w:rPr>
          <w:rFonts w:ascii="Arial" w:hAnsi="Arial" w:cs="Arial"/>
          <w:sz w:val="22"/>
          <w:szCs w:val="22"/>
          <w:lang w:val="sv-SE"/>
        </w:rPr>
        <w:t xml:space="preserve">mått än ASAS 20 som </w:t>
      </w:r>
      <w:r>
        <w:rPr>
          <w:rFonts w:ascii="Arial" w:hAnsi="Arial" w:cs="Arial"/>
          <w:sz w:val="22"/>
          <w:szCs w:val="22"/>
          <w:lang w:val="sv-SE"/>
        </w:rPr>
        <w:t xml:space="preserve">vanligen </w:t>
      </w:r>
      <w:r w:rsidRPr="00B9264E">
        <w:rPr>
          <w:rFonts w:ascii="Arial" w:hAnsi="Arial" w:cs="Arial"/>
          <w:sz w:val="22"/>
          <w:szCs w:val="22"/>
          <w:lang w:val="sv-SE"/>
        </w:rPr>
        <w:t>använd</w:t>
      </w:r>
      <w:r>
        <w:rPr>
          <w:rFonts w:ascii="Arial" w:hAnsi="Arial" w:cs="Arial"/>
          <w:sz w:val="22"/>
          <w:szCs w:val="22"/>
          <w:lang w:val="sv-SE"/>
        </w:rPr>
        <w:t>s vid studier av</w:t>
      </w:r>
      <w:r w:rsidRPr="004C7298">
        <w:rPr>
          <w:lang w:val="sv-SE"/>
        </w:rPr>
        <w:t xml:space="preserve"> </w:t>
      </w:r>
      <w:r w:rsidRPr="004C7298">
        <w:rPr>
          <w:rFonts w:ascii="Arial" w:hAnsi="Arial" w:cs="Arial"/>
          <w:sz w:val="22"/>
          <w:szCs w:val="22"/>
          <w:lang w:val="sv-SE"/>
        </w:rPr>
        <w:t>Ankyloserande spondylit</w:t>
      </w:r>
      <w:r>
        <w:rPr>
          <w:rFonts w:ascii="Arial" w:hAnsi="Arial" w:cs="Arial"/>
          <w:sz w:val="22"/>
          <w:szCs w:val="22"/>
          <w:lang w:val="sv-SE"/>
        </w:rPr>
        <w:t xml:space="preserve">. Enligt ASAS kriterierna definieras </w:t>
      </w:r>
      <w:r w:rsidRPr="00B9264E">
        <w:rPr>
          <w:rFonts w:ascii="Arial" w:hAnsi="Arial" w:cs="Arial"/>
          <w:sz w:val="22"/>
          <w:szCs w:val="22"/>
          <w:lang w:val="sv-SE"/>
        </w:rPr>
        <w:t xml:space="preserve">ASAS 40 som minst </w:t>
      </w:r>
      <w:r>
        <w:rPr>
          <w:rFonts w:ascii="Arial" w:hAnsi="Arial" w:cs="Arial"/>
          <w:sz w:val="22"/>
          <w:szCs w:val="22"/>
          <w:lang w:val="sv-SE"/>
        </w:rPr>
        <w:t>en 40-procentig</w:t>
      </w:r>
      <w:r w:rsidRPr="00B9264E">
        <w:rPr>
          <w:rFonts w:ascii="Arial" w:hAnsi="Arial" w:cs="Arial"/>
          <w:sz w:val="22"/>
          <w:szCs w:val="22"/>
          <w:lang w:val="sv-SE"/>
        </w:rPr>
        <w:t xml:space="preserve"> förbättring </w:t>
      </w:r>
      <w:r>
        <w:rPr>
          <w:rFonts w:ascii="Arial" w:hAnsi="Arial" w:cs="Arial"/>
          <w:sz w:val="22"/>
          <w:szCs w:val="22"/>
          <w:lang w:val="sv-SE"/>
        </w:rPr>
        <w:t>av symptomen jämfört med</w:t>
      </w:r>
      <w:r w:rsidRPr="00B9264E">
        <w:rPr>
          <w:rFonts w:ascii="Arial" w:hAnsi="Arial" w:cs="Arial"/>
          <w:sz w:val="22"/>
          <w:szCs w:val="22"/>
          <w:lang w:val="sv-SE"/>
        </w:rPr>
        <w:t xml:space="preserve"> </w:t>
      </w:r>
      <w:r w:rsidRPr="00977FD9">
        <w:rPr>
          <w:rFonts w:ascii="Arial" w:hAnsi="Arial" w:cs="Arial"/>
          <w:sz w:val="22"/>
          <w:szCs w:val="22"/>
          <w:lang w:val="sv-SE"/>
        </w:rPr>
        <w:t>b</w:t>
      </w:r>
      <w:r>
        <w:rPr>
          <w:rFonts w:ascii="Arial" w:hAnsi="Arial" w:cs="Arial"/>
          <w:sz w:val="22"/>
          <w:szCs w:val="22"/>
          <w:lang w:val="sv-SE"/>
        </w:rPr>
        <w:t>ehandlingsstart.</w:t>
      </w:r>
      <w:r w:rsidRPr="00977FD9">
        <w:rPr>
          <w:rFonts w:ascii="Arial" w:hAnsi="Arial" w:cs="Arial"/>
          <w:sz w:val="22"/>
          <w:szCs w:val="22"/>
          <w:lang w:val="sv-SE"/>
        </w:rPr>
        <w:t xml:space="preserve"> </w:t>
      </w:r>
    </w:p>
    <w:p w:rsidR="006869E6" w:rsidRPr="00B9264E" w:rsidRDefault="006869E6" w:rsidP="00B9264E">
      <w:pPr>
        <w:autoSpaceDE w:val="0"/>
        <w:autoSpaceDN w:val="0"/>
        <w:adjustRightInd w:val="0"/>
        <w:rPr>
          <w:rFonts w:ascii="Arial" w:hAnsi="Arial" w:cs="Arial"/>
          <w:sz w:val="22"/>
          <w:szCs w:val="22"/>
          <w:lang w:val="sv-SE"/>
        </w:rPr>
      </w:pPr>
    </w:p>
    <w:p w:rsidR="006869E6" w:rsidRPr="00B9264E" w:rsidRDefault="006869E6" w:rsidP="00B9264E">
      <w:pPr>
        <w:autoSpaceDE w:val="0"/>
        <w:autoSpaceDN w:val="0"/>
        <w:adjustRightInd w:val="0"/>
        <w:rPr>
          <w:rFonts w:ascii="Arial" w:hAnsi="Arial" w:cs="Arial"/>
          <w:sz w:val="22"/>
          <w:szCs w:val="22"/>
          <w:lang w:val="sv-SE"/>
        </w:rPr>
      </w:pPr>
      <w:r>
        <w:rPr>
          <w:rFonts w:ascii="Arial" w:hAnsi="Arial" w:cs="Arial"/>
          <w:sz w:val="22"/>
          <w:szCs w:val="22"/>
          <w:lang w:val="sv-SE"/>
        </w:rPr>
        <w:t xml:space="preserve">Resultaten från ABILITY-1-studien visade efter 12 veckor </w:t>
      </w:r>
      <w:r w:rsidRPr="00B9264E">
        <w:rPr>
          <w:rFonts w:ascii="Arial" w:hAnsi="Arial" w:cs="Arial"/>
          <w:sz w:val="22"/>
          <w:szCs w:val="22"/>
          <w:lang w:val="sv-SE"/>
        </w:rPr>
        <w:t xml:space="preserve">att </w:t>
      </w:r>
      <w:r>
        <w:rPr>
          <w:rFonts w:ascii="Arial" w:hAnsi="Arial" w:cs="Arial"/>
          <w:sz w:val="22"/>
          <w:szCs w:val="22"/>
          <w:lang w:val="sv-SE"/>
        </w:rPr>
        <w:t>dubbelt så många patienter som behandlades med Humira nådde behandlingsmålet ASAS 40  (36.3% av Humira-patienterna uppnådde ASAS 40 jämfört med 14.9% av de som fick placebo). De första 12 veckorna var en så kallad dubbelblind studie och därefter fortsatte tre fjärdedelar av Humira-</w:t>
      </w:r>
      <w:r w:rsidRPr="00B9264E">
        <w:rPr>
          <w:rFonts w:ascii="Arial" w:hAnsi="Arial" w:cs="Arial"/>
          <w:sz w:val="22"/>
          <w:szCs w:val="22"/>
          <w:lang w:val="sv-SE"/>
        </w:rPr>
        <w:t>patienter</w:t>
      </w:r>
      <w:r>
        <w:rPr>
          <w:rFonts w:ascii="Arial" w:hAnsi="Arial" w:cs="Arial"/>
          <w:sz w:val="22"/>
          <w:szCs w:val="22"/>
          <w:lang w:val="sv-SE"/>
        </w:rPr>
        <w:t>na</w:t>
      </w:r>
      <w:r w:rsidRPr="00B9264E">
        <w:rPr>
          <w:rFonts w:ascii="Arial" w:hAnsi="Arial" w:cs="Arial"/>
          <w:sz w:val="22"/>
          <w:szCs w:val="22"/>
          <w:lang w:val="sv-SE"/>
        </w:rPr>
        <w:t xml:space="preserve"> in i den </w:t>
      </w:r>
      <w:r w:rsidRPr="00201263">
        <w:rPr>
          <w:rFonts w:ascii="Arial" w:hAnsi="Arial" w:cs="Arial"/>
          <w:sz w:val="22"/>
          <w:szCs w:val="22"/>
          <w:lang w:val="sv-SE"/>
        </w:rPr>
        <w:t>öppna förlängningen</w:t>
      </w:r>
      <w:r w:rsidRPr="00B9264E">
        <w:rPr>
          <w:rFonts w:ascii="Arial" w:hAnsi="Arial" w:cs="Arial"/>
          <w:sz w:val="22"/>
          <w:szCs w:val="22"/>
          <w:lang w:val="sv-SE"/>
        </w:rPr>
        <w:t xml:space="preserve"> </w:t>
      </w:r>
      <w:r>
        <w:rPr>
          <w:rFonts w:ascii="Arial" w:hAnsi="Arial" w:cs="Arial"/>
          <w:sz w:val="22"/>
          <w:szCs w:val="22"/>
          <w:lang w:val="sv-SE"/>
        </w:rPr>
        <w:t>av studien. Efter 68 veckor uppnåddes ASAS 40 av 67 procent av patienterna som fick Humira.</w:t>
      </w:r>
    </w:p>
    <w:p w:rsidR="006869E6" w:rsidRPr="00B9264E" w:rsidRDefault="006869E6" w:rsidP="00B9264E">
      <w:pPr>
        <w:autoSpaceDE w:val="0"/>
        <w:autoSpaceDN w:val="0"/>
        <w:adjustRightInd w:val="0"/>
        <w:rPr>
          <w:rFonts w:ascii="Arial" w:hAnsi="Arial" w:cs="Arial"/>
          <w:sz w:val="22"/>
          <w:szCs w:val="22"/>
          <w:lang w:val="sv-SE"/>
        </w:rPr>
      </w:pPr>
      <w:r w:rsidRPr="00B9264E">
        <w:rPr>
          <w:rFonts w:ascii="Arial" w:hAnsi="Arial" w:cs="Arial"/>
          <w:sz w:val="22"/>
          <w:szCs w:val="22"/>
          <w:lang w:val="sv-SE"/>
        </w:rPr>
        <w:t xml:space="preserve"> </w:t>
      </w:r>
    </w:p>
    <w:p w:rsidR="006869E6" w:rsidRDefault="006869E6" w:rsidP="00D477F8">
      <w:pPr>
        <w:pStyle w:val="Abbott-Subtitle"/>
        <w:spacing w:line="240" w:lineRule="auto"/>
        <w:rPr>
          <w:rFonts w:cs="Arial"/>
          <w:color w:val="000000"/>
          <w:szCs w:val="22"/>
          <w:lang w:val="sv-SE"/>
        </w:rPr>
      </w:pPr>
      <w:r>
        <w:rPr>
          <w:rFonts w:cs="Arial"/>
          <w:color w:val="000000"/>
          <w:szCs w:val="22"/>
          <w:lang w:val="sv-SE"/>
        </w:rPr>
        <w:t xml:space="preserve">”Det tar tyvärr ofta lång tid, ibland flera år, för patienter med axial SpA att få sin diagnos och utan diagnos kan man inte ge den för patienten bästa behandlingen. Därför är det angeläget att ta patienters ryggsmärta på allvar så att dessa patienter fångas upp så tidigt som möjligt och därmed kan få en diagnos och lämplig behandling. Detta känns extra viktigt eftersom många som drabbas av axial SpA är unga vuxna i 20-30 årsåldern”, </w:t>
      </w:r>
      <w:r w:rsidRPr="00542285">
        <w:rPr>
          <w:rFonts w:cs="Arial"/>
          <w:color w:val="000000"/>
          <w:szCs w:val="22"/>
          <w:lang w:val="sv-SE"/>
        </w:rPr>
        <w:t>säger Lennart Ja</w:t>
      </w:r>
      <w:r>
        <w:rPr>
          <w:rFonts w:cs="Arial"/>
          <w:color w:val="000000"/>
          <w:szCs w:val="22"/>
          <w:lang w:val="sv-SE"/>
        </w:rPr>
        <w:t>c</w:t>
      </w:r>
      <w:r w:rsidRPr="00542285">
        <w:rPr>
          <w:rFonts w:cs="Arial"/>
          <w:color w:val="000000"/>
          <w:szCs w:val="22"/>
          <w:lang w:val="sv-SE"/>
        </w:rPr>
        <w:t xml:space="preserve">obsson, </w:t>
      </w:r>
      <w:r>
        <w:rPr>
          <w:rFonts w:cs="Arial"/>
          <w:color w:val="000000"/>
          <w:szCs w:val="22"/>
          <w:lang w:val="sv-SE"/>
        </w:rPr>
        <w:t>professor i reumatologi vid Sahlgrenska universitetssjukhuset i Göteborg</w:t>
      </w:r>
      <w:r w:rsidRPr="00542285">
        <w:rPr>
          <w:rFonts w:cs="Arial"/>
          <w:color w:val="000000"/>
          <w:szCs w:val="22"/>
          <w:lang w:val="sv-SE"/>
        </w:rPr>
        <w:t>.</w:t>
      </w:r>
    </w:p>
    <w:p w:rsidR="006869E6" w:rsidRDefault="006869E6" w:rsidP="00DF7B87">
      <w:pPr>
        <w:pStyle w:val="Abbott-Subtitle"/>
        <w:spacing w:line="240" w:lineRule="auto"/>
        <w:rPr>
          <w:rFonts w:cs="Arial"/>
          <w:i w:val="0"/>
          <w:color w:val="000000"/>
          <w:szCs w:val="22"/>
          <w:lang w:val="sv-SE"/>
        </w:rPr>
      </w:pPr>
    </w:p>
    <w:p w:rsidR="006869E6" w:rsidRPr="008C487F" w:rsidRDefault="006869E6" w:rsidP="00DF7B87">
      <w:pPr>
        <w:pStyle w:val="Abbott-Subtitle"/>
        <w:spacing w:line="240" w:lineRule="auto"/>
        <w:rPr>
          <w:rFonts w:cs="Arial"/>
          <w:color w:val="000000"/>
          <w:szCs w:val="22"/>
          <w:lang w:val="sv-SE"/>
        </w:rPr>
      </w:pPr>
      <w:r>
        <w:rPr>
          <w:rFonts w:cs="Arial"/>
          <w:i w:val="0"/>
          <w:color w:val="000000"/>
          <w:szCs w:val="22"/>
          <w:lang w:val="sv-SE"/>
        </w:rPr>
        <w:t>De vanligaste symptomen vid a</w:t>
      </w:r>
      <w:r w:rsidRPr="00201263">
        <w:rPr>
          <w:rFonts w:cs="Arial"/>
          <w:i w:val="0"/>
          <w:color w:val="000000"/>
          <w:szCs w:val="22"/>
          <w:lang w:val="sv-SE"/>
        </w:rPr>
        <w:t xml:space="preserve">xial SpA </w:t>
      </w:r>
      <w:r>
        <w:rPr>
          <w:rFonts w:cs="Arial"/>
          <w:i w:val="0"/>
          <w:color w:val="000000"/>
          <w:szCs w:val="22"/>
          <w:lang w:val="sv-SE"/>
        </w:rPr>
        <w:t xml:space="preserve">är </w:t>
      </w:r>
      <w:r w:rsidRPr="00201263">
        <w:rPr>
          <w:rFonts w:cs="Arial"/>
          <w:i w:val="0"/>
          <w:color w:val="000000"/>
          <w:szCs w:val="22"/>
          <w:lang w:val="sv-SE"/>
        </w:rPr>
        <w:t xml:space="preserve">kroniska ryggsmärtor och stelhet och </w:t>
      </w:r>
      <w:r>
        <w:rPr>
          <w:rFonts w:cs="Arial"/>
          <w:i w:val="0"/>
          <w:color w:val="000000"/>
          <w:szCs w:val="22"/>
          <w:lang w:val="sv-SE"/>
        </w:rPr>
        <w:t xml:space="preserve">detta </w:t>
      </w:r>
      <w:r w:rsidRPr="00201263">
        <w:rPr>
          <w:rFonts w:cs="Arial"/>
          <w:i w:val="0"/>
          <w:color w:val="000000"/>
          <w:szCs w:val="22"/>
          <w:lang w:val="sv-SE"/>
        </w:rPr>
        <w:t>kan åtföljas av artrit, inflammation i ögat och/eller mag- tarmkanalen.</w:t>
      </w:r>
      <w:r>
        <w:rPr>
          <w:rFonts w:cs="Arial"/>
          <w:i w:val="0"/>
          <w:color w:val="000000"/>
          <w:szCs w:val="22"/>
          <w:lang w:val="sv-SE"/>
        </w:rPr>
        <w:t xml:space="preserve"> Vanligen insjuknar yngre individer i </w:t>
      </w:r>
      <w:r>
        <w:rPr>
          <w:rFonts w:cs="Arial"/>
          <w:i w:val="0"/>
          <w:szCs w:val="22"/>
          <w:lang w:val="sv-SE"/>
        </w:rPr>
        <w:t>a</w:t>
      </w:r>
      <w:r w:rsidRPr="005D76BF">
        <w:rPr>
          <w:rFonts w:cs="Arial"/>
          <w:i w:val="0"/>
          <w:szCs w:val="22"/>
          <w:lang w:val="sv-SE"/>
        </w:rPr>
        <w:t>xial SpA</w:t>
      </w:r>
      <w:r>
        <w:rPr>
          <w:rFonts w:cs="Arial"/>
          <w:i w:val="0"/>
          <w:szCs w:val="22"/>
          <w:lang w:val="sv-SE"/>
        </w:rPr>
        <w:t>.</w:t>
      </w:r>
      <w:r w:rsidRPr="005D76BF">
        <w:rPr>
          <w:rFonts w:cs="Arial"/>
          <w:i w:val="0"/>
          <w:szCs w:val="22"/>
          <w:lang w:val="sv-SE"/>
        </w:rPr>
        <w:t xml:space="preserve"> </w:t>
      </w:r>
      <w:r>
        <w:rPr>
          <w:rFonts w:cs="Arial"/>
          <w:i w:val="0"/>
          <w:szCs w:val="22"/>
          <w:lang w:val="sv-SE"/>
        </w:rPr>
        <w:t xml:space="preserve">Ofta dröjer det flera år innan diagnosen ställs. </w:t>
      </w:r>
      <w:r w:rsidRPr="007060EF">
        <w:rPr>
          <w:i w:val="0"/>
          <w:lang w:val="sv-SE"/>
        </w:rPr>
        <w:t>Vid axial SpA kan konventionell röntgenundersökning av sakroiliakalederna vara normal trots att lederna är inflammerade och ger upphov till smärta hos patienten.</w:t>
      </w:r>
      <w:r>
        <w:rPr>
          <w:lang w:val="sv-SE"/>
        </w:rPr>
        <w:t xml:space="preserve"> </w:t>
      </w:r>
      <w:r>
        <w:rPr>
          <w:rFonts w:cs="Arial"/>
          <w:i w:val="0"/>
          <w:color w:val="000000"/>
          <w:szCs w:val="22"/>
          <w:lang w:val="sv-SE"/>
        </w:rPr>
        <w:t xml:space="preserve">För att få diagnosen axial SpA ska patienten ha upplevt ryggsmärta i mer än tre månader samt ha mött minst ett av kriterierna för att ha en spondylartrit. Axial SpA är nära relaterat till Ankolyserande spondylit. Det kan ibland vara så att axial SpA är ett förstadium som övergår till Ankolyserande spondylit. Diagnosen Ankolyserande spondylit ställs vanligen efter att patienten varit sjuk i 5-10 år eftersom kriterierna för diagnos kräver att förändringar i lederna kan ses på röntgen. </w:t>
      </w:r>
    </w:p>
    <w:p w:rsidR="006869E6" w:rsidRDefault="006869E6" w:rsidP="005D76BF">
      <w:pPr>
        <w:pStyle w:val="Abbott-Subtitle"/>
        <w:spacing w:line="240" w:lineRule="auto"/>
        <w:rPr>
          <w:rFonts w:cs="Arial"/>
          <w:i w:val="0"/>
          <w:color w:val="000000"/>
          <w:szCs w:val="22"/>
          <w:lang w:val="sv-SE"/>
        </w:rPr>
      </w:pPr>
    </w:p>
    <w:p w:rsidR="006869E6" w:rsidRPr="00DF33B9" w:rsidRDefault="006869E6" w:rsidP="00DF33B9">
      <w:pPr>
        <w:autoSpaceDE w:val="0"/>
        <w:autoSpaceDN w:val="0"/>
        <w:adjustRightInd w:val="0"/>
        <w:rPr>
          <w:rFonts w:ascii="Arial" w:hAnsi="Arial" w:cs="Arial"/>
          <w:i/>
          <w:sz w:val="22"/>
          <w:szCs w:val="22"/>
          <w:lang w:val="sv-SE"/>
        </w:rPr>
      </w:pPr>
      <w:r>
        <w:rPr>
          <w:rFonts w:ascii="Arial" w:hAnsi="Arial" w:cs="Arial"/>
          <w:i/>
          <w:sz w:val="22"/>
          <w:szCs w:val="22"/>
          <w:lang w:val="sv-SE"/>
        </w:rPr>
        <w:t>”</w:t>
      </w:r>
      <w:r w:rsidRPr="00DF33B9">
        <w:rPr>
          <w:rFonts w:ascii="Arial" w:hAnsi="Arial" w:cs="Arial"/>
          <w:i/>
          <w:sz w:val="22"/>
          <w:szCs w:val="22"/>
          <w:lang w:val="sv-SE"/>
        </w:rPr>
        <w:t xml:space="preserve">Det tar ofta flera år att bli diagnostiserad med icke-radiografisk axial SpA och en patient som lider av </w:t>
      </w:r>
      <w:r>
        <w:rPr>
          <w:rFonts w:ascii="Arial" w:hAnsi="Arial" w:cs="Arial"/>
          <w:i/>
          <w:sz w:val="22"/>
          <w:szCs w:val="22"/>
          <w:lang w:val="sv-SE"/>
        </w:rPr>
        <w:t xml:space="preserve">de ibland handikappande </w:t>
      </w:r>
      <w:r w:rsidRPr="00DF33B9">
        <w:rPr>
          <w:rFonts w:ascii="Arial" w:hAnsi="Arial" w:cs="Arial"/>
          <w:i/>
          <w:sz w:val="22"/>
          <w:szCs w:val="22"/>
          <w:lang w:val="sv-SE"/>
        </w:rPr>
        <w:t>effekterna av sjukdomen har sannolikt tillbringat flera år för att testa de få konventionella behandlingsmetoder som finns tillgängliga", säger Joachim Sieper, MD, chef för reumatolo</w:t>
      </w:r>
      <w:r>
        <w:rPr>
          <w:rFonts w:ascii="Arial" w:hAnsi="Arial" w:cs="Arial"/>
          <w:i/>
          <w:sz w:val="22"/>
          <w:szCs w:val="22"/>
          <w:lang w:val="sv-SE"/>
        </w:rPr>
        <w:t>gi på Campus Benjamin Franklin vid</w:t>
      </w:r>
      <w:r w:rsidRPr="00DF33B9">
        <w:rPr>
          <w:rFonts w:ascii="Arial" w:hAnsi="Arial" w:cs="Arial"/>
          <w:i/>
          <w:sz w:val="22"/>
          <w:szCs w:val="22"/>
          <w:lang w:val="sv-SE"/>
        </w:rPr>
        <w:t xml:space="preserve"> Charitè University Hospital i </w:t>
      </w:r>
      <w:r>
        <w:rPr>
          <w:rFonts w:ascii="Arial" w:hAnsi="Arial" w:cs="Arial"/>
          <w:i/>
          <w:sz w:val="22"/>
          <w:szCs w:val="22"/>
          <w:lang w:val="sv-SE"/>
        </w:rPr>
        <w:t>Berlin, Tyskland. ”</w:t>
      </w:r>
      <w:r w:rsidRPr="00DF33B9">
        <w:rPr>
          <w:rFonts w:ascii="Arial" w:hAnsi="Arial" w:cs="Arial"/>
          <w:i/>
          <w:sz w:val="22"/>
          <w:szCs w:val="22"/>
          <w:lang w:val="sv-SE"/>
        </w:rPr>
        <w:t xml:space="preserve">I </w:t>
      </w:r>
      <w:r>
        <w:rPr>
          <w:rFonts w:ascii="Arial" w:hAnsi="Arial" w:cs="Arial"/>
          <w:i/>
          <w:sz w:val="22"/>
          <w:szCs w:val="22"/>
          <w:lang w:val="sv-SE"/>
        </w:rPr>
        <w:t>denna studie</w:t>
      </w:r>
      <w:r w:rsidRPr="00DF33B9">
        <w:rPr>
          <w:rFonts w:ascii="Arial" w:hAnsi="Arial" w:cs="Arial"/>
          <w:i/>
          <w:sz w:val="22"/>
          <w:szCs w:val="22"/>
          <w:lang w:val="sv-SE"/>
        </w:rPr>
        <w:t xml:space="preserve"> ville vi fokusera på de patienter som fick H</w:t>
      </w:r>
      <w:r>
        <w:rPr>
          <w:rFonts w:ascii="Arial" w:hAnsi="Arial" w:cs="Arial"/>
          <w:i/>
          <w:sz w:val="22"/>
          <w:szCs w:val="22"/>
          <w:lang w:val="sv-SE"/>
        </w:rPr>
        <w:t xml:space="preserve">umira i </w:t>
      </w:r>
      <w:r w:rsidRPr="00DF33B9">
        <w:rPr>
          <w:rFonts w:ascii="Arial" w:hAnsi="Arial" w:cs="Arial"/>
          <w:i/>
          <w:sz w:val="22"/>
          <w:szCs w:val="22"/>
          <w:lang w:val="sv-SE"/>
        </w:rPr>
        <w:t>68</w:t>
      </w:r>
      <w:r>
        <w:rPr>
          <w:rFonts w:ascii="Arial" w:hAnsi="Arial" w:cs="Arial"/>
          <w:i/>
          <w:sz w:val="22"/>
          <w:szCs w:val="22"/>
          <w:lang w:val="sv-SE"/>
        </w:rPr>
        <w:t xml:space="preserve"> veckor</w:t>
      </w:r>
      <w:r w:rsidRPr="00DF33B9">
        <w:rPr>
          <w:rFonts w:ascii="Arial" w:hAnsi="Arial" w:cs="Arial"/>
          <w:i/>
          <w:sz w:val="22"/>
          <w:szCs w:val="22"/>
          <w:lang w:val="sv-SE"/>
        </w:rPr>
        <w:t>, vilket va</w:t>
      </w:r>
      <w:r>
        <w:rPr>
          <w:rFonts w:ascii="Arial" w:hAnsi="Arial" w:cs="Arial"/>
          <w:i/>
          <w:sz w:val="22"/>
          <w:szCs w:val="22"/>
          <w:lang w:val="sv-SE"/>
        </w:rPr>
        <w:t>r ungefär tre fjärdedelar av dem</w:t>
      </w:r>
      <w:r w:rsidRPr="00DF33B9">
        <w:rPr>
          <w:rFonts w:ascii="Arial" w:hAnsi="Arial" w:cs="Arial"/>
          <w:i/>
          <w:sz w:val="22"/>
          <w:szCs w:val="22"/>
          <w:lang w:val="sv-SE"/>
        </w:rPr>
        <w:t xml:space="preserve"> som påbörjade försöket, där mer än två tredjedelar uppnådde </w:t>
      </w:r>
      <w:r>
        <w:rPr>
          <w:rFonts w:ascii="Arial" w:hAnsi="Arial" w:cs="Arial"/>
          <w:i/>
          <w:sz w:val="22"/>
          <w:szCs w:val="22"/>
          <w:lang w:val="sv-SE"/>
        </w:rPr>
        <w:t>minst</w:t>
      </w:r>
      <w:r w:rsidRPr="00DF33B9">
        <w:rPr>
          <w:rFonts w:ascii="Arial" w:hAnsi="Arial" w:cs="Arial"/>
          <w:i/>
          <w:sz w:val="22"/>
          <w:szCs w:val="22"/>
          <w:lang w:val="sv-SE"/>
        </w:rPr>
        <w:t xml:space="preserve"> 40 procents förbättring enligt ASAS kriterier. Detta är en viktig klinisk milstolpe för denna </w:t>
      </w:r>
      <w:r>
        <w:rPr>
          <w:rFonts w:ascii="Arial" w:hAnsi="Arial" w:cs="Arial"/>
          <w:i/>
          <w:sz w:val="22"/>
          <w:szCs w:val="22"/>
          <w:lang w:val="sv-SE"/>
        </w:rPr>
        <w:t xml:space="preserve">underbehandlade </w:t>
      </w:r>
      <w:r w:rsidRPr="00DF33B9">
        <w:rPr>
          <w:rFonts w:ascii="Arial" w:hAnsi="Arial" w:cs="Arial"/>
          <w:i/>
          <w:sz w:val="22"/>
          <w:szCs w:val="22"/>
          <w:lang w:val="sv-SE"/>
        </w:rPr>
        <w:t>patientgrupp</w:t>
      </w:r>
      <w:r>
        <w:rPr>
          <w:rFonts w:ascii="Arial" w:hAnsi="Arial" w:cs="Arial"/>
          <w:i/>
          <w:sz w:val="22"/>
          <w:szCs w:val="22"/>
          <w:lang w:val="sv-SE"/>
        </w:rPr>
        <w:t>.”</w:t>
      </w:r>
    </w:p>
    <w:p w:rsidR="006869E6" w:rsidRPr="00DF33B9" w:rsidRDefault="006869E6" w:rsidP="00B9264E">
      <w:pPr>
        <w:autoSpaceDE w:val="0"/>
        <w:autoSpaceDN w:val="0"/>
        <w:adjustRightInd w:val="0"/>
        <w:rPr>
          <w:rFonts w:ascii="Arial" w:hAnsi="Arial" w:cs="Arial"/>
          <w:i/>
          <w:sz w:val="22"/>
          <w:szCs w:val="22"/>
          <w:lang w:val="sv-SE"/>
        </w:rPr>
      </w:pPr>
    </w:p>
    <w:p w:rsidR="006869E6" w:rsidRPr="00B9264E" w:rsidRDefault="006869E6" w:rsidP="00B9264E">
      <w:pPr>
        <w:autoSpaceDE w:val="0"/>
        <w:autoSpaceDN w:val="0"/>
        <w:adjustRightInd w:val="0"/>
        <w:rPr>
          <w:rFonts w:ascii="Arial" w:hAnsi="Arial" w:cs="Arial"/>
          <w:sz w:val="22"/>
          <w:szCs w:val="22"/>
          <w:lang w:val="sv-SE"/>
        </w:rPr>
      </w:pPr>
      <w:r>
        <w:rPr>
          <w:rFonts w:ascii="Arial" w:hAnsi="Arial" w:cs="Arial"/>
          <w:sz w:val="22"/>
          <w:szCs w:val="22"/>
          <w:lang w:val="sv-SE"/>
        </w:rPr>
        <w:t>I ABILITY-1 studien utvärderades också p</w:t>
      </w:r>
      <w:r w:rsidRPr="00B9264E">
        <w:rPr>
          <w:rFonts w:ascii="Arial" w:hAnsi="Arial" w:cs="Arial"/>
          <w:sz w:val="22"/>
          <w:szCs w:val="22"/>
          <w:lang w:val="sv-SE"/>
        </w:rPr>
        <w:t xml:space="preserve">atienterna </w:t>
      </w:r>
      <w:r>
        <w:rPr>
          <w:rFonts w:ascii="Arial" w:hAnsi="Arial" w:cs="Arial"/>
          <w:sz w:val="22"/>
          <w:szCs w:val="22"/>
          <w:lang w:val="sv-SE"/>
        </w:rPr>
        <w:t>utifrån</w:t>
      </w:r>
      <w:r w:rsidRPr="00B9264E">
        <w:rPr>
          <w:rFonts w:ascii="Arial" w:hAnsi="Arial" w:cs="Arial"/>
          <w:sz w:val="22"/>
          <w:szCs w:val="22"/>
          <w:lang w:val="sv-SE"/>
        </w:rPr>
        <w:t xml:space="preserve"> olika </w:t>
      </w:r>
      <w:r>
        <w:rPr>
          <w:rFonts w:ascii="Arial" w:hAnsi="Arial" w:cs="Arial"/>
          <w:sz w:val="22"/>
          <w:szCs w:val="22"/>
          <w:lang w:val="sv-SE"/>
        </w:rPr>
        <w:t xml:space="preserve">nivåer av </w:t>
      </w:r>
      <w:r w:rsidRPr="00B9264E">
        <w:rPr>
          <w:rFonts w:ascii="Arial" w:hAnsi="Arial" w:cs="Arial"/>
          <w:sz w:val="22"/>
          <w:szCs w:val="22"/>
          <w:lang w:val="sv-SE"/>
        </w:rPr>
        <w:t xml:space="preserve">sjukdomsaktivitet enligt </w:t>
      </w:r>
      <w:r>
        <w:rPr>
          <w:rFonts w:ascii="Arial" w:hAnsi="Arial" w:cs="Arial"/>
          <w:sz w:val="22"/>
          <w:szCs w:val="22"/>
          <w:lang w:val="sv-SE"/>
        </w:rPr>
        <w:t>a</w:t>
      </w:r>
      <w:r w:rsidRPr="00854374">
        <w:rPr>
          <w:rFonts w:ascii="Arial" w:hAnsi="Arial" w:cs="Arial"/>
          <w:sz w:val="22"/>
          <w:szCs w:val="22"/>
          <w:lang w:val="sv-SE"/>
        </w:rPr>
        <w:t>nkylosin</w:t>
      </w:r>
      <w:r>
        <w:rPr>
          <w:rFonts w:ascii="Arial" w:hAnsi="Arial" w:cs="Arial"/>
          <w:sz w:val="22"/>
          <w:szCs w:val="22"/>
          <w:lang w:val="sv-SE"/>
        </w:rPr>
        <w:t>g spondylitis disease activity s</w:t>
      </w:r>
      <w:r w:rsidRPr="00854374">
        <w:rPr>
          <w:rFonts w:ascii="Arial" w:hAnsi="Arial" w:cs="Arial"/>
          <w:sz w:val="22"/>
          <w:szCs w:val="22"/>
          <w:lang w:val="sv-SE"/>
        </w:rPr>
        <w:t>core</w:t>
      </w:r>
      <w:r w:rsidRPr="00164F83">
        <w:rPr>
          <w:rFonts w:ascii="Arial" w:hAnsi="Arial" w:cs="Arial"/>
          <w:sz w:val="22"/>
          <w:szCs w:val="22"/>
          <w:lang w:val="sv-SE"/>
        </w:rPr>
        <w:t xml:space="preserve"> </w:t>
      </w:r>
      <w:r w:rsidRPr="00B9264E">
        <w:rPr>
          <w:rFonts w:ascii="Arial" w:hAnsi="Arial" w:cs="Arial"/>
          <w:sz w:val="22"/>
          <w:szCs w:val="22"/>
          <w:lang w:val="sv-SE"/>
        </w:rPr>
        <w:t xml:space="preserve">(ASDAS), </w:t>
      </w:r>
      <w:r>
        <w:rPr>
          <w:rFonts w:ascii="Arial" w:hAnsi="Arial" w:cs="Arial"/>
          <w:sz w:val="22"/>
          <w:szCs w:val="22"/>
          <w:lang w:val="sv-SE"/>
        </w:rPr>
        <w:t>ett mått som används för att fastställa sjukdoms</w:t>
      </w:r>
      <w:r w:rsidRPr="00B9264E">
        <w:rPr>
          <w:rFonts w:ascii="Arial" w:hAnsi="Arial" w:cs="Arial"/>
          <w:sz w:val="22"/>
          <w:szCs w:val="22"/>
          <w:lang w:val="sv-SE"/>
        </w:rPr>
        <w:t xml:space="preserve">aktivitet </w:t>
      </w:r>
      <w:r>
        <w:rPr>
          <w:rFonts w:ascii="Arial" w:hAnsi="Arial" w:cs="Arial"/>
          <w:sz w:val="22"/>
          <w:szCs w:val="22"/>
          <w:lang w:val="sv-SE"/>
        </w:rPr>
        <w:t xml:space="preserve">vid </w:t>
      </w:r>
      <w:r w:rsidRPr="00623B4B">
        <w:rPr>
          <w:rFonts w:ascii="Arial" w:hAnsi="Arial" w:cs="Arial"/>
          <w:sz w:val="22"/>
          <w:szCs w:val="22"/>
          <w:lang w:val="sv-SE"/>
        </w:rPr>
        <w:t>spondylartri</w:t>
      </w:r>
      <w:r>
        <w:rPr>
          <w:rFonts w:ascii="Arial" w:hAnsi="Arial" w:cs="Arial"/>
          <w:sz w:val="22"/>
          <w:szCs w:val="22"/>
          <w:lang w:val="sv-SE"/>
        </w:rPr>
        <w:t>ter</w:t>
      </w:r>
      <w:r w:rsidRPr="00B9264E">
        <w:rPr>
          <w:rFonts w:ascii="Arial" w:hAnsi="Arial" w:cs="Arial"/>
          <w:sz w:val="22"/>
          <w:szCs w:val="22"/>
          <w:lang w:val="sv-SE"/>
        </w:rPr>
        <w:t>. I denna grupp</w:t>
      </w:r>
      <w:r>
        <w:rPr>
          <w:rFonts w:ascii="Arial" w:hAnsi="Arial" w:cs="Arial"/>
          <w:sz w:val="22"/>
          <w:szCs w:val="22"/>
          <w:lang w:val="sv-SE"/>
        </w:rPr>
        <w:t xml:space="preserve"> uppnådde</w:t>
      </w:r>
      <w:r w:rsidRPr="00B9264E">
        <w:rPr>
          <w:rFonts w:ascii="Arial" w:hAnsi="Arial" w:cs="Arial"/>
          <w:sz w:val="22"/>
          <w:szCs w:val="22"/>
          <w:lang w:val="sv-SE"/>
        </w:rPr>
        <w:t xml:space="preserve"> 47 </w:t>
      </w:r>
      <w:r>
        <w:rPr>
          <w:rFonts w:ascii="Arial" w:hAnsi="Arial" w:cs="Arial"/>
          <w:sz w:val="22"/>
          <w:szCs w:val="22"/>
          <w:lang w:val="sv-SE"/>
        </w:rPr>
        <w:t>procent av patienterna ett</w:t>
      </w:r>
      <w:r w:rsidRPr="00B9264E">
        <w:rPr>
          <w:rFonts w:ascii="Arial" w:hAnsi="Arial" w:cs="Arial"/>
          <w:sz w:val="22"/>
          <w:szCs w:val="22"/>
          <w:lang w:val="sv-SE"/>
        </w:rPr>
        <w:t xml:space="preserve"> inaktiv</w:t>
      </w:r>
      <w:r>
        <w:rPr>
          <w:rFonts w:ascii="Arial" w:hAnsi="Arial" w:cs="Arial"/>
          <w:sz w:val="22"/>
          <w:szCs w:val="22"/>
          <w:lang w:val="sv-SE"/>
        </w:rPr>
        <w:t>t sjukdomstillstånd</w:t>
      </w:r>
      <w:r w:rsidRPr="00B9264E">
        <w:rPr>
          <w:rFonts w:ascii="Arial" w:hAnsi="Arial" w:cs="Arial"/>
          <w:sz w:val="22"/>
          <w:szCs w:val="22"/>
          <w:lang w:val="sv-SE"/>
        </w:rPr>
        <w:t xml:space="preserve"> som definieras </w:t>
      </w:r>
      <w:r>
        <w:rPr>
          <w:rFonts w:ascii="Arial" w:hAnsi="Arial" w:cs="Arial"/>
          <w:sz w:val="22"/>
          <w:szCs w:val="22"/>
          <w:lang w:val="sv-SE"/>
        </w:rPr>
        <w:t>som mindre än 1,3</w:t>
      </w:r>
      <w:r w:rsidRPr="00B9264E">
        <w:rPr>
          <w:rFonts w:ascii="Arial" w:hAnsi="Arial" w:cs="Arial"/>
          <w:sz w:val="22"/>
          <w:szCs w:val="22"/>
          <w:lang w:val="sv-SE"/>
        </w:rPr>
        <w:t xml:space="preserve"> ASDAS poäng.</w:t>
      </w:r>
      <w:r>
        <w:rPr>
          <w:rFonts w:ascii="Arial" w:hAnsi="Arial" w:cs="Arial"/>
          <w:sz w:val="22"/>
          <w:szCs w:val="22"/>
          <w:lang w:val="sv-SE"/>
        </w:rPr>
        <w:t xml:space="preserve"> Insamlade säkerhetsdata visade tre allvarliga infektioner, varav en var tuberkulos, hos Humira-patienterna under 68 veckor. </w:t>
      </w:r>
    </w:p>
    <w:p w:rsidR="006869E6" w:rsidRPr="00B9264E" w:rsidRDefault="006869E6" w:rsidP="00B9264E">
      <w:pPr>
        <w:autoSpaceDE w:val="0"/>
        <w:autoSpaceDN w:val="0"/>
        <w:adjustRightInd w:val="0"/>
        <w:rPr>
          <w:rFonts w:ascii="Arial" w:hAnsi="Arial" w:cs="Arial"/>
          <w:sz w:val="22"/>
          <w:szCs w:val="22"/>
          <w:lang w:val="sv-SE"/>
        </w:rPr>
      </w:pPr>
    </w:p>
    <w:p w:rsidR="006869E6" w:rsidRDefault="006869E6" w:rsidP="00B9264E">
      <w:pPr>
        <w:autoSpaceDE w:val="0"/>
        <w:autoSpaceDN w:val="0"/>
        <w:adjustRightInd w:val="0"/>
        <w:rPr>
          <w:rFonts w:ascii="Arial" w:hAnsi="Arial" w:cs="Arial"/>
          <w:i/>
          <w:sz w:val="22"/>
          <w:szCs w:val="22"/>
          <w:lang w:val="sv-SE"/>
        </w:rPr>
      </w:pPr>
      <w:r>
        <w:rPr>
          <w:rFonts w:ascii="Arial" w:hAnsi="Arial" w:cs="Arial"/>
          <w:i/>
          <w:sz w:val="22"/>
          <w:szCs w:val="22"/>
          <w:lang w:val="sv-SE"/>
        </w:rPr>
        <w:t xml:space="preserve">”Biologiska läkemedel som Humira har förbättrat vården för patienter med sjukdomssymptom relaterade till en rad olika immunmedierade </w:t>
      </w:r>
      <w:r w:rsidRPr="005F12C6">
        <w:rPr>
          <w:rFonts w:ascii="Arial" w:hAnsi="Arial" w:cs="Arial"/>
          <w:i/>
          <w:sz w:val="22"/>
          <w:szCs w:val="22"/>
          <w:lang w:val="sv-SE"/>
        </w:rPr>
        <w:t>tillstånd</w:t>
      </w:r>
      <w:r>
        <w:rPr>
          <w:rFonts w:ascii="Arial" w:hAnsi="Arial" w:cs="Arial"/>
          <w:i/>
          <w:sz w:val="22"/>
          <w:szCs w:val="22"/>
          <w:lang w:val="sv-SE"/>
        </w:rPr>
        <w:t>”,</w:t>
      </w:r>
      <w:r w:rsidRPr="00DF33B9">
        <w:rPr>
          <w:rFonts w:ascii="Arial" w:hAnsi="Arial" w:cs="Arial"/>
          <w:i/>
          <w:sz w:val="22"/>
          <w:szCs w:val="22"/>
          <w:lang w:val="sv-SE"/>
        </w:rPr>
        <w:t xml:space="preserve"> </w:t>
      </w:r>
      <w:r w:rsidRPr="00406D9A">
        <w:rPr>
          <w:rFonts w:ascii="Arial" w:hAnsi="Arial" w:cs="Arial"/>
          <w:i/>
          <w:sz w:val="22"/>
          <w:szCs w:val="22"/>
          <w:lang w:val="sv-SE"/>
        </w:rPr>
        <w:t xml:space="preserve">säger John Medich, Ph.D., divisionschef </w:t>
      </w:r>
      <w:r>
        <w:rPr>
          <w:rFonts w:ascii="Arial" w:hAnsi="Arial" w:cs="Arial"/>
          <w:i/>
          <w:sz w:val="22"/>
          <w:szCs w:val="22"/>
          <w:lang w:val="sv-SE"/>
        </w:rPr>
        <w:t xml:space="preserve">och </w:t>
      </w:r>
      <w:r w:rsidRPr="00406D9A">
        <w:rPr>
          <w:rFonts w:ascii="Arial" w:hAnsi="Arial" w:cs="Arial"/>
          <w:i/>
          <w:sz w:val="22"/>
          <w:szCs w:val="22"/>
          <w:lang w:val="sv-SE"/>
        </w:rPr>
        <w:t>vice president för klinisk utveckling inom immunologi på Abbott.</w:t>
      </w:r>
      <w:r>
        <w:rPr>
          <w:rFonts w:ascii="Arial" w:hAnsi="Arial" w:cs="Arial"/>
          <w:i/>
          <w:sz w:val="22"/>
          <w:szCs w:val="22"/>
          <w:lang w:val="sv-SE"/>
        </w:rPr>
        <w:t xml:space="preserve"> ”</w:t>
      </w:r>
      <w:r w:rsidRPr="00406D9A">
        <w:rPr>
          <w:rFonts w:ascii="Arial" w:hAnsi="Arial" w:cs="Arial"/>
          <w:i/>
          <w:sz w:val="22"/>
          <w:szCs w:val="22"/>
          <w:lang w:val="sv-SE"/>
        </w:rPr>
        <w:t>Abbott fortsätter att utforska nya indikationer för Humira, såsom icke-radiografisk axial SpA, som eventuellt kan ge reumatologer fler behandlingsalternativ att välja mellan och därmed hjälpa ännu fl</w:t>
      </w:r>
      <w:r>
        <w:rPr>
          <w:rFonts w:ascii="Arial" w:hAnsi="Arial" w:cs="Arial"/>
          <w:i/>
          <w:sz w:val="22"/>
          <w:szCs w:val="22"/>
          <w:lang w:val="sv-SE"/>
        </w:rPr>
        <w:t>er patienter runt om i världen.”</w:t>
      </w:r>
    </w:p>
    <w:p w:rsidR="006869E6" w:rsidRPr="00DF33B9" w:rsidRDefault="006869E6" w:rsidP="00B9264E">
      <w:pPr>
        <w:autoSpaceDE w:val="0"/>
        <w:autoSpaceDN w:val="0"/>
        <w:adjustRightInd w:val="0"/>
        <w:rPr>
          <w:rFonts w:ascii="Arial" w:hAnsi="Arial" w:cs="Arial"/>
          <w:i/>
          <w:sz w:val="22"/>
          <w:szCs w:val="22"/>
          <w:lang w:val="sv-SE"/>
        </w:rPr>
      </w:pPr>
    </w:p>
    <w:p w:rsidR="006869E6" w:rsidRPr="006C35E9" w:rsidRDefault="006869E6" w:rsidP="00081B7C">
      <w:pPr>
        <w:autoSpaceDE w:val="0"/>
        <w:autoSpaceDN w:val="0"/>
        <w:adjustRightInd w:val="0"/>
        <w:rPr>
          <w:rFonts w:ascii="Arial" w:hAnsi="Arial" w:cs="Arial"/>
          <w:sz w:val="22"/>
          <w:szCs w:val="22"/>
          <w:lang w:val="sv-SE"/>
        </w:rPr>
      </w:pPr>
      <w:r>
        <w:rPr>
          <w:rFonts w:ascii="Arial" w:hAnsi="Arial" w:cs="Arial"/>
          <w:sz w:val="22"/>
          <w:szCs w:val="22"/>
          <w:lang w:val="sv-SE"/>
        </w:rPr>
        <w:t>När det gäller spondylartritsjukdomar</w:t>
      </w:r>
      <w:r w:rsidRPr="00B9264E">
        <w:rPr>
          <w:rFonts w:ascii="Arial" w:hAnsi="Arial" w:cs="Arial"/>
          <w:sz w:val="22"/>
          <w:szCs w:val="22"/>
          <w:lang w:val="sv-SE"/>
        </w:rPr>
        <w:t xml:space="preserve"> </w:t>
      </w:r>
      <w:r>
        <w:rPr>
          <w:rFonts w:ascii="Arial" w:hAnsi="Arial" w:cs="Arial"/>
          <w:sz w:val="22"/>
          <w:szCs w:val="22"/>
          <w:lang w:val="sv-SE"/>
        </w:rPr>
        <w:t xml:space="preserve">är </w:t>
      </w:r>
      <w:r w:rsidRPr="00B9264E">
        <w:rPr>
          <w:rFonts w:ascii="Arial" w:hAnsi="Arial" w:cs="Arial"/>
          <w:sz w:val="22"/>
          <w:szCs w:val="22"/>
          <w:lang w:val="sv-SE"/>
        </w:rPr>
        <w:t>H</w:t>
      </w:r>
      <w:r>
        <w:rPr>
          <w:rFonts w:ascii="Arial" w:hAnsi="Arial" w:cs="Arial"/>
          <w:sz w:val="22"/>
          <w:szCs w:val="22"/>
          <w:lang w:val="sv-SE"/>
        </w:rPr>
        <w:t>umira godkänt för behandling av Ankolyserande spondylit och</w:t>
      </w:r>
      <w:r w:rsidRPr="001D5D51">
        <w:rPr>
          <w:rFonts w:ascii="Arial" w:hAnsi="Arial" w:cs="Arial"/>
          <w:sz w:val="22"/>
          <w:szCs w:val="22"/>
          <w:lang w:val="sv-SE"/>
        </w:rPr>
        <w:t xml:space="preserve"> </w:t>
      </w:r>
      <w:r>
        <w:rPr>
          <w:rFonts w:ascii="Arial" w:hAnsi="Arial" w:cs="Arial"/>
          <w:sz w:val="22"/>
          <w:szCs w:val="22"/>
          <w:lang w:val="sv-SE"/>
        </w:rPr>
        <w:t>p</w:t>
      </w:r>
      <w:r w:rsidRPr="006C35E9">
        <w:rPr>
          <w:rFonts w:ascii="Arial" w:hAnsi="Arial" w:cs="Arial"/>
          <w:sz w:val="22"/>
          <w:szCs w:val="22"/>
          <w:lang w:val="sv-SE"/>
        </w:rPr>
        <w:t>soriasisart</w:t>
      </w:r>
      <w:r>
        <w:rPr>
          <w:rFonts w:ascii="Arial" w:hAnsi="Arial" w:cs="Arial"/>
          <w:sz w:val="22"/>
          <w:szCs w:val="22"/>
          <w:lang w:val="sv-SE"/>
        </w:rPr>
        <w:t>r</w:t>
      </w:r>
      <w:r w:rsidRPr="006C35E9">
        <w:rPr>
          <w:rFonts w:ascii="Arial" w:hAnsi="Arial" w:cs="Arial"/>
          <w:sz w:val="22"/>
          <w:szCs w:val="22"/>
          <w:lang w:val="sv-SE"/>
        </w:rPr>
        <w:t>i</w:t>
      </w:r>
      <w:r>
        <w:rPr>
          <w:rFonts w:ascii="Arial" w:hAnsi="Arial" w:cs="Arial"/>
          <w:sz w:val="22"/>
          <w:szCs w:val="22"/>
          <w:lang w:val="sv-SE"/>
        </w:rPr>
        <w:t>t. Humira är även godkänt för behandling av psoriasis, reumatoid artrit (kronisk ledgångsreumatism), Crohns sjukdom och ulcerös kolit.</w:t>
      </w:r>
    </w:p>
    <w:p w:rsidR="006869E6" w:rsidRDefault="006869E6" w:rsidP="004864C8">
      <w:pPr>
        <w:autoSpaceDE w:val="0"/>
        <w:autoSpaceDN w:val="0"/>
        <w:adjustRightInd w:val="0"/>
        <w:rPr>
          <w:rFonts w:ascii="Arial" w:hAnsi="Arial" w:cs="Arial"/>
          <w:sz w:val="22"/>
          <w:szCs w:val="22"/>
          <w:lang w:val="sv-SE"/>
        </w:rPr>
      </w:pPr>
    </w:p>
    <w:p w:rsidR="006869E6" w:rsidRPr="005F12C6" w:rsidRDefault="006869E6" w:rsidP="004864C8">
      <w:pPr>
        <w:pStyle w:val="Default"/>
        <w:rPr>
          <w:b/>
          <w:sz w:val="22"/>
          <w:szCs w:val="22"/>
          <w:lang w:val="sv-SE"/>
        </w:rPr>
      </w:pPr>
      <w:r w:rsidRPr="005F12C6">
        <w:rPr>
          <w:b/>
          <w:sz w:val="22"/>
          <w:szCs w:val="22"/>
          <w:lang w:val="sv-SE"/>
        </w:rPr>
        <w:t>Om Abbott</w:t>
      </w:r>
    </w:p>
    <w:p w:rsidR="006869E6" w:rsidRPr="005F12C6" w:rsidRDefault="006869E6" w:rsidP="005F12C6">
      <w:pPr>
        <w:pStyle w:val="Default"/>
        <w:rPr>
          <w:sz w:val="22"/>
          <w:szCs w:val="22"/>
          <w:lang w:val="sv-SE"/>
        </w:rPr>
      </w:pPr>
      <w:r w:rsidRPr="005F12C6">
        <w:rPr>
          <w:sz w:val="22"/>
          <w:szCs w:val="22"/>
          <w:lang w:val="sv-SE"/>
        </w:rPr>
        <w:t xml:space="preserve">Abbott är ett vittomspännande, globalt hälso- och sjukvårdsföretag som forskar, utvecklar, tillverkar och marknadsför läkemedel och medicinska produkter inklusive diagnostik, nutrition och medicinska instrument. Abbott har cirka 90 000 anställda och marknadsför sina produkter i fler än 130 länder. Abbott har sitt svenska huvudkontor i Solna och har 300 anställda. Information om Abbott finns på företagets hemsida på </w:t>
      </w:r>
      <w:hyperlink r:id="rId7" w:history="1">
        <w:r w:rsidRPr="005F12C6">
          <w:rPr>
            <w:color w:val="0000FF"/>
            <w:sz w:val="22"/>
            <w:szCs w:val="22"/>
            <w:u w:val="single"/>
            <w:lang w:val="sv-SE"/>
          </w:rPr>
          <w:t>www.abbott.com</w:t>
        </w:r>
      </w:hyperlink>
      <w:r w:rsidRPr="005F12C6">
        <w:rPr>
          <w:sz w:val="22"/>
          <w:szCs w:val="22"/>
          <w:lang w:val="sv-SE"/>
        </w:rPr>
        <w:t xml:space="preserve"> och </w:t>
      </w:r>
      <w:hyperlink r:id="rId8" w:history="1">
        <w:r w:rsidRPr="005F12C6">
          <w:rPr>
            <w:rStyle w:val="Hyperlink"/>
            <w:rFonts w:cs="Arial"/>
            <w:sz w:val="22"/>
            <w:szCs w:val="22"/>
            <w:lang w:val="sv-SE"/>
          </w:rPr>
          <w:t>www.abbott.se</w:t>
        </w:r>
      </w:hyperlink>
    </w:p>
    <w:sectPr w:rsidR="006869E6" w:rsidRPr="005F12C6" w:rsidSect="00AA52AD">
      <w:headerReference w:type="default" r:id="rId9"/>
      <w:footerReference w:type="default" r:id="rId10"/>
      <w:headerReference w:type="first" r:id="rId11"/>
      <w:footerReference w:type="first" r:id="rId12"/>
      <w:pgSz w:w="12240" w:h="15840" w:code="1"/>
      <w:pgMar w:top="2160" w:right="1077" w:bottom="1622" w:left="2795" w:footer="1367" w:gutter="0"/>
      <w:titlePg/>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6869E6" w:rsidRDefault="006869E6">
      <w:r>
        <w:separator/>
      </w:r>
    </w:p>
  </w:endnote>
  <w:endnote w:type="continuationSeparator" w:id="1">
    <w:p w:rsidR="006869E6" w:rsidRDefault="006869E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59"/>
    <w:family w:val="auto"/>
    <w:pitch w:val="variable"/>
    <w:sig w:usb0="00000201" w:usb1="00000000" w:usb2="00000000" w:usb3="00000000" w:csb0="00000004"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6869E6" w:rsidRDefault="00104EA0">
    <w:pPr>
      <w:pStyle w:val="Footer"/>
    </w:pPr>
    <w:r>
      <w:rPr>
        <w:noProof/>
      </w:rPr>
      <w:drawing>
        <wp:anchor distT="0" distB="0" distL="114300" distR="114300" simplePos="0" relativeHeight="251657216" behindDoc="0" locked="1" layoutInCell="1" allowOverlap="1">
          <wp:simplePos x="0" y="0"/>
          <wp:positionH relativeFrom="page">
            <wp:posOffset>6034405</wp:posOffset>
          </wp:positionH>
          <wp:positionV relativeFrom="page">
            <wp:posOffset>9271000</wp:posOffset>
          </wp:positionV>
          <wp:extent cx="1304925" cy="357505"/>
          <wp:effectExtent l="25400" t="0" r="0" b="0"/>
          <wp:wrapNone/>
          <wp:docPr id="1" name="Picture 3" descr="Abt_w_tag_2col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t_w_tag_2col_a"/>
                  <pic:cNvPicPr>
                    <a:picLocks noChangeAspect="1" noChangeArrowheads="1"/>
                  </pic:cNvPicPr>
                </pic:nvPicPr>
                <pic:blipFill>
                  <a:blip r:embed="rId1"/>
                  <a:srcRect/>
                  <a:stretch>
                    <a:fillRect/>
                  </a:stretch>
                </pic:blipFill>
                <pic:spPr bwMode="auto">
                  <a:xfrm>
                    <a:off x="0" y="0"/>
                    <a:ext cx="1304925" cy="357505"/>
                  </a:xfrm>
                  <a:prstGeom prst="rect">
                    <a:avLst/>
                  </a:prstGeom>
                  <a:noFill/>
                </pic:spPr>
              </pic:pic>
            </a:graphicData>
          </a:graphic>
        </wp:anchor>
      </w:drawing>
    </w: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6869E6" w:rsidRDefault="00104EA0">
    <w:pPr>
      <w:pStyle w:val="Footer"/>
    </w:pPr>
    <w:r>
      <w:rPr>
        <w:noProof/>
      </w:rPr>
      <w:drawing>
        <wp:anchor distT="0" distB="0" distL="114300" distR="114300" simplePos="0" relativeHeight="251656192" behindDoc="0" locked="1" layoutInCell="1" allowOverlap="1">
          <wp:simplePos x="0" y="0"/>
          <wp:positionH relativeFrom="page">
            <wp:posOffset>6035040</wp:posOffset>
          </wp:positionH>
          <wp:positionV relativeFrom="page">
            <wp:posOffset>9271000</wp:posOffset>
          </wp:positionV>
          <wp:extent cx="1304925" cy="357505"/>
          <wp:effectExtent l="25400" t="0" r="0" b="0"/>
          <wp:wrapNone/>
          <wp:docPr id="4" name="Picture 1" descr="Abt_w_tag_2col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t_w_tag_2col_a"/>
                  <pic:cNvPicPr>
                    <a:picLocks noChangeAspect="1" noChangeArrowheads="1"/>
                  </pic:cNvPicPr>
                </pic:nvPicPr>
                <pic:blipFill>
                  <a:blip r:embed="rId1"/>
                  <a:srcRect/>
                  <a:stretch>
                    <a:fillRect/>
                  </a:stretch>
                </pic:blipFill>
                <pic:spPr bwMode="auto">
                  <a:xfrm>
                    <a:off x="0" y="0"/>
                    <a:ext cx="1304925" cy="357505"/>
                  </a:xfrm>
                  <a:prstGeom prst="rect">
                    <a:avLst/>
                  </a:prstGeom>
                  <a:noFill/>
                </pic:spPr>
              </pic:pic>
            </a:graphicData>
          </a:graphic>
        </wp:anchor>
      </w:drawing>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6869E6" w:rsidRDefault="006869E6">
      <w:r>
        <w:separator/>
      </w:r>
    </w:p>
  </w:footnote>
  <w:footnote w:type="continuationSeparator" w:id="1">
    <w:p w:rsidR="006869E6" w:rsidRDefault="006869E6">
      <w:r>
        <w:continuationSeparator/>
      </w:r>
    </w:p>
  </w:footnote>
  <w:footnote w:id="2">
    <w:p w:rsidR="006869E6" w:rsidRDefault="006869E6" w:rsidP="00DF7B87">
      <w:pPr>
        <w:pStyle w:val="FootnoteText"/>
      </w:pPr>
      <w:r>
        <w:rPr>
          <w:rStyle w:val="FootnoteReference"/>
        </w:rPr>
        <w:footnoteRef/>
      </w:r>
      <w:r w:rsidRPr="00385916">
        <w:rPr>
          <w:lang w:val="sv-SE"/>
        </w:rPr>
        <w:t xml:space="preserve"> </w:t>
      </w:r>
      <w:r w:rsidRPr="00385916">
        <w:rPr>
          <w:rFonts w:ascii="Arial" w:hAnsi="Arial" w:cs="Arial"/>
          <w:sz w:val="18"/>
          <w:lang w:val="sv-SE"/>
        </w:rPr>
        <w:t xml:space="preserve">Ett annat namn för </w:t>
      </w:r>
      <w:r>
        <w:rPr>
          <w:rFonts w:ascii="Arial" w:hAnsi="Arial" w:cs="Arial"/>
          <w:sz w:val="18"/>
          <w:lang w:val="sv-SE"/>
        </w:rPr>
        <w:t>A</w:t>
      </w:r>
      <w:r w:rsidRPr="00385916">
        <w:rPr>
          <w:rFonts w:ascii="Arial" w:hAnsi="Arial" w:cs="Arial"/>
          <w:sz w:val="18"/>
          <w:lang w:val="sv-SE"/>
        </w:rPr>
        <w:t>nkyloserande spondylit är Bechterews sjukdom.</w:t>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6869E6" w:rsidRDefault="006869E6">
    <w:pPr>
      <w:spacing w:after="80"/>
    </w:pPr>
  </w:p>
  <w:p w:rsidR="006869E6" w:rsidRDefault="006869E6">
    <w:pPr>
      <w:pStyle w:val="Abbott-Header"/>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6869E6" w:rsidRDefault="006869E6">
    <w:pPr>
      <w:rPr>
        <w:rFonts w:ascii="Helvetica" w:hAnsi="Helvetica"/>
        <w:color w:val="1D7CAC"/>
        <w:sz w:val="36"/>
        <w:szCs w:val="36"/>
      </w:rPr>
    </w:pPr>
  </w:p>
  <w:p w:rsidR="006869E6" w:rsidRDefault="00104EA0">
    <w:pPr>
      <w:rPr>
        <w:rFonts w:ascii="Helvetica" w:hAnsi="Helvetica"/>
        <w:color w:val="1D7CAC"/>
        <w:sz w:val="36"/>
        <w:szCs w:val="36"/>
      </w:rPr>
    </w:pPr>
    <w:r>
      <w:rPr>
        <w:noProof/>
      </w:rPr>
      <w:drawing>
        <wp:anchor distT="0" distB="0" distL="114300" distR="114300" simplePos="0" relativeHeight="251658240" behindDoc="1" locked="0" layoutInCell="1" allowOverlap="1">
          <wp:simplePos x="0" y="0"/>
          <wp:positionH relativeFrom="column">
            <wp:posOffset>-1562100</wp:posOffset>
          </wp:positionH>
          <wp:positionV relativeFrom="paragraph">
            <wp:posOffset>193675</wp:posOffset>
          </wp:positionV>
          <wp:extent cx="4682490" cy="1024890"/>
          <wp:effectExtent l="25400" t="0" r="0" b="0"/>
          <wp:wrapNone/>
          <wp:docPr id="2" name="Picture 11" descr="abbo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bbot_symbol"/>
                  <pic:cNvPicPr>
                    <a:picLocks noChangeAspect="1" noChangeArrowheads="1"/>
                  </pic:cNvPicPr>
                </pic:nvPicPr>
                <pic:blipFill>
                  <a:blip r:embed="rId1"/>
                  <a:srcRect/>
                  <a:stretch>
                    <a:fillRect/>
                  </a:stretch>
                </pic:blipFill>
                <pic:spPr bwMode="auto">
                  <a:xfrm>
                    <a:off x="0" y="0"/>
                    <a:ext cx="4682490" cy="1024890"/>
                  </a:xfrm>
                  <a:prstGeom prst="rect">
                    <a:avLst/>
                  </a:prstGeom>
                  <a:noFill/>
                </pic:spPr>
              </pic:pic>
            </a:graphicData>
          </a:graphic>
        </wp:anchor>
      </w:drawing>
    </w:r>
  </w:p>
  <w:p w:rsidR="006869E6" w:rsidRDefault="006869E6">
    <w:pPr>
      <w:rPr>
        <w:rFonts w:ascii="Helvetica" w:hAnsi="Helvetica"/>
        <w:color w:val="1D7CAC"/>
        <w:sz w:val="36"/>
        <w:szCs w:val="36"/>
      </w:rPr>
    </w:pPr>
  </w:p>
  <w:p w:rsidR="006869E6" w:rsidRDefault="00B43488">
    <w:r w:rsidRPr="00B43488">
      <w:rPr>
        <w:noProof/>
        <w:lang w:val="sv-SE" w:eastAsia="sv-SE"/>
      </w:rPr>
      <w:pict>
        <v:shapetype id="_x0000_t202" coordsize="21600,21600" o:spt="202" path="m0,0l0,21600,21600,21600,21600,0xe">
          <v:stroke joinstyle="miter"/>
          <v:path gradientshapeok="t" o:connecttype="rect"/>
        </v:shapetype>
        <v:shape id="_x0000_s2051" type="#_x0000_t202" style="position:absolute;margin-left:13.75pt;margin-top:252pt;width:108pt;height:162pt;z-index:-251657216;mso-position-horizontal:absolute;mso-position-horizontal-relative:page;mso-position-vertical:absolute;mso-position-vertical-relative:page" wrapcoords="-129 0 -129 21504 21600 21504 21600 0 -129 0" stroked="f">
          <v:textbox style="mso-next-textbox:#_x0000_s2051">
            <w:txbxContent>
              <w:p w:rsidR="006869E6" w:rsidRDefault="006869E6">
                <w:pPr>
                  <w:pStyle w:val="Abbott-Contact"/>
                  <w:rPr>
                    <w:lang w:val="sv-SE"/>
                  </w:rPr>
                </w:pPr>
                <w:r>
                  <w:rPr>
                    <w:lang w:val="sv-SE"/>
                  </w:rPr>
                  <w:t xml:space="preserve">Kontaktinformation </w:t>
                </w:r>
              </w:p>
              <w:p w:rsidR="006869E6" w:rsidRDefault="006869E6" w:rsidP="003109CA">
                <w:pPr>
                  <w:pStyle w:val="Abbott-Contact"/>
                  <w:rPr>
                    <w:lang w:val="sv-SE"/>
                  </w:rPr>
                </w:pPr>
              </w:p>
              <w:p w:rsidR="006869E6" w:rsidRPr="006613ED" w:rsidRDefault="006869E6" w:rsidP="001E0BE5">
                <w:pPr>
                  <w:pStyle w:val="Abbott-Contact"/>
                  <w:rPr>
                    <w:szCs w:val="24"/>
                    <w:lang w:val="sv-SE"/>
                  </w:rPr>
                </w:pPr>
                <w:r w:rsidRPr="006613ED">
                  <w:rPr>
                    <w:noProof/>
                    <w:szCs w:val="24"/>
                    <w:lang w:val="sv-SE"/>
                  </w:rPr>
                  <w:t>Kommunikationschef Abbott:</w:t>
                </w:r>
              </w:p>
              <w:p w:rsidR="006869E6" w:rsidRPr="006613ED" w:rsidRDefault="006869E6" w:rsidP="001E0BE5">
                <w:pPr>
                  <w:pStyle w:val="Abbott-Contact"/>
                  <w:rPr>
                    <w:b/>
                    <w:szCs w:val="24"/>
                    <w:lang w:val="sv-SE"/>
                  </w:rPr>
                </w:pPr>
                <w:r w:rsidRPr="006613ED">
                  <w:rPr>
                    <w:b/>
                    <w:noProof/>
                    <w:szCs w:val="24"/>
                    <w:lang w:val="sv-SE"/>
                  </w:rPr>
                  <w:t>Andrea Prander</w:t>
                </w:r>
              </w:p>
              <w:p w:rsidR="006869E6" w:rsidRDefault="006869E6" w:rsidP="001E0BE5">
                <w:pPr>
                  <w:pStyle w:val="Abbott-Contact"/>
                  <w:rPr>
                    <w:szCs w:val="24"/>
                    <w:lang w:val="sv-SE"/>
                  </w:rPr>
                </w:pPr>
                <w:r w:rsidRPr="006613ED">
                  <w:rPr>
                    <w:szCs w:val="24"/>
                    <w:lang w:val="sv-SE"/>
                  </w:rPr>
                  <w:t>+46-8 546 567 08</w:t>
                </w:r>
              </w:p>
              <w:p w:rsidR="006869E6" w:rsidRPr="006613ED" w:rsidRDefault="006869E6" w:rsidP="001E0BE5">
                <w:pPr>
                  <w:pStyle w:val="Abbott-Contact"/>
                  <w:rPr>
                    <w:szCs w:val="24"/>
                    <w:lang w:val="sv-SE"/>
                  </w:rPr>
                </w:pPr>
              </w:p>
              <w:p w:rsidR="006869E6" w:rsidRDefault="006869E6" w:rsidP="00ED28C4">
                <w:pPr>
                  <w:pStyle w:val="Abbott-Contact"/>
                  <w:rPr>
                    <w:lang w:val="sv-SE"/>
                  </w:rPr>
                </w:pPr>
                <w:r w:rsidRPr="003109CA">
                  <w:rPr>
                    <w:lang w:val="sv-SE"/>
                  </w:rPr>
                  <w:t xml:space="preserve">Medicinsk </w:t>
                </w:r>
                <w:r>
                  <w:rPr>
                    <w:lang w:val="sv-SE"/>
                  </w:rPr>
                  <w:t>direktör</w:t>
                </w:r>
              </w:p>
              <w:p w:rsidR="006869E6" w:rsidRDefault="006869E6" w:rsidP="00ED28C4">
                <w:pPr>
                  <w:pStyle w:val="Abbott-Contact"/>
                  <w:rPr>
                    <w:lang w:val="sv-SE"/>
                  </w:rPr>
                </w:pPr>
                <w:r>
                  <w:rPr>
                    <w:lang w:val="sv-SE"/>
                  </w:rPr>
                  <w:t>Abbott:</w:t>
                </w:r>
              </w:p>
              <w:p w:rsidR="006869E6" w:rsidRPr="00C32D75" w:rsidRDefault="006869E6" w:rsidP="00ED28C4">
                <w:pPr>
                  <w:pStyle w:val="Abbott-Contact"/>
                  <w:rPr>
                    <w:b/>
                    <w:lang w:val="sv-SE"/>
                  </w:rPr>
                </w:pPr>
                <w:r>
                  <w:rPr>
                    <w:b/>
                    <w:lang w:val="sv-SE"/>
                  </w:rPr>
                  <w:t>Lars Thomander</w:t>
                </w:r>
              </w:p>
              <w:p w:rsidR="006869E6" w:rsidRDefault="006869E6" w:rsidP="00ED28C4">
                <w:pPr>
                  <w:pStyle w:val="Abbott-Contact"/>
                  <w:rPr>
                    <w:szCs w:val="24"/>
                    <w:lang w:val="sv-SE"/>
                  </w:rPr>
                </w:pPr>
                <w:r>
                  <w:rPr>
                    <w:szCs w:val="24"/>
                    <w:lang w:val="sv-SE"/>
                  </w:rPr>
                  <w:t xml:space="preserve">+46 </w:t>
                </w:r>
                <w:r w:rsidRPr="000A70D7">
                  <w:rPr>
                    <w:szCs w:val="24"/>
                    <w:lang w:val="sv-SE"/>
                  </w:rPr>
                  <w:t>8-546</w:t>
                </w:r>
                <w:r>
                  <w:rPr>
                    <w:szCs w:val="24"/>
                    <w:lang w:val="sv-SE"/>
                  </w:rPr>
                  <w:t> </w:t>
                </w:r>
                <w:r w:rsidRPr="000A70D7">
                  <w:rPr>
                    <w:szCs w:val="24"/>
                    <w:lang w:val="sv-SE"/>
                  </w:rPr>
                  <w:t>56</w:t>
                </w:r>
                <w:r>
                  <w:rPr>
                    <w:szCs w:val="24"/>
                    <w:lang w:val="sv-SE"/>
                  </w:rPr>
                  <w:t>7 86</w:t>
                </w:r>
              </w:p>
              <w:p w:rsidR="006869E6" w:rsidRDefault="006869E6" w:rsidP="00ED28C4">
                <w:pPr>
                  <w:pStyle w:val="Abbott-Contact"/>
                  <w:rPr>
                    <w:lang w:val="sv-SE"/>
                  </w:rPr>
                </w:pPr>
              </w:p>
              <w:p w:rsidR="006869E6" w:rsidRDefault="006869E6">
                <w:pPr>
                  <w:pStyle w:val="Abbott-Contact"/>
                  <w:rPr>
                    <w:lang w:val="sv-SE"/>
                  </w:rPr>
                </w:pPr>
              </w:p>
              <w:p w:rsidR="006869E6" w:rsidRDefault="006869E6">
                <w:pPr>
                  <w:pStyle w:val="Abbott-Contact"/>
                  <w:rPr>
                    <w:lang w:val="sv-SE"/>
                  </w:rPr>
                </w:pPr>
              </w:p>
            </w:txbxContent>
          </v:textbox>
          <w10:wrap type="tight" anchorx="page" anchory="page"/>
        </v:shape>
      </w:pic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8BB2117"/>
    <w:multiLevelType w:val="hybridMultilevel"/>
    <w:tmpl w:val="2E0E42F2"/>
    <w:lvl w:ilvl="0" w:tplc="13529318">
      <w:start w:val="1"/>
      <w:numFmt w:val="bullet"/>
      <w:pStyle w:val="Abbott-Bullets"/>
      <w:lvlText w:val="•"/>
      <w:lvlJc w:val="left"/>
      <w:pPr>
        <w:tabs>
          <w:tab w:val="num" w:pos="360"/>
        </w:tabs>
        <w:ind w:left="360" w:hanging="360"/>
      </w:pPr>
      <w:rPr>
        <w:rFonts w:ascii="Arial" w:hAnsi="Arial" w:hint="default"/>
        <w:sz w:val="20"/>
      </w:rPr>
    </w:lvl>
    <w:lvl w:ilvl="1" w:tplc="AB0EDB0C" w:tentative="1">
      <w:start w:val="1"/>
      <w:numFmt w:val="bullet"/>
      <w:lvlText w:val="o"/>
      <w:lvlJc w:val="left"/>
      <w:pPr>
        <w:tabs>
          <w:tab w:val="num" w:pos="1440"/>
        </w:tabs>
        <w:ind w:left="1440" w:hanging="360"/>
      </w:pPr>
      <w:rPr>
        <w:rFonts w:ascii="Courier New" w:hAnsi="Courier New" w:hint="default"/>
      </w:rPr>
    </w:lvl>
    <w:lvl w:ilvl="2" w:tplc="E8023F9A" w:tentative="1">
      <w:start w:val="1"/>
      <w:numFmt w:val="bullet"/>
      <w:lvlText w:val=""/>
      <w:lvlJc w:val="left"/>
      <w:pPr>
        <w:tabs>
          <w:tab w:val="num" w:pos="2160"/>
        </w:tabs>
        <w:ind w:left="2160" w:hanging="360"/>
      </w:pPr>
      <w:rPr>
        <w:rFonts w:ascii="Wingdings" w:hAnsi="Wingdings" w:hint="default"/>
      </w:rPr>
    </w:lvl>
    <w:lvl w:ilvl="3" w:tplc="4C829676" w:tentative="1">
      <w:start w:val="1"/>
      <w:numFmt w:val="bullet"/>
      <w:lvlText w:val=""/>
      <w:lvlJc w:val="left"/>
      <w:pPr>
        <w:tabs>
          <w:tab w:val="num" w:pos="2880"/>
        </w:tabs>
        <w:ind w:left="2880" w:hanging="360"/>
      </w:pPr>
      <w:rPr>
        <w:rFonts w:ascii="Symbol" w:hAnsi="Symbol" w:hint="default"/>
      </w:rPr>
    </w:lvl>
    <w:lvl w:ilvl="4" w:tplc="CD2ED1AC" w:tentative="1">
      <w:start w:val="1"/>
      <w:numFmt w:val="bullet"/>
      <w:lvlText w:val="o"/>
      <w:lvlJc w:val="left"/>
      <w:pPr>
        <w:tabs>
          <w:tab w:val="num" w:pos="3600"/>
        </w:tabs>
        <w:ind w:left="3600" w:hanging="360"/>
      </w:pPr>
      <w:rPr>
        <w:rFonts w:ascii="Courier New" w:hAnsi="Courier New" w:hint="default"/>
      </w:rPr>
    </w:lvl>
    <w:lvl w:ilvl="5" w:tplc="3B48A66C" w:tentative="1">
      <w:start w:val="1"/>
      <w:numFmt w:val="bullet"/>
      <w:lvlText w:val=""/>
      <w:lvlJc w:val="left"/>
      <w:pPr>
        <w:tabs>
          <w:tab w:val="num" w:pos="4320"/>
        </w:tabs>
        <w:ind w:left="4320" w:hanging="360"/>
      </w:pPr>
      <w:rPr>
        <w:rFonts w:ascii="Wingdings" w:hAnsi="Wingdings" w:hint="default"/>
      </w:rPr>
    </w:lvl>
    <w:lvl w:ilvl="6" w:tplc="0AB4F958" w:tentative="1">
      <w:start w:val="1"/>
      <w:numFmt w:val="bullet"/>
      <w:lvlText w:val=""/>
      <w:lvlJc w:val="left"/>
      <w:pPr>
        <w:tabs>
          <w:tab w:val="num" w:pos="5040"/>
        </w:tabs>
        <w:ind w:left="5040" w:hanging="360"/>
      </w:pPr>
      <w:rPr>
        <w:rFonts w:ascii="Symbol" w:hAnsi="Symbol" w:hint="default"/>
      </w:rPr>
    </w:lvl>
    <w:lvl w:ilvl="7" w:tplc="341CA700" w:tentative="1">
      <w:start w:val="1"/>
      <w:numFmt w:val="bullet"/>
      <w:lvlText w:val="o"/>
      <w:lvlJc w:val="left"/>
      <w:pPr>
        <w:tabs>
          <w:tab w:val="num" w:pos="5760"/>
        </w:tabs>
        <w:ind w:left="5760" w:hanging="360"/>
      </w:pPr>
      <w:rPr>
        <w:rFonts w:ascii="Courier New" w:hAnsi="Courier New" w:hint="default"/>
      </w:rPr>
    </w:lvl>
    <w:lvl w:ilvl="8" w:tplc="4CC6B446" w:tentative="1">
      <w:start w:val="1"/>
      <w:numFmt w:val="bullet"/>
      <w:lvlText w:val=""/>
      <w:lvlJc w:val="left"/>
      <w:pPr>
        <w:tabs>
          <w:tab w:val="num" w:pos="6480"/>
        </w:tabs>
        <w:ind w:left="6480" w:hanging="360"/>
      </w:pPr>
      <w:rPr>
        <w:rFonts w:ascii="Wingdings" w:hAnsi="Wingdings" w:hint="default"/>
      </w:rPr>
    </w:lvl>
  </w:abstractNum>
  <w:abstractNum w:abstractNumId="1">
    <w:nsid w:val="225D7F0F"/>
    <w:multiLevelType w:val="hybridMultilevel"/>
    <w:tmpl w:val="62E8FD96"/>
    <w:lvl w:ilvl="0" w:tplc="58C03202">
      <w:start w:val="1"/>
      <w:numFmt w:val="bullet"/>
      <w:lvlText w:val=""/>
      <w:lvlJc w:val="left"/>
      <w:pPr>
        <w:tabs>
          <w:tab w:val="num" w:pos="360"/>
        </w:tabs>
        <w:ind w:left="360" w:hanging="360"/>
      </w:pPr>
      <w:rPr>
        <w:rFonts w:ascii="Symbol" w:hAnsi="Symbol" w:hint="default"/>
        <w:color w:val="auto"/>
        <w:sz w:val="20"/>
      </w:rPr>
    </w:lvl>
    <w:lvl w:ilvl="1" w:tplc="D1B25724" w:tentative="1">
      <w:start w:val="1"/>
      <w:numFmt w:val="bullet"/>
      <w:lvlText w:val="o"/>
      <w:lvlJc w:val="left"/>
      <w:pPr>
        <w:tabs>
          <w:tab w:val="num" w:pos="1440"/>
        </w:tabs>
        <w:ind w:left="1440" w:hanging="360"/>
      </w:pPr>
      <w:rPr>
        <w:rFonts w:ascii="Courier New" w:hAnsi="Courier New" w:hint="default"/>
      </w:rPr>
    </w:lvl>
    <w:lvl w:ilvl="2" w:tplc="93D02576" w:tentative="1">
      <w:start w:val="1"/>
      <w:numFmt w:val="bullet"/>
      <w:lvlText w:val=""/>
      <w:lvlJc w:val="left"/>
      <w:pPr>
        <w:tabs>
          <w:tab w:val="num" w:pos="2160"/>
        </w:tabs>
        <w:ind w:left="2160" w:hanging="360"/>
      </w:pPr>
      <w:rPr>
        <w:rFonts w:ascii="Wingdings" w:hAnsi="Wingdings" w:hint="default"/>
      </w:rPr>
    </w:lvl>
    <w:lvl w:ilvl="3" w:tplc="96E68DD6" w:tentative="1">
      <w:start w:val="1"/>
      <w:numFmt w:val="bullet"/>
      <w:lvlText w:val=""/>
      <w:lvlJc w:val="left"/>
      <w:pPr>
        <w:tabs>
          <w:tab w:val="num" w:pos="2880"/>
        </w:tabs>
        <w:ind w:left="2880" w:hanging="360"/>
      </w:pPr>
      <w:rPr>
        <w:rFonts w:ascii="Symbol" w:hAnsi="Symbol" w:hint="default"/>
      </w:rPr>
    </w:lvl>
    <w:lvl w:ilvl="4" w:tplc="BCD827EA" w:tentative="1">
      <w:start w:val="1"/>
      <w:numFmt w:val="bullet"/>
      <w:lvlText w:val="o"/>
      <w:lvlJc w:val="left"/>
      <w:pPr>
        <w:tabs>
          <w:tab w:val="num" w:pos="3600"/>
        </w:tabs>
        <w:ind w:left="3600" w:hanging="360"/>
      </w:pPr>
      <w:rPr>
        <w:rFonts w:ascii="Courier New" w:hAnsi="Courier New" w:hint="default"/>
      </w:rPr>
    </w:lvl>
    <w:lvl w:ilvl="5" w:tplc="846E1258" w:tentative="1">
      <w:start w:val="1"/>
      <w:numFmt w:val="bullet"/>
      <w:lvlText w:val=""/>
      <w:lvlJc w:val="left"/>
      <w:pPr>
        <w:tabs>
          <w:tab w:val="num" w:pos="4320"/>
        </w:tabs>
        <w:ind w:left="4320" w:hanging="360"/>
      </w:pPr>
      <w:rPr>
        <w:rFonts w:ascii="Wingdings" w:hAnsi="Wingdings" w:hint="default"/>
      </w:rPr>
    </w:lvl>
    <w:lvl w:ilvl="6" w:tplc="0A62AC34" w:tentative="1">
      <w:start w:val="1"/>
      <w:numFmt w:val="bullet"/>
      <w:lvlText w:val=""/>
      <w:lvlJc w:val="left"/>
      <w:pPr>
        <w:tabs>
          <w:tab w:val="num" w:pos="5040"/>
        </w:tabs>
        <w:ind w:left="5040" w:hanging="360"/>
      </w:pPr>
      <w:rPr>
        <w:rFonts w:ascii="Symbol" w:hAnsi="Symbol" w:hint="default"/>
      </w:rPr>
    </w:lvl>
    <w:lvl w:ilvl="7" w:tplc="CAD037AA" w:tentative="1">
      <w:start w:val="1"/>
      <w:numFmt w:val="bullet"/>
      <w:lvlText w:val="o"/>
      <w:lvlJc w:val="left"/>
      <w:pPr>
        <w:tabs>
          <w:tab w:val="num" w:pos="5760"/>
        </w:tabs>
        <w:ind w:left="5760" w:hanging="360"/>
      </w:pPr>
      <w:rPr>
        <w:rFonts w:ascii="Courier New" w:hAnsi="Courier New" w:hint="default"/>
      </w:rPr>
    </w:lvl>
    <w:lvl w:ilvl="8" w:tplc="D05E4AC4" w:tentative="1">
      <w:start w:val="1"/>
      <w:numFmt w:val="bullet"/>
      <w:lvlText w:val=""/>
      <w:lvlJc w:val="left"/>
      <w:pPr>
        <w:tabs>
          <w:tab w:val="num" w:pos="6480"/>
        </w:tabs>
        <w:ind w:left="6480" w:hanging="360"/>
      </w:pPr>
      <w:rPr>
        <w:rFonts w:ascii="Wingdings" w:hAnsi="Wingdings" w:hint="default"/>
      </w:rPr>
    </w:lvl>
  </w:abstractNum>
  <w:abstractNum w:abstractNumId="2">
    <w:nsid w:val="2DED16F4"/>
    <w:multiLevelType w:val="hybridMultilevel"/>
    <w:tmpl w:val="7D54A666"/>
    <w:lvl w:ilvl="0" w:tplc="9D8692F0">
      <w:start w:val="1"/>
      <w:numFmt w:val="bullet"/>
      <w:lvlText w:val=""/>
      <w:lvlJc w:val="left"/>
      <w:pPr>
        <w:tabs>
          <w:tab w:val="num" w:pos="1391"/>
        </w:tabs>
        <w:ind w:left="1391" w:hanging="360"/>
      </w:pPr>
      <w:rPr>
        <w:rFonts w:ascii="Wingdings" w:hAnsi="Wingdings" w:hint="default"/>
        <w:sz w:val="24"/>
      </w:rPr>
    </w:lvl>
    <w:lvl w:ilvl="1" w:tplc="9706582E" w:tentative="1">
      <w:start w:val="1"/>
      <w:numFmt w:val="bullet"/>
      <w:lvlText w:val="o"/>
      <w:lvlJc w:val="left"/>
      <w:pPr>
        <w:tabs>
          <w:tab w:val="num" w:pos="1440"/>
        </w:tabs>
        <w:ind w:left="1440" w:hanging="360"/>
      </w:pPr>
      <w:rPr>
        <w:rFonts w:ascii="Courier New" w:hAnsi="Courier New" w:hint="default"/>
      </w:rPr>
    </w:lvl>
    <w:lvl w:ilvl="2" w:tplc="363628D4" w:tentative="1">
      <w:start w:val="1"/>
      <w:numFmt w:val="bullet"/>
      <w:lvlText w:val=""/>
      <w:lvlJc w:val="left"/>
      <w:pPr>
        <w:tabs>
          <w:tab w:val="num" w:pos="2160"/>
        </w:tabs>
        <w:ind w:left="2160" w:hanging="360"/>
      </w:pPr>
      <w:rPr>
        <w:rFonts w:ascii="Wingdings" w:hAnsi="Wingdings" w:hint="default"/>
      </w:rPr>
    </w:lvl>
    <w:lvl w:ilvl="3" w:tplc="C67E8186" w:tentative="1">
      <w:start w:val="1"/>
      <w:numFmt w:val="bullet"/>
      <w:lvlText w:val=""/>
      <w:lvlJc w:val="left"/>
      <w:pPr>
        <w:tabs>
          <w:tab w:val="num" w:pos="2880"/>
        </w:tabs>
        <w:ind w:left="2880" w:hanging="360"/>
      </w:pPr>
      <w:rPr>
        <w:rFonts w:ascii="Symbol" w:hAnsi="Symbol" w:hint="default"/>
      </w:rPr>
    </w:lvl>
    <w:lvl w:ilvl="4" w:tplc="5F386D10" w:tentative="1">
      <w:start w:val="1"/>
      <w:numFmt w:val="bullet"/>
      <w:lvlText w:val="o"/>
      <w:lvlJc w:val="left"/>
      <w:pPr>
        <w:tabs>
          <w:tab w:val="num" w:pos="3600"/>
        </w:tabs>
        <w:ind w:left="3600" w:hanging="360"/>
      </w:pPr>
      <w:rPr>
        <w:rFonts w:ascii="Courier New" w:hAnsi="Courier New" w:hint="default"/>
      </w:rPr>
    </w:lvl>
    <w:lvl w:ilvl="5" w:tplc="710EC6F2" w:tentative="1">
      <w:start w:val="1"/>
      <w:numFmt w:val="bullet"/>
      <w:lvlText w:val=""/>
      <w:lvlJc w:val="left"/>
      <w:pPr>
        <w:tabs>
          <w:tab w:val="num" w:pos="4320"/>
        </w:tabs>
        <w:ind w:left="4320" w:hanging="360"/>
      </w:pPr>
      <w:rPr>
        <w:rFonts w:ascii="Wingdings" w:hAnsi="Wingdings" w:hint="default"/>
      </w:rPr>
    </w:lvl>
    <w:lvl w:ilvl="6" w:tplc="AB16E472" w:tentative="1">
      <w:start w:val="1"/>
      <w:numFmt w:val="bullet"/>
      <w:lvlText w:val=""/>
      <w:lvlJc w:val="left"/>
      <w:pPr>
        <w:tabs>
          <w:tab w:val="num" w:pos="5040"/>
        </w:tabs>
        <w:ind w:left="5040" w:hanging="360"/>
      </w:pPr>
      <w:rPr>
        <w:rFonts w:ascii="Symbol" w:hAnsi="Symbol" w:hint="default"/>
      </w:rPr>
    </w:lvl>
    <w:lvl w:ilvl="7" w:tplc="96A4B158" w:tentative="1">
      <w:start w:val="1"/>
      <w:numFmt w:val="bullet"/>
      <w:lvlText w:val="o"/>
      <w:lvlJc w:val="left"/>
      <w:pPr>
        <w:tabs>
          <w:tab w:val="num" w:pos="5760"/>
        </w:tabs>
        <w:ind w:left="5760" w:hanging="360"/>
      </w:pPr>
      <w:rPr>
        <w:rFonts w:ascii="Courier New" w:hAnsi="Courier New" w:hint="default"/>
      </w:rPr>
    </w:lvl>
    <w:lvl w:ilvl="8" w:tplc="0A164FB8" w:tentative="1">
      <w:start w:val="1"/>
      <w:numFmt w:val="bullet"/>
      <w:lvlText w:val=""/>
      <w:lvlJc w:val="left"/>
      <w:pPr>
        <w:tabs>
          <w:tab w:val="num" w:pos="6480"/>
        </w:tabs>
        <w:ind w:left="6480" w:hanging="360"/>
      </w:pPr>
      <w:rPr>
        <w:rFonts w:ascii="Wingdings" w:hAnsi="Wingdings" w:hint="default"/>
      </w:rPr>
    </w:lvl>
  </w:abstractNum>
  <w:abstractNum w:abstractNumId="3">
    <w:nsid w:val="5BAC0FB7"/>
    <w:multiLevelType w:val="hybridMultilevel"/>
    <w:tmpl w:val="17F22638"/>
    <w:lvl w:ilvl="0" w:tplc="D1E8583E">
      <w:start w:val="1"/>
      <w:numFmt w:val="bullet"/>
      <w:lvlText w:val=""/>
      <w:lvlJc w:val="left"/>
      <w:pPr>
        <w:tabs>
          <w:tab w:val="num" w:pos="720"/>
        </w:tabs>
        <w:ind w:left="720" w:hanging="360"/>
      </w:pPr>
      <w:rPr>
        <w:rFonts w:ascii="Symbol" w:hAnsi="Symbol" w:hint="default"/>
      </w:rPr>
    </w:lvl>
    <w:lvl w:ilvl="1" w:tplc="DE142FEC" w:tentative="1">
      <w:start w:val="1"/>
      <w:numFmt w:val="bullet"/>
      <w:lvlText w:val="o"/>
      <w:lvlJc w:val="left"/>
      <w:pPr>
        <w:tabs>
          <w:tab w:val="num" w:pos="1440"/>
        </w:tabs>
        <w:ind w:left="1440" w:hanging="360"/>
      </w:pPr>
      <w:rPr>
        <w:rFonts w:ascii="Courier New" w:hAnsi="Courier New" w:hint="default"/>
      </w:rPr>
    </w:lvl>
    <w:lvl w:ilvl="2" w:tplc="F830F92E" w:tentative="1">
      <w:start w:val="1"/>
      <w:numFmt w:val="bullet"/>
      <w:lvlText w:val=""/>
      <w:lvlJc w:val="left"/>
      <w:pPr>
        <w:tabs>
          <w:tab w:val="num" w:pos="2160"/>
        </w:tabs>
        <w:ind w:left="2160" w:hanging="360"/>
      </w:pPr>
      <w:rPr>
        <w:rFonts w:ascii="Wingdings" w:hAnsi="Wingdings" w:hint="default"/>
      </w:rPr>
    </w:lvl>
    <w:lvl w:ilvl="3" w:tplc="1CC079F4" w:tentative="1">
      <w:start w:val="1"/>
      <w:numFmt w:val="bullet"/>
      <w:lvlText w:val=""/>
      <w:lvlJc w:val="left"/>
      <w:pPr>
        <w:tabs>
          <w:tab w:val="num" w:pos="2880"/>
        </w:tabs>
        <w:ind w:left="2880" w:hanging="360"/>
      </w:pPr>
      <w:rPr>
        <w:rFonts w:ascii="Symbol" w:hAnsi="Symbol" w:hint="default"/>
      </w:rPr>
    </w:lvl>
    <w:lvl w:ilvl="4" w:tplc="204A2F6E" w:tentative="1">
      <w:start w:val="1"/>
      <w:numFmt w:val="bullet"/>
      <w:lvlText w:val="o"/>
      <w:lvlJc w:val="left"/>
      <w:pPr>
        <w:tabs>
          <w:tab w:val="num" w:pos="3600"/>
        </w:tabs>
        <w:ind w:left="3600" w:hanging="360"/>
      </w:pPr>
      <w:rPr>
        <w:rFonts w:ascii="Courier New" w:hAnsi="Courier New" w:hint="default"/>
      </w:rPr>
    </w:lvl>
    <w:lvl w:ilvl="5" w:tplc="1FD80F9C" w:tentative="1">
      <w:start w:val="1"/>
      <w:numFmt w:val="bullet"/>
      <w:lvlText w:val=""/>
      <w:lvlJc w:val="left"/>
      <w:pPr>
        <w:tabs>
          <w:tab w:val="num" w:pos="4320"/>
        </w:tabs>
        <w:ind w:left="4320" w:hanging="360"/>
      </w:pPr>
      <w:rPr>
        <w:rFonts w:ascii="Wingdings" w:hAnsi="Wingdings" w:hint="default"/>
      </w:rPr>
    </w:lvl>
    <w:lvl w:ilvl="6" w:tplc="3C8882B2" w:tentative="1">
      <w:start w:val="1"/>
      <w:numFmt w:val="bullet"/>
      <w:lvlText w:val=""/>
      <w:lvlJc w:val="left"/>
      <w:pPr>
        <w:tabs>
          <w:tab w:val="num" w:pos="5040"/>
        </w:tabs>
        <w:ind w:left="5040" w:hanging="360"/>
      </w:pPr>
      <w:rPr>
        <w:rFonts w:ascii="Symbol" w:hAnsi="Symbol" w:hint="default"/>
      </w:rPr>
    </w:lvl>
    <w:lvl w:ilvl="7" w:tplc="7C4002E6" w:tentative="1">
      <w:start w:val="1"/>
      <w:numFmt w:val="bullet"/>
      <w:lvlText w:val="o"/>
      <w:lvlJc w:val="left"/>
      <w:pPr>
        <w:tabs>
          <w:tab w:val="num" w:pos="5760"/>
        </w:tabs>
        <w:ind w:left="5760" w:hanging="360"/>
      </w:pPr>
      <w:rPr>
        <w:rFonts w:ascii="Courier New" w:hAnsi="Courier New" w:hint="default"/>
      </w:rPr>
    </w:lvl>
    <w:lvl w:ilvl="8" w:tplc="894A5FB4" w:tentative="1">
      <w:start w:val="1"/>
      <w:numFmt w:val="bullet"/>
      <w:lvlText w:val=""/>
      <w:lvlJc w:val="left"/>
      <w:pPr>
        <w:tabs>
          <w:tab w:val="num" w:pos="6480"/>
        </w:tabs>
        <w:ind w:left="6480" w:hanging="360"/>
      </w:pPr>
      <w:rPr>
        <w:rFonts w:ascii="Wingdings" w:hAnsi="Wingdings" w:hint="default"/>
      </w:rPr>
    </w:lvl>
  </w:abstractNum>
  <w:abstractNum w:abstractNumId="4">
    <w:nsid w:val="7ABB2249"/>
    <w:multiLevelType w:val="hybridMultilevel"/>
    <w:tmpl w:val="F79837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noPunctuationKerning/>
  <w:characterSpacingControl w:val="doNotCompress"/>
  <w:hdrShapeDefaults>
    <o:shapedefaults v:ext="edit" spidmax="2056"/>
    <o:shapelayout v:ext="edit">
      <o:idmap v:ext="edit" data="2"/>
    </o:shapelayout>
  </w:hdrShapeDefaults>
  <w:footnotePr>
    <w:footnote w:id="0"/>
    <w:footnote w:id="1"/>
  </w:footnotePr>
  <w:endnotePr>
    <w:endnote w:id="0"/>
    <w:endnote w:id="1"/>
  </w:endnotePr>
  <w:compat/>
  <w:rsids>
    <w:rsidRoot w:val="00D162FF"/>
    <w:rsid w:val="000764A6"/>
    <w:rsid w:val="00081B7C"/>
    <w:rsid w:val="0009349B"/>
    <w:rsid w:val="000A452D"/>
    <w:rsid w:val="000A70D7"/>
    <w:rsid w:val="000E1044"/>
    <w:rsid w:val="00104EA0"/>
    <w:rsid w:val="00111355"/>
    <w:rsid w:val="00113626"/>
    <w:rsid w:val="0011504C"/>
    <w:rsid w:val="001531AE"/>
    <w:rsid w:val="00164F83"/>
    <w:rsid w:val="00183E08"/>
    <w:rsid w:val="00195C84"/>
    <w:rsid w:val="001C44B5"/>
    <w:rsid w:val="001D17B0"/>
    <w:rsid w:val="001D5D51"/>
    <w:rsid w:val="001E0BE5"/>
    <w:rsid w:val="001E266E"/>
    <w:rsid w:val="002003B1"/>
    <w:rsid w:val="00201263"/>
    <w:rsid w:val="0021077B"/>
    <w:rsid w:val="00241264"/>
    <w:rsid w:val="00242B4C"/>
    <w:rsid w:val="00257055"/>
    <w:rsid w:val="00285327"/>
    <w:rsid w:val="002862C7"/>
    <w:rsid w:val="002A0C90"/>
    <w:rsid w:val="002A76B9"/>
    <w:rsid w:val="002B316F"/>
    <w:rsid w:val="002C21AD"/>
    <w:rsid w:val="002D3F19"/>
    <w:rsid w:val="002E7CD5"/>
    <w:rsid w:val="00301DD6"/>
    <w:rsid w:val="003109CA"/>
    <w:rsid w:val="00363106"/>
    <w:rsid w:val="00376616"/>
    <w:rsid w:val="0038271F"/>
    <w:rsid w:val="00385916"/>
    <w:rsid w:val="00396440"/>
    <w:rsid w:val="003A0EDF"/>
    <w:rsid w:val="003B2778"/>
    <w:rsid w:val="003C017B"/>
    <w:rsid w:val="003D16EF"/>
    <w:rsid w:val="003E4262"/>
    <w:rsid w:val="003F1DC3"/>
    <w:rsid w:val="003F2213"/>
    <w:rsid w:val="003F7F91"/>
    <w:rsid w:val="00406D9A"/>
    <w:rsid w:val="004120C6"/>
    <w:rsid w:val="0041579F"/>
    <w:rsid w:val="0042442C"/>
    <w:rsid w:val="00443F95"/>
    <w:rsid w:val="00445728"/>
    <w:rsid w:val="0045000E"/>
    <w:rsid w:val="0045589E"/>
    <w:rsid w:val="00460134"/>
    <w:rsid w:val="004637DF"/>
    <w:rsid w:val="00466EF4"/>
    <w:rsid w:val="00476589"/>
    <w:rsid w:val="00477CA1"/>
    <w:rsid w:val="004864C8"/>
    <w:rsid w:val="00487B80"/>
    <w:rsid w:val="004A3E0A"/>
    <w:rsid w:val="004A743F"/>
    <w:rsid w:val="004B30E1"/>
    <w:rsid w:val="004C0A93"/>
    <w:rsid w:val="004C7298"/>
    <w:rsid w:val="004D6D73"/>
    <w:rsid w:val="005104AA"/>
    <w:rsid w:val="00533E00"/>
    <w:rsid w:val="005365DE"/>
    <w:rsid w:val="00537594"/>
    <w:rsid w:val="00542285"/>
    <w:rsid w:val="00553795"/>
    <w:rsid w:val="005870F0"/>
    <w:rsid w:val="005A2328"/>
    <w:rsid w:val="005B42F8"/>
    <w:rsid w:val="005B7E5E"/>
    <w:rsid w:val="005D76BF"/>
    <w:rsid w:val="005E033C"/>
    <w:rsid w:val="005E2B87"/>
    <w:rsid w:val="005F12C6"/>
    <w:rsid w:val="00602D62"/>
    <w:rsid w:val="00610AFB"/>
    <w:rsid w:val="00623B4B"/>
    <w:rsid w:val="00642E81"/>
    <w:rsid w:val="0065280A"/>
    <w:rsid w:val="006613ED"/>
    <w:rsid w:val="006869E6"/>
    <w:rsid w:val="0069053D"/>
    <w:rsid w:val="006B720F"/>
    <w:rsid w:val="006C35E9"/>
    <w:rsid w:val="007060EF"/>
    <w:rsid w:val="00772B56"/>
    <w:rsid w:val="0080333D"/>
    <w:rsid w:val="008332C7"/>
    <w:rsid w:val="008336DC"/>
    <w:rsid w:val="008450CE"/>
    <w:rsid w:val="00854374"/>
    <w:rsid w:val="008557B1"/>
    <w:rsid w:val="008624D4"/>
    <w:rsid w:val="0088355C"/>
    <w:rsid w:val="008C487F"/>
    <w:rsid w:val="008D4968"/>
    <w:rsid w:val="008F684E"/>
    <w:rsid w:val="00912B70"/>
    <w:rsid w:val="00924049"/>
    <w:rsid w:val="0096005B"/>
    <w:rsid w:val="00977FD9"/>
    <w:rsid w:val="009842B4"/>
    <w:rsid w:val="00984B8A"/>
    <w:rsid w:val="00985250"/>
    <w:rsid w:val="009A0B5F"/>
    <w:rsid w:val="009A5FDA"/>
    <w:rsid w:val="009B2756"/>
    <w:rsid w:val="009B45A7"/>
    <w:rsid w:val="009B491D"/>
    <w:rsid w:val="009D3004"/>
    <w:rsid w:val="00A045C2"/>
    <w:rsid w:val="00A3368A"/>
    <w:rsid w:val="00A5526E"/>
    <w:rsid w:val="00AA52AD"/>
    <w:rsid w:val="00AA719E"/>
    <w:rsid w:val="00AB55B3"/>
    <w:rsid w:val="00AD3B3A"/>
    <w:rsid w:val="00AD7AC5"/>
    <w:rsid w:val="00AE2B17"/>
    <w:rsid w:val="00AE6843"/>
    <w:rsid w:val="00AF41DE"/>
    <w:rsid w:val="00B07860"/>
    <w:rsid w:val="00B43488"/>
    <w:rsid w:val="00B4542D"/>
    <w:rsid w:val="00B8598A"/>
    <w:rsid w:val="00B9264E"/>
    <w:rsid w:val="00B92D5A"/>
    <w:rsid w:val="00BF12EF"/>
    <w:rsid w:val="00BF1AE1"/>
    <w:rsid w:val="00BF6E84"/>
    <w:rsid w:val="00C0642C"/>
    <w:rsid w:val="00C32D75"/>
    <w:rsid w:val="00C56D36"/>
    <w:rsid w:val="00C61AB4"/>
    <w:rsid w:val="00C84494"/>
    <w:rsid w:val="00CC3406"/>
    <w:rsid w:val="00D0066A"/>
    <w:rsid w:val="00D162FF"/>
    <w:rsid w:val="00D24631"/>
    <w:rsid w:val="00D24AE8"/>
    <w:rsid w:val="00D36F1C"/>
    <w:rsid w:val="00D477F8"/>
    <w:rsid w:val="00D55F4A"/>
    <w:rsid w:val="00D65AEB"/>
    <w:rsid w:val="00D82231"/>
    <w:rsid w:val="00DC02DF"/>
    <w:rsid w:val="00DE562F"/>
    <w:rsid w:val="00DF33B9"/>
    <w:rsid w:val="00DF7B87"/>
    <w:rsid w:val="00E22A2A"/>
    <w:rsid w:val="00E374C1"/>
    <w:rsid w:val="00E51545"/>
    <w:rsid w:val="00E539A5"/>
    <w:rsid w:val="00E807E5"/>
    <w:rsid w:val="00E85000"/>
    <w:rsid w:val="00E935EF"/>
    <w:rsid w:val="00EA32B8"/>
    <w:rsid w:val="00ED28C4"/>
    <w:rsid w:val="00EF6AF8"/>
    <w:rsid w:val="00EF6B92"/>
    <w:rsid w:val="00F04728"/>
    <w:rsid w:val="00F6146C"/>
    <w:rsid w:val="00F675C6"/>
    <w:rsid w:val="00F94D6A"/>
    <w:rsid w:val="00FA2DE8"/>
    <w:rsid w:val="00FB39DC"/>
    <w:rsid w:val="00FE374B"/>
  </w:rsids>
  <m:mathPr>
    <m:mathFont m:val="Arial Black"/>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2AD"/>
    <w:rPr>
      <w:rFonts w:ascii="Times" w:hAnsi="Times"/>
      <w:sz w:val="24"/>
      <w:szCs w:val="20"/>
      <w:lang w:val="en-US"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rsid w:val="00AA52AD"/>
    <w:pPr>
      <w:tabs>
        <w:tab w:val="center" w:pos="4320"/>
        <w:tab w:val="right" w:pos="8640"/>
      </w:tabs>
    </w:pPr>
  </w:style>
  <w:style w:type="character" w:customStyle="1" w:styleId="HeaderChar">
    <w:name w:val="Header Char"/>
    <w:basedOn w:val="DefaultParagraphFont"/>
    <w:link w:val="Header"/>
    <w:uiPriority w:val="99"/>
    <w:semiHidden/>
    <w:locked/>
    <w:rsid w:val="004120C6"/>
    <w:rPr>
      <w:rFonts w:ascii="Times" w:hAnsi="Times" w:cs="Times New Roman"/>
      <w:sz w:val="20"/>
      <w:szCs w:val="20"/>
      <w:lang w:val="en-US" w:eastAsia="en-US"/>
    </w:rPr>
  </w:style>
  <w:style w:type="paragraph" w:styleId="Footer">
    <w:name w:val="footer"/>
    <w:basedOn w:val="Normal"/>
    <w:link w:val="FooterChar"/>
    <w:uiPriority w:val="99"/>
    <w:semiHidden/>
    <w:rsid w:val="00AA52AD"/>
    <w:pPr>
      <w:tabs>
        <w:tab w:val="center" w:pos="4320"/>
        <w:tab w:val="right" w:pos="8640"/>
      </w:tabs>
    </w:pPr>
  </w:style>
  <w:style w:type="character" w:customStyle="1" w:styleId="FooterChar">
    <w:name w:val="Footer Char"/>
    <w:basedOn w:val="DefaultParagraphFont"/>
    <w:link w:val="Footer"/>
    <w:uiPriority w:val="99"/>
    <w:semiHidden/>
    <w:locked/>
    <w:rsid w:val="004120C6"/>
    <w:rPr>
      <w:rFonts w:ascii="Times" w:hAnsi="Times" w:cs="Times New Roman"/>
      <w:sz w:val="20"/>
      <w:szCs w:val="20"/>
      <w:lang w:val="en-US" w:eastAsia="en-US"/>
    </w:rPr>
  </w:style>
  <w:style w:type="paragraph" w:customStyle="1" w:styleId="Abbott-BodyCopy">
    <w:name w:val="Abbott-Body Copy"/>
    <w:basedOn w:val="Header"/>
    <w:uiPriority w:val="99"/>
    <w:rsid w:val="00AA52AD"/>
    <w:pPr>
      <w:tabs>
        <w:tab w:val="clear" w:pos="4320"/>
        <w:tab w:val="clear" w:pos="8640"/>
      </w:tabs>
      <w:spacing w:line="320" w:lineRule="exact"/>
    </w:pPr>
    <w:rPr>
      <w:rFonts w:ascii="Arial" w:hAnsi="Arial"/>
      <w:sz w:val="22"/>
    </w:rPr>
  </w:style>
  <w:style w:type="paragraph" w:customStyle="1" w:styleId="Abbott-Title">
    <w:name w:val="Abbott-Title"/>
    <w:basedOn w:val="Normal"/>
    <w:uiPriority w:val="99"/>
    <w:rsid w:val="00AA52AD"/>
    <w:pPr>
      <w:spacing w:before="720" w:after="120"/>
    </w:pPr>
    <w:rPr>
      <w:rFonts w:ascii="Arial" w:hAnsi="Arial"/>
      <w:sz w:val="32"/>
    </w:rPr>
  </w:style>
  <w:style w:type="paragraph" w:customStyle="1" w:styleId="Abbott-Subtitle">
    <w:name w:val="Abbott-Subtitle"/>
    <w:basedOn w:val="Header"/>
    <w:uiPriority w:val="99"/>
    <w:rsid w:val="00AA52AD"/>
    <w:pPr>
      <w:spacing w:line="260" w:lineRule="exact"/>
    </w:pPr>
    <w:rPr>
      <w:rFonts w:ascii="Arial" w:hAnsi="Arial"/>
      <w:i/>
      <w:sz w:val="22"/>
    </w:rPr>
  </w:style>
  <w:style w:type="paragraph" w:customStyle="1" w:styleId="Abbott-Footer">
    <w:name w:val="Abbott-Footer"/>
    <w:basedOn w:val="Footer"/>
    <w:uiPriority w:val="99"/>
    <w:rsid w:val="00AA52AD"/>
    <w:pPr>
      <w:spacing w:line="200" w:lineRule="exact"/>
      <w:jc w:val="center"/>
    </w:pPr>
    <w:rPr>
      <w:rFonts w:ascii="Arial" w:hAnsi="Arial"/>
      <w:noProof/>
      <w:sz w:val="20"/>
    </w:rPr>
  </w:style>
  <w:style w:type="paragraph" w:customStyle="1" w:styleId="Abbott-Bullets">
    <w:name w:val="Abbott-Bullets"/>
    <w:basedOn w:val="Abbott-BodyCopy"/>
    <w:uiPriority w:val="99"/>
    <w:rsid w:val="00AA52AD"/>
    <w:pPr>
      <w:numPr>
        <w:numId w:val="1"/>
      </w:numPr>
    </w:pPr>
  </w:style>
  <w:style w:type="paragraph" w:customStyle="1" w:styleId="Topic">
    <w:name w:val="Topic"/>
    <w:basedOn w:val="Normal"/>
    <w:next w:val="Normal"/>
    <w:uiPriority w:val="99"/>
    <w:rsid w:val="00AA52AD"/>
    <w:pPr>
      <w:keepLines/>
      <w:overflowPunct w:val="0"/>
      <w:autoSpaceDE w:val="0"/>
      <w:autoSpaceDN w:val="0"/>
      <w:adjustRightInd w:val="0"/>
      <w:spacing w:before="240" w:after="240" w:line="360" w:lineRule="auto"/>
      <w:textAlignment w:val="baseline"/>
    </w:pPr>
    <w:rPr>
      <w:rFonts w:ascii="Times New Roman" w:hAnsi="Times New Roman"/>
      <w:b/>
      <w:bCs/>
      <w:sz w:val="26"/>
    </w:rPr>
  </w:style>
  <w:style w:type="paragraph" w:customStyle="1" w:styleId="Abbott-Header">
    <w:name w:val="Abbott-Header"/>
    <w:uiPriority w:val="99"/>
    <w:rsid w:val="00AA52AD"/>
    <w:rPr>
      <w:rFonts w:ascii="Arial" w:hAnsi="Arial"/>
      <w:b/>
      <w:bCs/>
      <w:sz w:val="24"/>
      <w:szCs w:val="20"/>
      <w:lang w:val="en-US" w:eastAsia="en-US"/>
    </w:rPr>
  </w:style>
  <w:style w:type="character" w:styleId="CommentReference">
    <w:name w:val="annotation reference"/>
    <w:basedOn w:val="DefaultParagraphFont"/>
    <w:uiPriority w:val="99"/>
    <w:semiHidden/>
    <w:rsid w:val="00AA52AD"/>
    <w:rPr>
      <w:rFonts w:cs="Times New Roman"/>
      <w:sz w:val="16"/>
    </w:rPr>
  </w:style>
  <w:style w:type="paragraph" w:styleId="CommentText">
    <w:name w:val="annotation text"/>
    <w:basedOn w:val="Normal"/>
    <w:link w:val="CommentTextChar"/>
    <w:uiPriority w:val="99"/>
    <w:semiHidden/>
    <w:rsid w:val="00AA52AD"/>
    <w:rPr>
      <w:sz w:val="20"/>
    </w:rPr>
  </w:style>
  <w:style w:type="character" w:customStyle="1" w:styleId="CommentTextChar">
    <w:name w:val="Comment Text Char"/>
    <w:basedOn w:val="DefaultParagraphFont"/>
    <w:link w:val="CommentText"/>
    <w:uiPriority w:val="99"/>
    <w:semiHidden/>
    <w:locked/>
    <w:rsid w:val="004120C6"/>
    <w:rPr>
      <w:rFonts w:ascii="Times" w:hAnsi="Times" w:cs="Times New Roman"/>
      <w:sz w:val="20"/>
      <w:szCs w:val="20"/>
      <w:lang w:val="en-US" w:eastAsia="en-US"/>
    </w:rPr>
  </w:style>
  <w:style w:type="paragraph" w:customStyle="1" w:styleId="Abbott-Contact">
    <w:name w:val="Abbott-Contact"/>
    <w:uiPriority w:val="99"/>
    <w:rsid w:val="00AA52AD"/>
    <w:pPr>
      <w:spacing w:line="220" w:lineRule="exact"/>
    </w:pPr>
    <w:rPr>
      <w:rFonts w:ascii="Arial" w:hAnsi="Arial"/>
      <w:sz w:val="18"/>
      <w:szCs w:val="20"/>
      <w:lang w:val="en-US" w:eastAsia="en-US"/>
    </w:rPr>
  </w:style>
  <w:style w:type="paragraph" w:styleId="BodyTextIndent">
    <w:name w:val="Body Text Indent"/>
    <w:basedOn w:val="Normal"/>
    <w:link w:val="BodyTextIndentChar"/>
    <w:uiPriority w:val="99"/>
    <w:semiHidden/>
    <w:rsid w:val="00AA52AD"/>
    <w:pPr>
      <w:overflowPunct w:val="0"/>
      <w:autoSpaceDE w:val="0"/>
      <w:autoSpaceDN w:val="0"/>
      <w:adjustRightInd w:val="0"/>
      <w:spacing w:line="360" w:lineRule="auto"/>
      <w:ind w:firstLine="432"/>
      <w:textAlignment w:val="baseline"/>
    </w:pPr>
    <w:rPr>
      <w:rFonts w:ascii="Times New Roman" w:hAnsi="Times New Roman"/>
      <w:color w:val="000000"/>
      <w:sz w:val="26"/>
      <w:szCs w:val="26"/>
    </w:rPr>
  </w:style>
  <w:style w:type="character" w:customStyle="1" w:styleId="BodyTextIndentChar">
    <w:name w:val="Body Text Indent Char"/>
    <w:basedOn w:val="DefaultParagraphFont"/>
    <w:link w:val="BodyTextIndent"/>
    <w:uiPriority w:val="99"/>
    <w:semiHidden/>
    <w:locked/>
    <w:rsid w:val="004120C6"/>
    <w:rPr>
      <w:rFonts w:ascii="Times" w:hAnsi="Times" w:cs="Times New Roman"/>
      <w:sz w:val="20"/>
      <w:szCs w:val="20"/>
      <w:lang w:val="en-US" w:eastAsia="en-US"/>
    </w:rPr>
  </w:style>
  <w:style w:type="paragraph" w:styleId="DocumentMap">
    <w:name w:val="Document Map"/>
    <w:basedOn w:val="Normal"/>
    <w:link w:val="DocumentMapChar"/>
    <w:uiPriority w:val="99"/>
    <w:semiHidden/>
    <w:rsid w:val="00AA52AD"/>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4120C6"/>
    <w:rPr>
      <w:rFonts w:cs="Times New Roman"/>
      <w:sz w:val="2"/>
      <w:lang w:val="en-US" w:eastAsia="en-US"/>
    </w:rPr>
  </w:style>
  <w:style w:type="paragraph" w:styleId="CommentSubject">
    <w:name w:val="annotation subject"/>
    <w:basedOn w:val="CommentText"/>
    <w:next w:val="CommentText"/>
    <w:link w:val="CommentSubjectChar"/>
    <w:uiPriority w:val="99"/>
    <w:semiHidden/>
    <w:rsid w:val="00AA52AD"/>
    <w:rPr>
      <w:b/>
      <w:bCs/>
    </w:rPr>
  </w:style>
  <w:style w:type="character" w:customStyle="1" w:styleId="CommentSubjectChar">
    <w:name w:val="Comment Subject Char"/>
    <w:basedOn w:val="CommentTextChar"/>
    <w:link w:val="CommentSubject"/>
    <w:uiPriority w:val="99"/>
    <w:semiHidden/>
    <w:locked/>
    <w:rsid w:val="004120C6"/>
    <w:rPr>
      <w:b/>
      <w:bCs/>
    </w:rPr>
  </w:style>
  <w:style w:type="paragraph" w:styleId="BalloonText">
    <w:name w:val="Balloon Text"/>
    <w:basedOn w:val="Normal"/>
    <w:link w:val="BalloonTextChar"/>
    <w:uiPriority w:val="99"/>
    <w:semiHidden/>
    <w:rsid w:val="00AA52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20C6"/>
    <w:rPr>
      <w:rFonts w:cs="Times New Roman"/>
      <w:sz w:val="2"/>
      <w:lang w:val="en-US" w:eastAsia="en-US"/>
    </w:rPr>
  </w:style>
  <w:style w:type="character" w:styleId="Hyperlink">
    <w:name w:val="Hyperlink"/>
    <w:basedOn w:val="DefaultParagraphFont"/>
    <w:uiPriority w:val="99"/>
    <w:semiHidden/>
    <w:rsid w:val="00AA52AD"/>
    <w:rPr>
      <w:rFonts w:cs="Times New Roman"/>
      <w:color w:val="0000FF"/>
      <w:u w:val="single"/>
    </w:rPr>
  </w:style>
  <w:style w:type="paragraph" w:customStyle="1" w:styleId="ContactU">
    <w:name w:val="ContactU"/>
    <w:basedOn w:val="Normal"/>
    <w:uiPriority w:val="99"/>
    <w:rsid w:val="00AA52AD"/>
    <w:pPr>
      <w:overflowPunct w:val="0"/>
      <w:autoSpaceDE w:val="0"/>
      <w:autoSpaceDN w:val="0"/>
      <w:adjustRightInd w:val="0"/>
      <w:ind w:left="5760"/>
      <w:textAlignment w:val="baseline"/>
    </w:pPr>
    <w:rPr>
      <w:rFonts w:ascii="Times New Roman" w:hAnsi="Times New Roman"/>
      <w:sz w:val="26"/>
      <w:u w:val="single"/>
    </w:rPr>
  </w:style>
  <w:style w:type="paragraph" w:customStyle="1" w:styleId="Contact">
    <w:name w:val="Contact"/>
    <w:basedOn w:val="Normal"/>
    <w:uiPriority w:val="99"/>
    <w:rsid w:val="00AA52AD"/>
    <w:pPr>
      <w:overflowPunct w:val="0"/>
      <w:autoSpaceDE w:val="0"/>
      <w:autoSpaceDN w:val="0"/>
      <w:adjustRightInd w:val="0"/>
      <w:ind w:left="5760"/>
      <w:textAlignment w:val="baseline"/>
    </w:pPr>
    <w:rPr>
      <w:rFonts w:ascii="Times New Roman" w:hAnsi="Times New Roman"/>
      <w:sz w:val="26"/>
    </w:rPr>
  </w:style>
  <w:style w:type="paragraph" w:styleId="Title">
    <w:name w:val="Title"/>
    <w:basedOn w:val="Normal"/>
    <w:next w:val="Normal"/>
    <w:link w:val="TitleChar"/>
    <w:uiPriority w:val="99"/>
    <w:qFormat/>
    <w:rsid w:val="00AA52AD"/>
    <w:pPr>
      <w:keepNext/>
      <w:keepLines/>
      <w:overflowPunct w:val="0"/>
      <w:autoSpaceDE w:val="0"/>
      <w:autoSpaceDN w:val="0"/>
      <w:adjustRightInd w:val="0"/>
      <w:spacing w:before="240" w:after="240"/>
      <w:textAlignment w:val="baseline"/>
    </w:pPr>
    <w:rPr>
      <w:rFonts w:ascii="Times New Roman" w:hAnsi="Times New Roman"/>
      <w:b/>
      <w:caps/>
      <w:sz w:val="30"/>
      <w:u w:val="single"/>
    </w:rPr>
  </w:style>
  <w:style w:type="character" w:customStyle="1" w:styleId="TitleChar">
    <w:name w:val="Title Char"/>
    <w:basedOn w:val="DefaultParagraphFont"/>
    <w:link w:val="Title"/>
    <w:uiPriority w:val="99"/>
    <w:locked/>
    <w:rsid w:val="004120C6"/>
    <w:rPr>
      <w:rFonts w:ascii="Cambria" w:hAnsi="Cambria" w:cs="Times New Roman"/>
      <w:b/>
      <w:bCs/>
      <w:kern w:val="28"/>
      <w:sz w:val="32"/>
      <w:szCs w:val="32"/>
      <w:lang w:val="en-US" w:eastAsia="en-US"/>
    </w:rPr>
  </w:style>
  <w:style w:type="paragraph" w:styleId="BlockText">
    <w:name w:val="Block Text"/>
    <w:basedOn w:val="Normal"/>
    <w:uiPriority w:val="99"/>
    <w:semiHidden/>
    <w:rsid w:val="00AA52AD"/>
    <w:pPr>
      <w:overflowPunct w:val="0"/>
      <w:autoSpaceDE w:val="0"/>
      <w:autoSpaceDN w:val="0"/>
      <w:adjustRightInd w:val="0"/>
      <w:ind w:left="360" w:right="-360"/>
      <w:jc w:val="center"/>
      <w:textAlignment w:val="baseline"/>
    </w:pPr>
    <w:rPr>
      <w:rFonts w:ascii="Times New Roman" w:hAnsi="Times New Roman"/>
      <w:i/>
      <w:sz w:val="26"/>
      <w:szCs w:val="26"/>
    </w:rPr>
  </w:style>
  <w:style w:type="paragraph" w:customStyle="1" w:styleId="EMEANormal">
    <w:name w:val="EMEA Normal"/>
    <w:uiPriority w:val="99"/>
    <w:rsid w:val="00AA52AD"/>
    <w:pPr>
      <w:tabs>
        <w:tab w:val="left" w:pos="562"/>
      </w:tabs>
      <w:suppressAutoHyphens/>
    </w:pPr>
    <w:rPr>
      <w:szCs w:val="20"/>
      <w:lang w:val="en-US" w:eastAsia="en-US"/>
    </w:rPr>
  </w:style>
  <w:style w:type="paragraph" w:customStyle="1" w:styleId="TableText">
    <w:name w:val="Table Text"/>
    <w:uiPriority w:val="99"/>
    <w:rsid w:val="00AA52AD"/>
    <w:pPr>
      <w:keepNext/>
      <w:keepLines/>
      <w:tabs>
        <w:tab w:val="left" w:pos="360"/>
      </w:tabs>
      <w:suppressAutoHyphens/>
      <w:spacing w:before="40" w:after="40" w:line="240" w:lineRule="exact"/>
    </w:pPr>
    <w:rPr>
      <w:sz w:val="20"/>
      <w:szCs w:val="20"/>
      <w:lang w:val="en-US" w:eastAsia="en-US"/>
    </w:rPr>
  </w:style>
  <w:style w:type="paragraph" w:styleId="FootnoteText">
    <w:name w:val="footnote text"/>
    <w:basedOn w:val="Normal"/>
    <w:link w:val="FootnoteTextChar"/>
    <w:uiPriority w:val="99"/>
    <w:semiHidden/>
    <w:rsid w:val="00AA52AD"/>
    <w:rPr>
      <w:sz w:val="20"/>
    </w:rPr>
  </w:style>
  <w:style w:type="character" w:customStyle="1" w:styleId="FootnoteTextChar">
    <w:name w:val="Footnote Text Char"/>
    <w:basedOn w:val="DefaultParagraphFont"/>
    <w:link w:val="FootnoteText"/>
    <w:uiPriority w:val="99"/>
    <w:semiHidden/>
    <w:locked/>
    <w:rsid w:val="004120C6"/>
    <w:rPr>
      <w:rFonts w:ascii="Times" w:hAnsi="Times" w:cs="Times New Roman"/>
      <w:sz w:val="20"/>
      <w:szCs w:val="20"/>
      <w:lang w:val="en-US" w:eastAsia="en-US"/>
    </w:rPr>
  </w:style>
  <w:style w:type="character" w:styleId="FootnoteReference">
    <w:name w:val="footnote reference"/>
    <w:basedOn w:val="DefaultParagraphFont"/>
    <w:uiPriority w:val="99"/>
    <w:semiHidden/>
    <w:rsid w:val="00AA52AD"/>
    <w:rPr>
      <w:rFonts w:cs="Times New Roman"/>
      <w:vertAlign w:val="superscript"/>
    </w:rPr>
  </w:style>
  <w:style w:type="paragraph" w:styleId="BodyText">
    <w:name w:val="Body Text"/>
    <w:basedOn w:val="Normal"/>
    <w:link w:val="BodyTextChar"/>
    <w:uiPriority w:val="99"/>
    <w:semiHidden/>
    <w:rsid w:val="00AA52AD"/>
    <w:pPr>
      <w:spacing w:after="120"/>
    </w:pPr>
  </w:style>
  <w:style w:type="character" w:customStyle="1" w:styleId="BodyTextChar">
    <w:name w:val="Body Text Char"/>
    <w:basedOn w:val="DefaultParagraphFont"/>
    <w:link w:val="BodyText"/>
    <w:uiPriority w:val="99"/>
    <w:semiHidden/>
    <w:locked/>
    <w:rsid w:val="004120C6"/>
    <w:rPr>
      <w:rFonts w:ascii="Times" w:hAnsi="Times" w:cs="Times New Roman"/>
      <w:sz w:val="20"/>
      <w:szCs w:val="20"/>
      <w:lang w:val="en-US" w:eastAsia="en-US"/>
    </w:rPr>
  </w:style>
  <w:style w:type="character" w:styleId="Emphasis">
    <w:name w:val="Emphasis"/>
    <w:basedOn w:val="DefaultParagraphFont"/>
    <w:uiPriority w:val="99"/>
    <w:qFormat/>
    <w:rsid w:val="00AA52AD"/>
    <w:rPr>
      <w:rFonts w:cs="Times New Roman"/>
      <w:i/>
    </w:rPr>
  </w:style>
  <w:style w:type="paragraph" w:customStyle="1" w:styleId="Ballongtext1">
    <w:name w:val="Ballongtext1"/>
    <w:basedOn w:val="Normal"/>
    <w:uiPriority w:val="99"/>
    <w:semiHidden/>
    <w:rsid w:val="00AA52AD"/>
    <w:rPr>
      <w:rFonts w:ascii="Tahoma" w:hAnsi="Tahoma" w:cs="Tahoma"/>
      <w:sz w:val="16"/>
      <w:szCs w:val="16"/>
    </w:rPr>
  </w:style>
  <w:style w:type="paragraph" w:styleId="BodyText2">
    <w:name w:val="Body Text 2"/>
    <w:basedOn w:val="Normal"/>
    <w:link w:val="BodyText2Char"/>
    <w:uiPriority w:val="99"/>
    <w:semiHidden/>
    <w:rsid w:val="00AA52AD"/>
    <w:pPr>
      <w:spacing w:line="360" w:lineRule="auto"/>
    </w:pPr>
    <w:rPr>
      <w:rFonts w:ascii="Arial" w:hAnsi="Arial" w:cs="Arial"/>
      <w:b/>
      <w:bCs/>
      <w:color w:val="000000"/>
      <w:sz w:val="22"/>
      <w:szCs w:val="22"/>
      <w:lang w:val="sv-SE"/>
    </w:rPr>
  </w:style>
  <w:style w:type="character" w:customStyle="1" w:styleId="BodyText2Char">
    <w:name w:val="Body Text 2 Char"/>
    <w:basedOn w:val="DefaultParagraphFont"/>
    <w:link w:val="BodyText2"/>
    <w:uiPriority w:val="99"/>
    <w:semiHidden/>
    <w:locked/>
    <w:rsid w:val="004120C6"/>
    <w:rPr>
      <w:rFonts w:ascii="Times" w:hAnsi="Times" w:cs="Times New Roman"/>
      <w:sz w:val="20"/>
      <w:szCs w:val="20"/>
      <w:lang w:val="en-US" w:eastAsia="en-US"/>
    </w:rPr>
  </w:style>
  <w:style w:type="character" w:customStyle="1" w:styleId="SidhuvudChar">
    <w:name w:val="Sidhuvud Char"/>
    <w:uiPriority w:val="99"/>
    <w:rsid w:val="00AA52AD"/>
    <w:rPr>
      <w:rFonts w:ascii="Times" w:hAnsi="Times"/>
      <w:sz w:val="24"/>
      <w:lang w:val="en-US" w:eastAsia="en-US"/>
    </w:rPr>
  </w:style>
  <w:style w:type="character" w:customStyle="1" w:styleId="Abbott-BodyCopyChar">
    <w:name w:val="Abbott-Body Copy Char"/>
    <w:uiPriority w:val="99"/>
    <w:rsid w:val="00AA52AD"/>
    <w:rPr>
      <w:rFonts w:ascii="Arial" w:hAnsi="Arial"/>
      <w:sz w:val="22"/>
      <w:lang w:val="en-US" w:eastAsia="en-US"/>
    </w:rPr>
  </w:style>
  <w:style w:type="paragraph" w:customStyle="1" w:styleId="Default">
    <w:name w:val="Default"/>
    <w:uiPriority w:val="99"/>
    <w:rsid w:val="00E85000"/>
    <w:pPr>
      <w:autoSpaceDE w:val="0"/>
      <w:autoSpaceDN w:val="0"/>
      <w:adjustRightInd w:val="0"/>
    </w:pPr>
    <w:rPr>
      <w:rFonts w:ascii="Arial" w:hAnsi="Arial" w:cs="Arial"/>
      <w:color w:val="000000"/>
      <w:sz w:val="24"/>
      <w:szCs w:val="24"/>
      <w:lang w:val="en-US"/>
    </w:rPr>
  </w:style>
  <w:style w:type="character" w:customStyle="1" w:styleId="tw4winMark">
    <w:name w:val="tw4winMark"/>
    <w:uiPriority w:val="99"/>
    <w:rsid w:val="00E85000"/>
    <w:rPr>
      <w:rFonts w:ascii="Courier New" w:hAnsi="Courier New"/>
      <w:vanish/>
      <w:color w:val="800080"/>
      <w:vertAlign w:val="subscript"/>
    </w:rPr>
  </w:style>
  <w:style w:type="paragraph" w:styleId="EndnoteText">
    <w:name w:val="endnote text"/>
    <w:basedOn w:val="Normal"/>
    <w:link w:val="EndnoteTextChar"/>
    <w:uiPriority w:val="99"/>
    <w:semiHidden/>
    <w:rsid w:val="00385916"/>
    <w:rPr>
      <w:sz w:val="20"/>
    </w:rPr>
  </w:style>
  <w:style w:type="character" w:customStyle="1" w:styleId="EndnoteTextChar">
    <w:name w:val="Endnote Text Char"/>
    <w:basedOn w:val="DefaultParagraphFont"/>
    <w:link w:val="EndnoteText"/>
    <w:uiPriority w:val="99"/>
    <w:semiHidden/>
    <w:locked/>
    <w:rsid w:val="00385916"/>
    <w:rPr>
      <w:rFonts w:ascii="Times" w:hAnsi="Times" w:cs="Times New Roman"/>
      <w:sz w:val="20"/>
      <w:szCs w:val="20"/>
    </w:rPr>
  </w:style>
  <w:style w:type="character" w:styleId="EndnoteReference">
    <w:name w:val="endnote reference"/>
    <w:basedOn w:val="DefaultParagraphFont"/>
    <w:uiPriority w:val="99"/>
    <w:semiHidden/>
    <w:rsid w:val="00385916"/>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127312633">
      <w:marLeft w:val="0"/>
      <w:marRight w:val="0"/>
      <w:marTop w:val="0"/>
      <w:marBottom w:val="0"/>
      <w:divBdr>
        <w:top w:val="none" w:sz="0" w:space="0" w:color="auto"/>
        <w:left w:val="none" w:sz="0" w:space="0" w:color="auto"/>
        <w:bottom w:val="none" w:sz="0" w:space="0" w:color="auto"/>
        <w:right w:val="none" w:sz="0" w:space="0" w:color="auto"/>
      </w:divBdr>
      <w:divsChild>
        <w:div w:id="2127312635">
          <w:marLeft w:val="0"/>
          <w:marRight w:val="0"/>
          <w:marTop w:val="0"/>
          <w:marBottom w:val="0"/>
          <w:divBdr>
            <w:top w:val="none" w:sz="0" w:space="0" w:color="auto"/>
            <w:left w:val="none" w:sz="0" w:space="0" w:color="auto"/>
            <w:bottom w:val="none" w:sz="0" w:space="0" w:color="auto"/>
            <w:right w:val="none" w:sz="0" w:space="0" w:color="auto"/>
          </w:divBdr>
          <w:divsChild>
            <w:div w:id="2127312634">
              <w:marLeft w:val="0"/>
              <w:marRight w:val="0"/>
              <w:marTop w:val="0"/>
              <w:marBottom w:val="0"/>
              <w:divBdr>
                <w:top w:val="none" w:sz="0" w:space="0" w:color="auto"/>
                <w:left w:val="none" w:sz="0" w:space="0" w:color="auto"/>
                <w:bottom w:val="none" w:sz="0" w:space="0" w:color="auto"/>
                <w:right w:val="none" w:sz="0" w:space="0" w:color="auto"/>
              </w:divBdr>
              <w:divsChild>
                <w:div w:id="21273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12641">
      <w:marLeft w:val="0"/>
      <w:marRight w:val="0"/>
      <w:marTop w:val="0"/>
      <w:marBottom w:val="0"/>
      <w:divBdr>
        <w:top w:val="none" w:sz="0" w:space="0" w:color="auto"/>
        <w:left w:val="none" w:sz="0" w:space="0" w:color="auto"/>
        <w:bottom w:val="none" w:sz="0" w:space="0" w:color="auto"/>
        <w:right w:val="none" w:sz="0" w:space="0" w:color="auto"/>
      </w:divBdr>
      <w:divsChild>
        <w:div w:id="2127312645">
          <w:marLeft w:val="0"/>
          <w:marRight w:val="0"/>
          <w:marTop w:val="0"/>
          <w:marBottom w:val="0"/>
          <w:divBdr>
            <w:top w:val="none" w:sz="0" w:space="0" w:color="auto"/>
            <w:left w:val="none" w:sz="0" w:space="0" w:color="auto"/>
            <w:bottom w:val="none" w:sz="0" w:space="0" w:color="auto"/>
            <w:right w:val="none" w:sz="0" w:space="0" w:color="auto"/>
          </w:divBdr>
          <w:divsChild>
            <w:div w:id="2127312644">
              <w:marLeft w:val="0"/>
              <w:marRight w:val="0"/>
              <w:marTop w:val="0"/>
              <w:marBottom w:val="0"/>
              <w:divBdr>
                <w:top w:val="none" w:sz="0" w:space="0" w:color="auto"/>
                <w:left w:val="none" w:sz="0" w:space="0" w:color="auto"/>
                <w:bottom w:val="none" w:sz="0" w:space="0" w:color="auto"/>
                <w:right w:val="none" w:sz="0" w:space="0" w:color="auto"/>
              </w:divBdr>
              <w:divsChild>
                <w:div w:id="2127312643">
                  <w:marLeft w:val="0"/>
                  <w:marRight w:val="0"/>
                  <w:marTop w:val="0"/>
                  <w:marBottom w:val="0"/>
                  <w:divBdr>
                    <w:top w:val="none" w:sz="0" w:space="0" w:color="auto"/>
                    <w:left w:val="none" w:sz="0" w:space="0" w:color="auto"/>
                    <w:bottom w:val="none" w:sz="0" w:space="0" w:color="auto"/>
                    <w:right w:val="none" w:sz="0" w:space="0" w:color="auto"/>
                  </w:divBdr>
                  <w:divsChild>
                    <w:div w:id="2127312637">
                      <w:marLeft w:val="0"/>
                      <w:marRight w:val="0"/>
                      <w:marTop w:val="0"/>
                      <w:marBottom w:val="0"/>
                      <w:divBdr>
                        <w:top w:val="none" w:sz="0" w:space="0" w:color="auto"/>
                        <w:left w:val="none" w:sz="0" w:space="0" w:color="auto"/>
                        <w:bottom w:val="none" w:sz="0" w:space="0" w:color="auto"/>
                        <w:right w:val="none" w:sz="0" w:space="0" w:color="auto"/>
                      </w:divBdr>
                      <w:divsChild>
                        <w:div w:id="2127312646">
                          <w:marLeft w:val="0"/>
                          <w:marRight w:val="0"/>
                          <w:marTop w:val="0"/>
                          <w:marBottom w:val="0"/>
                          <w:divBdr>
                            <w:top w:val="none" w:sz="0" w:space="0" w:color="auto"/>
                            <w:left w:val="none" w:sz="0" w:space="0" w:color="auto"/>
                            <w:bottom w:val="none" w:sz="0" w:space="0" w:color="auto"/>
                            <w:right w:val="none" w:sz="0" w:space="0" w:color="auto"/>
                          </w:divBdr>
                          <w:divsChild>
                            <w:div w:id="2127312636">
                              <w:marLeft w:val="0"/>
                              <w:marRight w:val="0"/>
                              <w:marTop w:val="0"/>
                              <w:marBottom w:val="0"/>
                              <w:divBdr>
                                <w:top w:val="none" w:sz="0" w:space="0" w:color="auto"/>
                                <w:left w:val="none" w:sz="0" w:space="0" w:color="auto"/>
                                <w:bottom w:val="none" w:sz="0" w:space="0" w:color="auto"/>
                                <w:right w:val="none" w:sz="0" w:space="0" w:color="auto"/>
                              </w:divBdr>
                              <w:divsChild>
                                <w:div w:id="2127312640">
                                  <w:marLeft w:val="0"/>
                                  <w:marRight w:val="0"/>
                                  <w:marTop w:val="0"/>
                                  <w:marBottom w:val="0"/>
                                  <w:divBdr>
                                    <w:top w:val="none" w:sz="0" w:space="0" w:color="auto"/>
                                    <w:left w:val="none" w:sz="0" w:space="0" w:color="auto"/>
                                    <w:bottom w:val="none" w:sz="0" w:space="0" w:color="auto"/>
                                    <w:right w:val="none" w:sz="0" w:space="0" w:color="auto"/>
                                  </w:divBdr>
                                  <w:divsChild>
                                    <w:div w:id="2127312638">
                                      <w:marLeft w:val="0"/>
                                      <w:marRight w:val="0"/>
                                      <w:marTop w:val="0"/>
                                      <w:marBottom w:val="0"/>
                                      <w:divBdr>
                                        <w:top w:val="single" w:sz="6" w:space="0" w:color="F5F5F5"/>
                                        <w:left w:val="single" w:sz="6" w:space="0" w:color="F5F5F5"/>
                                        <w:bottom w:val="single" w:sz="6" w:space="0" w:color="F5F5F5"/>
                                        <w:right w:val="single" w:sz="6" w:space="0" w:color="F5F5F5"/>
                                      </w:divBdr>
                                      <w:divsChild>
                                        <w:div w:id="2127312639">
                                          <w:marLeft w:val="0"/>
                                          <w:marRight w:val="0"/>
                                          <w:marTop w:val="0"/>
                                          <w:marBottom w:val="0"/>
                                          <w:divBdr>
                                            <w:top w:val="none" w:sz="0" w:space="0" w:color="auto"/>
                                            <w:left w:val="none" w:sz="0" w:space="0" w:color="auto"/>
                                            <w:bottom w:val="none" w:sz="0" w:space="0" w:color="auto"/>
                                            <w:right w:val="none" w:sz="0" w:space="0" w:color="auto"/>
                                          </w:divBdr>
                                          <w:divsChild>
                                            <w:div w:id="21273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abbott.com" TargetMode="External"/><Relationship Id="rId8" Type="http://schemas.openxmlformats.org/officeDocument/2006/relationships/hyperlink" Target="http://www.abbott.s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843</Words>
  <Characters>4807</Characters>
  <Application>Microsoft Word 12.0.0</Application>
  <DocSecurity>0</DocSecurity>
  <Lines>40</Lines>
  <Paragraphs>9</Paragraphs>
  <ScaleCrop>false</ScaleCrop>
  <Company>Abbott Sverige</Company>
  <LinksUpToDate>false</LinksUpToDate>
  <CharactersWithSpaces>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Svensk Pressrelease mall</dc:title>
  <dc:subject/>
  <dc:creator>CD</dc:creator>
  <cp:keywords/>
  <dc:description/>
  <cp:lastModifiedBy>Magnus Åkesson</cp:lastModifiedBy>
  <cp:revision>2</cp:revision>
  <cp:lastPrinted>2012-06-01T11:13:00Z</cp:lastPrinted>
  <dcterms:created xsi:type="dcterms:W3CDTF">2012-06-08T07:50:00Z</dcterms:created>
  <dcterms:modified xsi:type="dcterms:W3CDTF">2012-06-08T07:50:00Z</dcterms:modified>
</cp:coreProperties>
</file>