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E286" w14:textId="311FDA21" w:rsidR="00B10EE3" w:rsidRPr="00B10EE3" w:rsidRDefault="00863FB5" w:rsidP="00A83154">
      <w:pPr>
        <w:rPr>
          <w:b/>
          <w:sz w:val="24"/>
          <w:szCs w:val="44"/>
          <w:u w:val="single"/>
          <w:lang w:val="en-US"/>
        </w:rPr>
      </w:pPr>
      <w:r>
        <w:rPr>
          <w:b/>
          <w:sz w:val="24"/>
          <w:szCs w:val="44"/>
          <w:highlight w:val="yellow"/>
          <w:u w:val="single"/>
          <w:lang w:val="en-US"/>
        </w:rPr>
        <w:t>THIS PRESS RELEASE IS UNDER E</w:t>
      </w:r>
      <w:r w:rsidR="00B10EE3" w:rsidRPr="00B10EE3">
        <w:rPr>
          <w:b/>
          <w:sz w:val="24"/>
          <w:szCs w:val="44"/>
          <w:highlight w:val="yellow"/>
          <w:u w:val="single"/>
          <w:lang w:val="en-US"/>
        </w:rPr>
        <w:t>MBARGO</w:t>
      </w:r>
      <w:r>
        <w:rPr>
          <w:b/>
          <w:sz w:val="24"/>
          <w:szCs w:val="44"/>
          <w:highlight w:val="yellow"/>
          <w:u w:val="single"/>
          <w:lang w:val="en-US"/>
        </w:rPr>
        <w:t xml:space="preserve"> UNTIL MONDAY 9 DECEMBER AT 11.00AM CET. </w:t>
      </w:r>
    </w:p>
    <w:p w14:paraId="0F92B4A3" w14:textId="68501DA2" w:rsidR="00762CD1" w:rsidRDefault="00863FB5" w:rsidP="00863FB5">
      <w:pPr>
        <w:jc w:val="both"/>
        <w:rPr>
          <w:b/>
          <w:sz w:val="36"/>
        </w:rPr>
      </w:pPr>
      <w:r w:rsidRPr="00863FB5">
        <w:rPr>
          <w:b/>
          <w:sz w:val="36"/>
        </w:rPr>
        <w:t>European industries lead new Graphene Flagship projects to shape EU’s environmental future</w:t>
      </w:r>
      <w:r>
        <w:rPr>
          <w:b/>
          <w:sz w:val="36"/>
        </w:rPr>
        <w:t xml:space="preserve"> </w:t>
      </w:r>
    </w:p>
    <w:p w14:paraId="0C2D1302" w14:textId="77777777" w:rsidR="00E8265C" w:rsidRPr="00E8265C" w:rsidRDefault="00E8265C" w:rsidP="00E8265C">
      <w:pPr>
        <w:pStyle w:val="ListParagraph"/>
        <w:numPr>
          <w:ilvl w:val="0"/>
          <w:numId w:val="5"/>
        </w:numPr>
        <w:ind w:left="567" w:hanging="283"/>
        <w:jc w:val="both"/>
        <w:rPr>
          <w:b/>
          <w:sz w:val="28"/>
          <w:szCs w:val="18"/>
        </w:rPr>
      </w:pPr>
      <w:r w:rsidRPr="00E8265C">
        <w:rPr>
          <w:b/>
          <w:sz w:val="28"/>
          <w:szCs w:val="18"/>
        </w:rPr>
        <w:t>The Graphene Flagship and leading European industries will co-fund a total of 92 million EUR to catalyse the commercialisation of graphene-enabled products.</w:t>
      </w:r>
    </w:p>
    <w:p w14:paraId="3D12BBEF" w14:textId="096A9E28" w:rsidR="00863FB5" w:rsidRPr="00E8265C" w:rsidRDefault="00863FB5" w:rsidP="00E8265C">
      <w:pPr>
        <w:pStyle w:val="ListParagraph"/>
        <w:numPr>
          <w:ilvl w:val="0"/>
          <w:numId w:val="5"/>
        </w:numPr>
        <w:ind w:left="567" w:hanging="283"/>
        <w:jc w:val="both"/>
        <w:rPr>
          <w:b/>
          <w:sz w:val="28"/>
          <w:szCs w:val="18"/>
        </w:rPr>
      </w:pPr>
      <w:r w:rsidRPr="00E8265C">
        <w:rPr>
          <w:b/>
          <w:sz w:val="28"/>
          <w:szCs w:val="18"/>
        </w:rPr>
        <w:t>The</w:t>
      </w:r>
      <w:r w:rsidR="00E8265C" w:rsidRPr="00E8265C">
        <w:rPr>
          <w:b/>
          <w:sz w:val="28"/>
          <w:szCs w:val="18"/>
        </w:rPr>
        <w:t xml:space="preserve"> eleven</w:t>
      </w:r>
      <w:r w:rsidRPr="00E8265C">
        <w:rPr>
          <w:b/>
          <w:sz w:val="28"/>
          <w:szCs w:val="18"/>
        </w:rPr>
        <w:t xml:space="preserve"> projects will be presented during a press conference at </w:t>
      </w:r>
      <w:r w:rsidR="00E8265C" w:rsidRPr="00E8265C">
        <w:rPr>
          <w:b/>
          <w:sz w:val="28"/>
          <w:szCs w:val="18"/>
        </w:rPr>
        <w:t>hotel</w:t>
      </w:r>
      <w:r w:rsidR="00E8265C">
        <w:rPr>
          <w:b/>
          <w:sz w:val="28"/>
          <w:szCs w:val="18"/>
        </w:rPr>
        <w:t xml:space="preserve"> </w:t>
      </w:r>
      <w:hyperlink r:id="rId7" w:history="1">
        <w:r w:rsidRPr="00E8265C">
          <w:rPr>
            <w:rStyle w:val="Hyperlink"/>
            <w:b/>
            <w:sz w:val="28"/>
            <w:szCs w:val="18"/>
          </w:rPr>
          <w:t>NH Brussels EU Berlaymont</w:t>
        </w:r>
      </w:hyperlink>
      <w:r w:rsidRPr="00E8265C">
        <w:rPr>
          <w:b/>
          <w:sz w:val="28"/>
          <w:szCs w:val="18"/>
        </w:rPr>
        <w:t xml:space="preserve"> on Monday 9 December 2019</w:t>
      </w:r>
      <w:r w:rsidR="008C3309">
        <w:rPr>
          <w:b/>
          <w:sz w:val="28"/>
          <w:szCs w:val="18"/>
        </w:rPr>
        <w:t xml:space="preserve"> at</w:t>
      </w:r>
      <w:r w:rsidRPr="00E8265C">
        <w:rPr>
          <w:b/>
          <w:sz w:val="28"/>
          <w:szCs w:val="18"/>
        </w:rPr>
        <w:t xml:space="preserve"> 11.00am CET.</w:t>
      </w:r>
    </w:p>
    <w:p w14:paraId="3AD833B7" w14:textId="77777777" w:rsidR="00E8265C" w:rsidRDefault="3C68A85D" w:rsidP="00863FB5">
      <w:pPr>
        <w:jc w:val="both"/>
      </w:pPr>
      <w:r>
        <w:t>The Graphene Flagship has announced the launch of eleven new “Spearhead Projects”, each developed to take graphene-enabled prototypes to commercial applications. The success of the first Spearhead Projects</w:t>
      </w:r>
      <w:r w:rsidR="00CF4E82">
        <w:t>,</w:t>
      </w:r>
      <w:r>
        <w:t xml:space="preserve"> launched in 2018 — which included the world’s first graphene-enabled solar farm — inspired the Graphene Flagship to keep investing in these initiatives, aiming to take graphene-enabled products from the lab to end-users. </w:t>
      </w:r>
    </w:p>
    <w:p w14:paraId="45A7E621" w14:textId="5000CE92" w:rsidR="00863FB5" w:rsidRDefault="3C68A85D" w:rsidP="00863FB5">
      <w:pPr>
        <w:jc w:val="both"/>
      </w:pPr>
      <w:r>
        <w:t xml:space="preserve">Now, the Graphene Flagship </w:t>
      </w:r>
      <w:r w:rsidR="0000020F">
        <w:t xml:space="preserve">has </w:t>
      </w:r>
      <w:r>
        <w:t>committed €45 million to invest in eleven commercialisation projects led by key industrial partners in Europe</w:t>
      </w:r>
      <w:r w:rsidR="00E8265C" w:rsidRPr="00E8265C">
        <w:t xml:space="preserve"> </w:t>
      </w:r>
      <w:r w:rsidR="00E8265C">
        <w:t xml:space="preserve">such as </w:t>
      </w:r>
      <w:r w:rsidR="00E8265C" w:rsidRPr="3C68A85D">
        <w:rPr>
          <w:b/>
          <w:bCs/>
        </w:rPr>
        <w:t>Airbus</w:t>
      </w:r>
      <w:r w:rsidR="00E8265C">
        <w:t xml:space="preserve">, </w:t>
      </w:r>
      <w:r w:rsidR="00E8265C" w:rsidRPr="3C68A85D">
        <w:rPr>
          <w:b/>
          <w:bCs/>
        </w:rPr>
        <w:t>Fiat-Chrysler Automobiles</w:t>
      </w:r>
      <w:r w:rsidR="00E8265C">
        <w:t xml:space="preserve">, </w:t>
      </w:r>
      <w:r w:rsidR="00E8265C" w:rsidRPr="3C68A85D">
        <w:rPr>
          <w:b/>
          <w:bCs/>
        </w:rPr>
        <w:t>Lufthansa</w:t>
      </w:r>
      <w:r w:rsidR="00BA02D7">
        <w:rPr>
          <w:b/>
          <w:bCs/>
        </w:rPr>
        <w:t xml:space="preserve"> Technik</w:t>
      </w:r>
      <w:r w:rsidR="00E8265C">
        <w:t xml:space="preserve">, </w:t>
      </w:r>
      <w:r w:rsidR="00E8265C" w:rsidRPr="3C68A85D">
        <w:rPr>
          <w:b/>
          <w:bCs/>
        </w:rPr>
        <w:t>Siemens,</w:t>
      </w:r>
      <w:r w:rsidR="00E8265C">
        <w:t xml:space="preserve"> and </w:t>
      </w:r>
      <w:r w:rsidR="00E8265C" w:rsidRPr="3C68A85D">
        <w:rPr>
          <w:b/>
          <w:bCs/>
        </w:rPr>
        <w:t>ABB</w:t>
      </w:r>
      <w:r>
        <w:t>. Notably, the</w:t>
      </w:r>
      <w:r w:rsidR="00BA02D7">
        <w:t xml:space="preserve"> project partners </w:t>
      </w:r>
      <w:r>
        <w:t xml:space="preserve">will </w:t>
      </w:r>
      <w:r w:rsidR="00E8265C">
        <w:t xml:space="preserve">also </w:t>
      </w:r>
      <w:r>
        <w:t>co-fund the projects</w:t>
      </w:r>
      <w:r w:rsidR="00E8265C">
        <w:t xml:space="preserve"> with a further combined contribution of €47 million</w:t>
      </w:r>
      <w:r>
        <w:t>, showing their interest in the development of graphene-enabled products.</w:t>
      </w:r>
    </w:p>
    <w:p w14:paraId="568ED2DB" w14:textId="56073134" w:rsidR="00863FB5" w:rsidRDefault="00E8265C" w:rsidP="00863FB5">
      <w:pPr>
        <w:jc w:val="both"/>
      </w:pPr>
      <w:r>
        <w:t>T</w:t>
      </w:r>
      <w:r w:rsidR="3C68A85D">
        <w:t>he newly launched projects combine the results of the Graphene Flagship’s innovative scientific research</w:t>
      </w:r>
      <w:r>
        <w:t xml:space="preserve"> with the ambitions of commercial partners</w:t>
      </w:r>
      <w:r w:rsidR="3C68A85D">
        <w:t xml:space="preserve"> for </w:t>
      </w:r>
      <w:r>
        <w:t>marketable</w:t>
      </w:r>
      <w:r w:rsidR="3C68A85D">
        <w:t xml:space="preserve"> applications. This initiative will bring the number of companies involved in the Graphene Flagship to 78,</w:t>
      </w:r>
      <w:r w:rsidR="00712B0D">
        <w:t xml:space="preserve"> </w:t>
      </w:r>
      <w:r w:rsidR="00585B96">
        <w:t xml:space="preserve">which makes </w:t>
      </w:r>
      <w:r w:rsidR="00712B0D">
        <w:t>up</w:t>
      </w:r>
      <w:r w:rsidR="3C68A85D">
        <w:t xml:space="preserve"> nearly </w:t>
      </w:r>
      <w:r w:rsidR="00585B96">
        <w:t>half</w:t>
      </w:r>
      <w:r w:rsidR="3C68A85D">
        <w:t xml:space="preserve"> of </w:t>
      </w:r>
      <w:r w:rsidR="00585B96">
        <w:t>the whole consortium</w:t>
      </w:r>
      <w:r w:rsidR="3C68A85D">
        <w:t>.</w:t>
      </w:r>
    </w:p>
    <w:p w14:paraId="5958C3AC" w14:textId="22C0F1F1" w:rsidR="00863FB5" w:rsidRDefault="00863FB5" w:rsidP="00863FB5">
      <w:pPr>
        <w:jc w:val="both"/>
      </w:pPr>
      <w:r>
        <w:t xml:space="preserve">The </w:t>
      </w:r>
      <w:r w:rsidR="00F21720">
        <w:t>new</w:t>
      </w:r>
      <w:r w:rsidR="00F010A0">
        <w:t xml:space="preserve">ly </w:t>
      </w:r>
      <w:r w:rsidR="001D2873">
        <w:t>launched projects</w:t>
      </w:r>
      <w:r>
        <w:t xml:space="preserve"> have been </w:t>
      </w:r>
      <w:r w:rsidR="00A00B84">
        <w:t>designed</w:t>
      </w:r>
      <w:r>
        <w:t xml:space="preserve"> to increase the Technology Readiness Level (TRL) of graphene-based technologies — a metric used to determine the maturity of a technology and its estimated time to market. </w:t>
      </w:r>
    </w:p>
    <w:p w14:paraId="5F94FC4E" w14:textId="5F0E6DE9" w:rsidR="00863FB5" w:rsidRDefault="00F21720" w:rsidP="00863FB5">
      <w:pPr>
        <w:jc w:val="both"/>
      </w:pPr>
      <w:r>
        <w:t>One</w:t>
      </w:r>
      <w:r w:rsidR="00863FB5">
        <w:t xml:space="preserve"> of the new </w:t>
      </w:r>
      <w:r w:rsidR="00F010A0">
        <w:t>p</w:t>
      </w:r>
      <w:r w:rsidR="00863FB5">
        <w:t xml:space="preserve">rojects, GRAPES, will focus on improving the stability of graphene-based perovskite </w:t>
      </w:r>
      <w:r w:rsidR="00510DE2">
        <w:t>solar</w:t>
      </w:r>
      <w:r w:rsidR="00330B0F">
        <w:t xml:space="preserve"> </w:t>
      </w:r>
      <w:r w:rsidR="00863FB5">
        <w:t xml:space="preserve">panels. Working </w:t>
      </w:r>
      <w:r w:rsidR="00420924">
        <w:t>alongside</w:t>
      </w:r>
      <w:r w:rsidR="00863FB5">
        <w:t xml:space="preserve"> industrial partners </w:t>
      </w:r>
      <w:r w:rsidR="00420924">
        <w:t xml:space="preserve">such as </w:t>
      </w:r>
      <w:r w:rsidR="00420924" w:rsidRPr="00420924">
        <w:rPr>
          <w:b/>
          <w:bCs/>
        </w:rPr>
        <w:t>Siemens</w:t>
      </w:r>
      <w:r w:rsidR="00420924">
        <w:t xml:space="preserve">, </w:t>
      </w:r>
      <w:r w:rsidR="00863FB5" w:rsidRPr="00EB6172">
        <w:rPr>
          <w:b/>
          <w:bCs/>
        </w:rPr>
        <w:t>Greatcell Solar</w:t>
      </w:r>
      <w:r w:rsidR="00863FB5">
        <w:t>,</w:t>
      </w:r>
      <w:r w:rsidR="00420924">
        <w:t xml:space="preserve"> and the Graphene Flagship </w:t>
      </w:r>
      <w:r w:rsidR="007318E4">
        <w:t>spin-off</w:t>
      </w:r>
      <w:r w:rsidR="00863FB5">
        <w:t xml:space="preserve"> </w:t>
      </w:r>
      <w:r w:rsidR="00863FB5" w:rsidRPr="00EB6172">
        <w:rPr>
          <w:b/>
          <w:bCs/>
        </w:rPr>
        <w:t>BeDimensional</w:t>
      </w:r>
      <w:r w:rsidR="00420924">
        <w:t xml:space="preserve">, </w:t>
      </w:r>
      <w:r w:rsidR="00863FB5">
        <w:t xml:space="preserve">the project will boost the performance and stability of </w:t>
      </w:r>
      <w:r>
        <w:t xml:space="preserve">graphene-based </w:t>
      </w:r>
      <w:r w:rsidR="00863FB5">
        <w:t>perovskite cells to record levels</w:t>
      </w:r>
      <w:r>
        <w:t>,</w:t>
      </w:r>
      <w:r w:rsidR="00863FB5">
        <w:t xml:space="preserve"> a crucial factor </w:t>
      </w:r>
      <w:r w:rsidR="003C7B84">
        <w:t xml:space="preserve">for </w:t>
      </w:r>
      <w:r w:rsidR="00863FB5">
        <w:t xml:space="preserve">improving Europe’s uptake of solar energy generation. </w:t>
      </w:r>
    </w:p>
    <w:p w14:paraId="28B5A909" w14:textId="479B68CC" w:rsidR="00863FB5" w:rsidRDefault="00863FB5" w:rsidP="00863FB5">
      <w:pPr>
        <w:jc w:val="both"/>
      </w:pPr>
      <w:r>
        <w:t>Similarly, GRAPHIL</w:t>
      </w:r>
      <w:r w:rsidR="00EA6703">
        <w:t xml:space="preserve"> will </w:t>
      </w:r>
      <w:r>
        <w:t xml:space="preserve">develop an innovative water filtration system, </w:t>
      </w:r>
      <w:r w:rsidR="00F21720">
        <w:t>with</w:t>
      </w:r>
      <w:r>
        <w:t xml:space="preserve"> implications </w:t>
      </w:r>
      <w:r w:rsidR="00F21720">
        <w:t>for</w:t>
      </w:r>
      <w:r>
        <w:t xml:space="preserve"> the environment, health and societal wealth of Europe’s citizens. The project</w:t>
      </w:r>
      <w:r w:rsidR="00EB6172">
        <w:t xml:space="preserve">, led by </w:t>
      </w:r>
      <w:r w:rsidR="00EB6172" w:rsidRPr="00EB6172">
        <w:rPr>
          <w:b/>
          <w:bCs/>
        </w:rPr>
        <w:t>Medica SpA</w:t>
      </w:r>
      <w:r w:rsidR="00EB6172">
        <w:t>,</w:t>
      </w:r>
      <w:r>
        <w:t xml:space="preserve"> will use graphene-based filters to remove contaminants, pesticides and dangerous pathogens from the billions of cubic metres of water </w:t>
      </w:r>
      <w:r w:rsidR="000240E4">
        <w:t xml:space="preserve">consumed by </w:t>
      </w:r>
      <w:r>
        <w:t>European citizens each year.</w:t>
      </w:r>
    </w:p>
    <w:p w14:paraId="31F96C79" w14:textId="057A36E3" w:rsidR="00863FB5" w:rsidRDefault="00863FB5" w:rsidP="00863FB5">
      <w:pPr>
        <w:jc w:val="both"/>
      </w:pPr>
      <w:r>
        <w:t>The announcement also includes sector-specific venture</w:t>
      </w:r>
      <w:r w:rsidR="00F010A0">
        <w:t>s</w:t>
      </w:r>
      <w:r>
        <w:t>, such as AEROGrAFT and GICE. Both projects will deliver graphene-based technology to improve safety</w:t>
      </w:r>
      <w:r w:rsidR="00D45443">
        <w:t xml:space="preserve"> and </w:t>
      </w:r>
      <w:r w:rsidR="00EE6DF5">
        <w:t>effici</w:t>
      </w:r>
      <w:r w:rsidR="00755743">
        <w:t>ency</w:t>
      </w:r>
      <w:r w:rsidR="00D45443">
        <w:t xml:space="preserve"> </w:t>
      </w:r>
      <w:r w:rsidR="00E8265C">
        <w:t>in</w:t>
      </w:r>
      <w:r>
        <w:t xml:space="preserve"> the aerospace sector. These projects are backed by industry heavyweights </w:t>
      </w:r>
      <w:r w:rsidRPr="00EB6172">
        <w:rPr>
          <w:b/>
          <w:bCs/>
        </w:rPr>
        <w:t>Lufthansa Technik</w:t>
      </w:r>
      <w:r>
        <w:t xml:space="preserve"> and </w:t>
      </w:r>
      <w:r w:rsidRPr="00EB6172">
        <w:rPr>
          <w:b/>
          <w:bCs/>
        </w:rPr>
        <w:t>Airbus</w:t>
      </w:r>
      <w:r>
        <w:t xml:space="preserve">, respectively. </w:t>
      </w:r>
    </w:p>
    <w:p w14:paraId="6F7EDA50" w14:textId="77777777" w:rsidR="00585B96" w:rsidRDefault="00F010A0" w:rsidP="00863FB5">
      <w:pPr>
        <w:jc w:val="both"/>
      </w:pPr>
      <w:r>
        <w:t xml:space="preserve">The </w:t>
      </w:r>
      <w:r w:rsidR="007756FF">
        <w:t xml:space="preserve">AUTOVISION </w:t>
      </w:r>
      <w:r>
        <w:t xml:space="preserve">project </w:t>
      </w:r>
      <w:r w:rsidR="00367A2B">
        <w:t>will</w:t>
      </w:r>
      <w:r w:rsidR="00BF4D47">
        <w:t xml:space="preserve"> develop </w:t>
      </w:r>
      <w:r w:rsidR="00863FB5">
        <w:t>state-of-the-art vision sensors</w:t>
      </w:r>
      <w:r w:rsidR="005A7B9B">
        <w:t>,</w:t>
      </w:r>
      <w:r w:rsidR="00863FB5">
        <w:t xml:space="preserve"> which could be critical for the safe functioning of self-driving cars, and </w:t>
      </w:r>
      <w:r w:rsidR="005A7B9B">
        <w:t xml:space="preserve">it </w:t>
      </w:r>
      <w:r w:rsidR="00863FB5">
        <w:t xml:space="preserve">will </w:t>
      </w:r>
      <w:r w:rsidR="00D87E50">
        <w:t>count on</w:t>
      </w:r>
      <w:r w:rsidR="00863FB5">
        <w:t xml:space="preserve"> industrial partners</w:t>
      </w:r>
      <w:r w:rsidR="00D87E50">
        <w:t xml:space="preserve"> such as</w:t>
      </w:r>
      <w:r w:rsidR="00863FB5">
        <w:t xml:space="preserve"> </w:t>
      </w:r>
      <w:r w:rsidR="00863FB5" w:rsidRPr="00EB6172">
        <w:rPr>
          <w:b/>
          <w:bCs/>
        </w:rPr>
        <w:t>Aixtron</w:t>
      </w:r>
      <w:r w:rsidR="00D87E50">
        <w:t xml:space="preserve">, </w:t>
      </w:r>
      <w:r w:rsidR="00863FB5">
        <w:t xml:space="preserve">UK and </w:t>
      </w:r>
      <w:r w:rsidR="00863FB5" w:rsidRPr="00EB6172">
        <w:rPr>
          <w:b/>
          <w:bCs/>
        </w:rPr>
        <w:t>Veoneer</w:t>
      </w:r>
      <w:r w:rsidR="00D87E50">
        <w:t>,</w:t>
      </w:r>
      <w:r w:rsidR="00863FB5">
        <w:t xml:space="preserve"> Sweden. </w:t>
      </w:r>
    </w:p>
    <w:p w14:paraId="00AE47E9" w14:textId="6CF78A3B" w:rsidR="00863FB5" w:rsidRDefault="00F010A0" w:rsidP="00863FB5">
      <w:pPr>
        <w:jc w:val="both"/>
      </w:pPr>
      <w:r w:rsidRPr="00DB3DED">
        <w:rPr>
          <w:b/>
          <w:bCs/>
        </w:rPr>
        <w:lastRenderedPageBreak/>
        <w:t>Nokia</w:t>
      </w:r>
      <w:r w:rsidRPr="00DB3DED">
        <w:t xml:space="preserve"> will lead another project</w:t>
      </w:r>
      <w:r w:rsidR="00732CBC">
        <w:t>,</w:t>
      </w:r>
      <w:r>
        <w:t xml:space="preserve"> Metrograph</w:t>
      </w:r>
      <w:r w:rsidR="00732CBC">
        <w:t xml:space="preserve">, </w:t>
      </w:r>
      <w:r>
        <w:t xml:space="preserve">to develop an ultrafast </w:t>
      </w:r>
      <w:r w:rsidRPr="00DB3DED">
        <w:t>graphene-based tr</w:t>
      </w:r>
      <w:r>
        <w:t xml:space="preserve">ansceiver to enable </w:t>
      </w:r>
      <w:r w:rsidR="00856A24">
        <w:t>high-</w:t>
      </w:r>
      <w:r>
        <w:t xml:space="preserve">speed and </w:t>
      </w:r>
      <w:r w:rsidR="00856A24">
        <w:t>low-</w:t>
      </w:r>
      <w:r>
        <w:t>power consumption communications.</w:t>
      </w:r>
      <w:r w:rsidR="008B6306">
        <w:t xml:space="preserve"> </w:t>
      </w:r>
      <w:r w:rsidR="00863FB5">
        <w:t xml:space="preserve">Furthermore, SafeGraph, a first-of-its-kind project, has been developed to ensure regulation and legislation for graphene-based products is coherent as these products are brought to market. </w:t>
      </w:r>
    </w:p>
    <w:p w14:paraId="280DC70C" w14:textId="4F4F2E70" w:rsidR="008B6306" w:rsidRDefault="008B6306" w:rsidP="00863FB5">
      <w:pPr>
        <w:jc w:val="both"/>
      </w:pPr>
      <w:r>
        <w:t>Moreover, thanks to the contribution of the EU National Funding Agencies</w:t>
      </w:r>
      <w:r w:rsidR="00302F67">
        <w:t xml:space="preserve"> </w:t>
      </w:r>
      <w:r w:rsidR="00302F67" w:rsidRPr="00302F67">
        <w:t>(</w:t>
      </w:r>
      <w:hyperlink r:id="rId8" w:tgtFrame="_blank" w:history="1">
        <w:r w:rsidR="00302F67" w:rsidRPr="00302F67">
          <w:rPr>
            <w:rStyle w:val="Hyperlink"/>
          </w:rPr>
          <w:t>​FLAG-ERA</w:t>
        </w:r>
      </w:hyperlink>
      <w:r w:rsidR="00302F67" w:rsidRPr="00302F67">
        <w:t>), </w:t>
      </w:r>
      <w:r w:rsidR="00302F67" w:rsidRPr="00302F67">
        <w:rPr>
          <w:b/>
          <w:bCs/>
        </w:rPr>
        <w:t>Mellanox LTD</w:t>
      </w:r>
      <w:r w:rsidR="00302F67" w:rsidRPr="00302F67">
        <w:t> will participate in </w:t>
      </w:r>
      <w:bookmarkStart w:id="0" w:name="_GoBack"/>
      <w:bookmarkEnd w:id="0"/>
      <w:r>
        <w:t xml:space="preserve">a project targeting the development of light detection and ranging systems for self-driving cars and other applications, enabled by </w:t>
      </w:r>
      <w:r w:rsidRPr="00D22689">
        <w:t>graphene</w:t>
      </w:r>
      <w:r>
        <w:t xml:space="preserve">, resulting in a </w:t>
      </w:r>
      <w:r w:rsidRPr="00D22689">
        <w:t xml:space="preserve">compact, </w:t>
      </w:r>
      <w:r w:rsidR="001033FA">
        <w:t>rugged</w:t>
      </w:r>
      <w:r w:rsidRPr="00D22689">
        <w:t>, low</w:t>
      </w:r>
      <w:r>
        <w:t>-</w:t>
      </w:r>
      <w:r w:rsidRPr="00D22689">
        <w:t xml:space="preserve">cost and highly efficient </w:t>
      </w:r>
      <w:r>
        <w:t>system</w:t>
      </w:r>
      <w:r w:rsidRPr="00D22689">
        <w:t>.</w:t>
      </w:r>
      <w:r w:rsidRPr="00D22689">
        <w:rPr>
          <w:b/>
          <w:bCs/>
        </w:rPr>
        <w:t xml:space="preserve">  </w:t>
      </w:r>
    </w:p>
    <w:p w14:paraId="39ED121B" w14:textId="7D5D76B6" w:rsidR="00863FB5" w:rsidRDefault="00863FB5" w:rsidP="00863FB5">
      <w:pPr>
        <w:jc w:val="both"/>
      </w:pPr>
      <w:r>
        <w:t xml:space="preserve">The newly launched </w:t>
      </w:r>
      <w:r w:rsidR="00F010A0">
        <w:t>p</w:t>
      </w:r>
      <w:r>
        <w:t>rojects</w:t>
      </w:r>
      <w:r w:rsidR="009E6587">
        <w:t xml:space="preserve"> also</w:t>
      </w:r>
      <w:r>
        <w:t xml:space="preserve"> align with the</w:t>
      </w:r>
      <w:r w:rsidR="009E6587">
        <w:t xml:space="preserve"> United Nations’</w:t>
      </w:r>
      <w:r>
        <w:t xml:space="preserve"> 17 Sustainable Development Goals (SDGs). Among others, these objectives include achieving good health and wellbeing, clean water and sanitation, affordable and clean energy,</w:t>
      </w:r>
      <w:r w:rsidR="00BF4D47">
        <w:t xml:space="preserve"> and</w:t>
      </w:r>
      <w:r>
        <w:t xml:space="preserve"> sustainable cities and communities, as well as improvements to industry innovation and infrastructure in Europe. </w:t>
      </w:r>
    </w:p>
    <w:p w14:paraId="62691CD4" w14:textId="05A00CB9" w:rsidR="00863FB5" w:rsidRPr="00863FB5" w:rsidRDefault="3C68A85D" w:rsidP="00863FB5">
      <w:pPr>
        <w:jc w:val="both"/>
      </w:pPr>
      <w:r w:rsidRPr="3C68A85D">
        <w:rPr>
          <w:b/>
          <w:bCs/>
        </w:rPr>
        <w:t xml:space="preserve">Jari Kinaret, </w:t>
      </w:r>
      <w:r w:rsidR="00906E36">
        <w:rPr>
          <w:b/>
          <w:bCs/>
        </w:rPr>
        <w:t>D</w:t>
      </w:r>
      <w:r w:rsidR="00906E36" w:rsidRPr="3C68A85D">
        <w:rPr>
          <w:b/>
          <w:bCs/>
        </w:rPr>
        <w:t xml:space="preserve">irector </w:t>
      </w:r>
      <w:r w:rsidRPr="3C68A85D">
        <w:rPr>
          <w:b/>
          <w:bCs/>
        </w:rPr>
        <w:t>of the Graphene Flagship</w:t>
      </w:r>
      <w:r>
        <w:t xml:space="preserve">, explains: “The Spearhead Projects are market-motivated, industry-led sub-projects that aim at creating prototypes at TRL 6 or above, in areas where graphene-related technologies have an edge over competing approaches. From April 2020, the spearhead programme will be expanded to comprise about 30 per cent of the Graphene Flagship’s funding from the European Commission. This is a bold move that shows our firm commitment to maximizing the impact of the Graphene Flagship.” </w:t>
      </w:r>
    </w:p>
    <w:p w14:paraId="036E90AA" w14:textId="1AD0880C" w:rsidR="00863FB5" w:rsidRDefault="00EB6172" w:rsidP="00863FB5">
      <w:pPr>
        <w:jc w:val="both"/>
      </w:pPr>
      <w:r>
        <w:t>“</w:t>
      </w:r>
      <w:r w:rsidR="00334311">
        <w:t>E</w:t>
      </w:r>
      <w:r w:rsidR="00863FB5">
        <w:t>ach of the eleven new initiatives will be led by key Graphene Flagship industrial partners. This will pave the way towards the commercialisation of the prototypes when the projects end in 2023. These projects will demonstrate the value of the ground-breaking scientific work that has been conducted by the Graphene Flagship’s partner institutes during the project’s six-year timespan so far.</w:t>
      </w:r>
      <w:r>
        <w:t>”</w:t>
      </w:r>
    </w:p>
    <w:p w14:paraId="4CD1E4FC" w14:textId="1B6241B1" w:rsidR="00F21720" w:rsidRDefault="3C68A85D" w:rsidP="00863FB5">
      <w:pPr>
        <w:jc w:val="both"/>
      </w:pPr>
      <w:r w:rsidRPr="3C68A85D">
        <w:rPr>
          <w:b/>
          <w:bCs/>
        </w:rPr>
        <w:t xml:space="preserve">Andrea Ferrari, Science and Technology Officer of the Graphene Flagship </w:t>
      </w:r>
      <w:r w:rsidR="009E15CF" w:rsidRPr="3C68A85D">
        <w:rPr>
          <w:b/>
          <w:bCs/>
        </w:rPr>
        <w:t>add</w:t>
      </w:r>
      <w:r w:rsidR="009E15CF">
        <w:rPr>
          <w:b/>
          <w:bCs/>
        </w:rPr>
        <w:t>s</w:t>
      </w:r>
      <w:r>
        <w:t>: "The combined investment</w:t>
      </w:r>
      <w:r w:rsidR="009E1965">
        <w:t>s</w:t>
      </w:r>
      <w:r>
        <w:t xml:space="preserve"> of the Graphene Flagship</w:t>
      </w:r>
      <w:r w:rsidR="00721192">
        <w:t xml:space="preserve"> and </w:t>
      </w:r>
      <w:r>
        <w:t xml:space="preserve">the EU </w:t>
      </w:r>
      <w:r w:rsidR="00BF1E4A">
        <w:t>m</w:t>
      </w:r>
      <w:r>
        <w:t xml:space="preserve">ember </w:t>
      </w:r>
      <w:r w:rsidR="00BF1E4A">
        <w:t>states</w:t>
      </w:r>
      <w:r w:rsidR="00721192">
        <w:t>, and the matching contributions of</w:t>
      </w:r>
      <w:r w:rsidR="00BF1E4A">
        <w:t xml:space="preserve"> </w:t>
      </w:r>
      <w:r w:rsidR="00886E00">
        <w:t>the companies</w:t>
      </w:r>
      <w:r w:rsidR="00583BDE">
        <w:t xml:space="preserve"> involved</w:t>
      </w:r>
      <w:r w:rsidR="00886E00">
        <w:t>,</w:t>
      </w:r>
      <w:r>
        <w:t xml:space="preserve"> have enabled us to leverage the substantial scientific and technological progress achieved by the Graphene Flagship and translate this in</w:t>
      </w:r>
      <w:r w:rsidR="005F441B">
        <w:t>to</w:t>
      </w:r>
      <w:r>
        <w:t xml:space="preserve"> a boost for innovation and applications. This shows that graphene and related materials are </w:t>
      </w:r>
      <w:r w:rsidR="00745BD7">
        <w:t>on-</w:t>
      </w:r>
      <w:r>
        <w:t>course to deliver on their promising properties under the Flagship programme"</w:t>
      </w:r>
    </w:p>
    <w:p w14:paraId="3F0335A6" w14:textId="61AF554D" w:rsidR="00151185" w:rsidRDefault="00EB6172" w:rsidP="00863FB5">
      <w:pPr>
        <w:jc w:val="both"/>
      </w:pPr>
      <w:r w:rsidRPr="00EB6172">
        <w:rPr>
          <w:b/>
          <w:bCs/>
        </w:rPr>
        <w:t xml:space="preserve">Elmar Bonaccurso, </w:t>
      </w:r>
      <w:r w:rsidR="00906E36">
        <w:rPr>
          <w:b/>
          <w:bCs/>
        </w:rPr>
        <w:t>S</w:t>
      </w:r>
      <w:r w:rsidR="00906E36" w:rsidRPr="00EB6172">
        <w:rPr>
          <w:b/>
          <w:bCs/>
        </w:rPr>
        <w:t xml:space="preserve">enior </w:t>
      </w:r>
      <w:r w:rsidR="00906E36">
        <w:rPr>
          <w:b/>
          <w:bCs/>
        </w:rPr>
        <w:t>S</w:t>
      </w:r>
      <w:r w:rsidR="00906E36" w:rsidRPr="00EB6172">
        <w:rPr>
          <w:b/>
          <w:bCs/>
        </w:rPr>
        <w:t xml:space="preserve">cientist </w:t>
      </w:r>
      <w:r w:rsidR="004805AA">
        <w:rPr>
          <w:b/>
          <w:bCs/>
        </w:rPr>
        <w:t>and</w:t>
      </w:r>
      <w:r w:rsidRPr="00EB6172">
        <w:rPr>
          <w:b/>
          <w:bCs/>
        </w:rPr>
        <w:t xml:space="preserve"> </w:t>
      </w:r>
      <w:r w:rsidR="00906E36">
        <w:rPr>
          <w:b/>
          <w:bCs/>
        </w:rPr>
        <w:t>P</w:t>
      </w:r>
      <w:r w:rsidR="00906E36" w:rsidRPr="00EB6172">
        <w:rPr>
          <w:b/>
          <w:bCs/>
        </w:rPr>
        <w:t xml:space="preserve">roject </w:t>
      </w:r>
      <w:r w:rsidR="00906E36">
        <w:rPr>
          <w:b/>
          <w:bCs/>
        </w:rPr>
        <w:t>M</w:t>
      </w:r>
      <w:r w:rsidR="00906E36" w:rsidRPr="00EB6172">
        <w:rPr>
          <w:b/>
          <w:bCs/>
        </w:rPr>
        <w:t xml:space="preserve">anager </w:t>
      </w:r>
      <w:r w:rsidRPr="00EB6172">
        <w:rPr>
          <w:b/>
          <w:bCs/>
        </w:rPr>
        <w:t xml:space="preserve">for </w:t>
      </w:r>
      <w:r w:rsidR="00906E36">
        <w:rPr>
          <w:b/>
          <w:bCs/>
        </w:rPr>
        <w:t>S</w:t>
      </w:r>
      <w:r w:rsidR="00906E36" w:rsidRPr="00EB6172">
        <w:rPr>
          <w:b/>
          <w:bCs/>
        </w:rPr>
        <w:t xml:space="preserve">urface </w:t>
      </w:r>
      <w:r w:rsidR="00906E36">
        <w:rPr>
          <w:b/>
          <w:bCs/>
        </w:rPr>
        <w:t>T</w:t>
      </w:r>
      <w:r w:rsidR="00906E36" w:rsidRPr="00EB6172">
        <w:rPr>
          <w:b/>
          <w:bCs/>
        </w:rPr>
        <w:t xml:space="preserve">echnology </w:t>
      </w:r>
      <w:r w:rsidRPr="00EB6172">
        <w:rPr>
          <w:b/>
          <w:bCs/>
        </w:rPr>
        <w:t>at Airbus</w:t>
      </w:r>
      <w:r>
        <w:t xml:space="preserve">, says: </w:t>
      </w:r>
      <w:r w:rsidR="00863FB5">
        <w:t>“Airbus has been following the Graphene Flagship from the beginning</w:t>
      </w:r>
      <w:r w:rsidR="004805AA">
        <w:t>.</w:t>
      </w:r>
      <w:r w:rsidR="00863FB5">
        <w:t xml:space="preserve"> Now, after six years of successful research and development, we are at the right point to step in with a larger project</w:t>
      </w:r>
      <w:r w:rsidR="00F010A0">
        <w:t>.</w:t>
      </w:r>
      <w:r w:rsidR="00FE36CA">
        <w:t xml:space="preserve"> </w:t>
      </w:r>
      <w:r w:rsidR="00863FB5">
        <w:t>We expect that, by using graphene as a material for ice protection systems, we can reduce the complexity of these systems to create a system that uses less energy, reduces fuel consumption and allows us to become more environmentally friendly in aviation.”</w:t>
      </w:r>
    </w:p>
    <w:p w14:paraId="38C1538F" w14:textId="2F3D8398" w:rsidR="00EB6172" w:rsidRDefault="00EB6172" w:rsidP="00863FB5">
      <w:pPr>
        <w:jc w:val="both"/>
      </w:pPr>
      <w:r w:rsidRPr="00EB6172">
        <w:rPr>
          <w:b/>
          <w:bCs/>
        </w:rPr>
        <w:t xml:space="preserve">Jean-François Buggenhout, Head of </w:t>
      </w:r>
      <w:r w:rsidR="00EE41AF">
        <w:rPr>
          <w:b/>
          <w:bCs/>
        </w:rPr>
        <w:t xml:space="preserve">the Flagships </w:t>
      </w:r>
      <w:r w:rsidRPr="00EB6172">
        <w:rPr>
          <w:b/>
          <w:bCs/>
        </w:rPr>
        <w:t>Unit at the European Commission,</w:t>
      </w:r>
      <w:r w:rsidRPr="00EB6172">
        <w:t xml:space="preserve"> </w:t>
      </w:r>
      <w:r w:rsidR="004E1609">
        <w:t>comments</w:t>
      </w:r>
      <w:r w:rsidRPr="00EB6172">
        <w:t xml:space="preserve">: </w:t>
      </w:r>
      <w:r>
        <w:t>“</w:t>
      </w:r>
      <w:r w:rsidRPr="00EB6172">
        <w:t xml:space="preserve">It is remarkable to see this strong response to the call for </w:t>
      </w:r>
      <w:r>
        <w:t>S</w:t>
      </w:r>
      <w:r w:rsidRPr="00EB6172">
        <w:t>pearhead</w:t>
      </w:r>
      <w:r>
        <w:t xml:space="preserve"> Projects</w:t>
      </w:r>
      <w:r w:rsidRPr="00EB6172">
        <w:t xml:space="preserve">, ranging across such a wide set of applications. In about six years, the Graphene Flagship </w:t>
      </w:r>
      <w:r w:rsidR="00CF30A0">
        <w:t xml:space="preserve">have </w:t>
      </w:r>
      <w:r w:rsidRPr="00EB6172">
        <w:t>managed to create a dynamism that has spread across many academic and industrial players, and today many people share the fascination and seize the opportunities that have opened up for Europe. This is an example of how Europe can take scientific results and push them through, up to the point where industry takes the lead.</w:t>
      </w:r>
      <w:r>
        <w:t>”</w:t>
      </w:r>
    </w:p>
    <w:p w14:paraId="43AD3364" w14:textId="77777777" w:rsidR="00EB6172" w:rsidRDefault="00EB6172" w:rsidP="00863FB5">
      <w:pPr>
        <w:jc w:val="both"/>
      </w:pPr>
    </w:p>
    <w:p w14:paraId="22801784" w14:textId="77777777" w:rsidR="00EB6172" w:rsidRDefault="00EB6172">
      <w:pPr>
        <w:rPr>
          <w:b/>
          <w:u w:val="single"/>
        </w:rPr>
      </w:pPr>
      <w:r>
        <w:rPr>
          <w:b/>
          <w:u w:val="single"/>
        </w:rPr>
        <w:br w:type="page"/>
      </w:r>
    </w:p>
    <w:p w14:paraId="1ABE745B" w14:textId="77777777" w:rsidR="00EB6172" w:rsidRDefault="00EB6172" w:rsidP="00151185">
      <w:pPr>
        <w:jc w:val="both"/>
        <w:rPr>
          <w:b/>
          <w:u w:val="single"/>
        </w:rPr>
      </w:pPr>
    </w:p>
    <w:p w14:paraId="76CAD6FE" w14:textId="2712E3EB" w:rsidR="00A83154" w:rsidRPr="0066401A" w:rsidRDefault="00A83154" w:rsidP="00151185">
      <w:pPr>
        <w:jc w:val="both"/>
        <w:rPr>
          <w:b/>
          <w:u w:val="single"/>
        </w:rPr>
      </w:pPr>
      <w:r w:rsidRPr="0066401A">
        <w:rPr>
          <w:b/>
          <w:u w:val="single"/>
        </w:rPr>
        <w:t>About the Graphene Flagship</w:t>
      </w:r>
    </w:p>
    <w:p w14:paraId="0763C040" w14:textId="77777777" w:rsidR="00EB6172" w:rsidRPr="00EB6172" w:rsidRDefault="00A83154" w:rsidP="00A83154">
      <w:pPr>
        <w:jc w:val="both"/>
      </w:pPr>
      <w:r w:rsidRPr="00EB6172">
        <w:t>The Graphene Flagship is research, innovation and collaboration</w:t>
      </w:r>
      <w:r w:rsidR="00863FB5" w:rsidRPr="00EB6172">
        <w:t xml:space="preserve">. </w:t>
      </w:r>
    </w:p>
    <w:p w14:paraId="4090ECF7" w14:textId="6BB763DE" w:rsidR="00A83154" w:rsidRDefault="00A83154" w:rsidP="00A83154">
      <w:pPr>
        <w:jc w:val="both"/>
      </w:pPr>
      <w:r w:rsidRPr="008B2043">
        <w:t xml:space="preserve">Funded by the European Commission, </w:t>
      </w:r>
      <w:r>
        <w:t xml:space="preserve">the Graphene Flagship </w:t>
      </w:r>
      <w:r w:rsidRPr="008B2043">
        <w:t>aims to secure a major role for Europe in the ongoing technological revolution, helping to bring graphene innovation</w:t>
      </w:r>
      <w:r w:rsidR="0009081D">
        <w:t>s</w:t>
      </w:r>
      <w:r w:rsidRPr="008B2043">
        <w:t xml:space="preserve"> out of the lab and into commercial applications. The Graphene Flagship </w:t>
      </w:r>
      <w:r>
        <w:t>gathers</w:t>
      </w:r>
      <w:r w:rsidRPr="008B2043">
        <w:t xml:space="preserve"> nearly 150 academic and industrial partners from 23 countries, all exploring different aspects of graphene and related materials. Bringing diverse competencies together, the Graphene Flagship facilitates cooperation between its partners, accelerating the timeline for industry acceptance of graphene technologies. The European Commission’s FET Flagships enable research projects on an unprecedented scale. With €1 billion budgets, the Graphene Flagship, Human Brain Project and Quantum Flagship serve as technology accelerators, helping Europe to compete with other global markets in research and innovation.</w:t>
      </w:r>
    </w:p>
    <w:p w14:paraId="12DF89EA" w14:textId="77777777" w:rsidR="00A83154" w:rsidRPr="0066401A" w:rsidRDefault="00A83154" w:rsidP="00A83154">
      <w:pPr>
        <w:jc w:val="both"/>
        <w:rPr>
          <w:b/>
          <w:u w:val="single"/>
        </w:rPr>
      </w:pPr>
      <w:r>
        <w:rPr>
          <w:b/>
          <w:u w:val="single"/>
        </w:rPr>
        <w:t>C</w:t>
      </w:r>
      <w:r w:rsidRPr="0066401A">
        <w:rPr>
          <w:b/>
          <w:u w:val="single"/>
        </w:rPr>
        <w:t>ontact information</w:t>
      </w:r>
    </w:p>
    <w:p w14:paraId="24BA82BE" w14:textId="65EE3C2D" w:rsidR="00A83154" w:rsidRDefault="00A83154" w:rsidP="00A83154">
      <w:pPr>
        <w:spacing w:after="0"/>
        <w:jc w:val="both"/>
      </w:pPr>
      <w:r>
        <w:t>Dr Fernando Gomollón-Bel</w:t>
      </w:r>
    </w:p>
    <w:p w14:paraId="2236775C" w14:textId="77777777" w:rsidR="00A83154" w:rsidRDefault="00A83154" w:rsidP="00A83154">
      <w:pPr>
        <w:spacing w:after="0"/>
        <w:jc w:val="both"/>
      </w:pPr>
      <w:r>
        <w:t>Graphene Flagship Press and Communications Coordinator</w:t>
      </w:r>
    </w:p>
    <w:p w14:paraId="1E8DD113" w14:textId="77777777" w:rsidR="00A83154" w:rsidRDefault="00A83154" w:rsidP="00A83154">
      <w:pPr>
        <w:spacing w:after="0"/>
        <w:jc w:val="both"/>
      </w:pPr>
      <w:r>
        <w:t xml:space="preserve">Phone: </w:t>
      </w:r>
      <w:r>
        <w:tab/>
        <w:t xml:space="preserve">+44 1223 762391 </w:t>
      </w:r>
    </w:p>
    <w:p w14:paraId="419A98C6" w14:textId="77777777" w:rsidR="00A83154" w:rsidRDefault="00A83154" w:rsidP="00A83154">
      <w:pPr>
        <w:spacing w:after="0"/>
        <w:jc w:val="both"/>
      </w:pPr>
      <w:r>
        <w:t>Mobile:</w:t>
      </w:r>
      <w:r>
        <w:tab/>
        <w:t>+44 7305 707006</w:t>
      </w:r>
    </w:p>
    <w:p w14:paraId="62E3B9B9" w14:textId="77777777" w:rsidR="00A83154" w:rsidRDefault="00A83154" w:rsidP="00A83154">
      <w:pPr>
        <w:spacing w:after="0"/>
        <w:jc w:val="both"/>
      </w:pPr>
      <w:r>
        <w:t>Email:</w:t>
      </w:r>
      <w:r>
        <w:tab/>
      </w:r>
      <w:hyperlink r:id="rId9" w:history="1">
        <w:r w:rsidRPr="006B6A54">
          <w:rPr>
            <w:rStyle w:val="Hyperlink"/>
          </w:rPr>
          <w:t>press@graphene-flagship.eu</w:t>
        </w:r>
      </w:hyperlink>
      <w:r>
        <w:t xml:space="preserve"> </w:t>
      </w:r>
    </w:p>
    <w:p w14:paraId="5558C739" w14:textId="77777777" w:rsidR="00A83154" w:rsidRDefault="00A83154" w:rsidP="00A83154">
      <w:pPr>
        <w:spacing w:after="0"/>
        <w:jc w:val="both"/>
      </w:pPr>
      <w:r>
        <w:t>Web:</w:t>
      </w:r>
      <w:r>
        <w:tab/>
      </w:r>
      <w:hyperlink r:id="rId10" w:history="1">
        <w:r w:rsidRPr="006B6A54">
          <w:rPr>
            <w:rStyle w:val="Hyperlink"/>
          </w:rPr>
          <w:t>www.graphene-flagship.eu</w:t>
        </w:r>
      </w:hyperlink>
      <w:r>
        <w:t xml:space="preserve"> </w:t>
      </w:r>
    </w:p>
    <w:p w14:paraId="19C7D71E" w14:textId="77777777" w:rsidR="00863FB5" w:rsidRDefault="00863FB5" w:rsidP="0066401A">
      <w:pPr>
        <w:spacing w:after="0"/>
        <w:jc w:val="both"/>
        <w:rPr>
          <w:i/>
        </w:rPr>
      </w:pPr>
    </w:p>
    <w:p w14:paraId="75EB5030" w14:textId="1718497C" w:rsidR="0066401A" w:rsidRPr="0066401A" w:rsidRDefault="0066401A" w:rsidP="0066401A">
      <w:pPr>
        <w:spacing w:after="0"/>
        <w:jc w:val="both"/>
        <w:rPr>
          <w:i/>
        </w:rPr>
      </w:pPr>
      <w:r w:rsidRPr="0066401A">
        <w:rPr>
          <w:i/>
        </w:rPr>
        <w:t xml:space="preserve">Follow the Graphene Flagship on </w:t>
      </w:r>
      <w:hyperlink r:id="rId11" w:history="1">
        <w:r w:rsidRPr="0066401A">
          <w:rPr>
            <w:rStyle w:val="Hyperlink"/>
            <w:i/>
          </w:rPr>
          <w:t>Twitter</w:t>
        </w:r>
      </w:hyperlink>
      <w:r w:rsidRPr="0066401A">
        <w:rPr>
          <w:i/>
        </w:rPr>
        <w:t xml:space="preserve">, </w:t>
      </w:r>
      <w:hyperlink r:id="rId12" w:history="1">
        <w:r w:rsidRPr="0066401A">
          <w:rPr>
            <w:rStyle w:val="Hyperlink"/>
            <w:i/>
          </w:rPr>
          <w:t>Facebook</w:t>
        </w:r>
      </w:hyperlink>
      <w:r w:rsidRPr="0066401A">
        <w:rPr>
          <w:i/>
        </w:rPr>
        <w:t xml:space="preserve">, </w:t>
      </w:r>
      <w:hyperlink r:id="rId13" w:history="1">
        <w:r w:rsidRPr="0066401A">
          <w:rPr>
            <w:rStyle w:val="Hyperlink"/>
            <w:i/>
          </w:rPr>
          <w:t>LinkedIn</w:t>
        </w:r>
      </w:hyperlink>
      <w:r w:rsidRPr="0066401A">
        <w:rPr>
          <w:i/>
        </w:rPr>
        <w:t xml:space="preserve">, </w:t>
      </w:r>
      <w:hyperlink r:id="rId14" w:history="1">
        <w:r w:rsidRPr="0066401A">
          <w:rPr>
            <w:rStyle w:val="Hyperlink"/>
            <w:i/>
          </w:rPr>
          <w:t>Instagram</w:t>
        </w:r>
      </w:hyperlink>
      <w:r w:rsidRPr="0066401A">
        <w:rPr>
          <w:i/>
        </w:rPr>
        <w:t xml:space="preserve"> and </w:t>
      </w:r>
      <w:hyperlink r:id="rId15" w:history="1">
        <w:r w:rsidRPr="0066401A">
          <w:rPr>
            <w:rStyle w:val="Hyperlink"/>
            <w:i/>
          </w:rPr>
          <w:t>Youtube</w:t>
        </w:r>
      </w:hyperlink>
    </w:p>
    <w:sectPr w:rsidR="0066401A" w:rsidRPr="0066401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CE0E" w14:textId="77777777" w:rsidR="00686DF5" w:rsidRDefault="00686DF5" w:rsidP="00F061D9">
      <w:pPr>
        <w:spacing w:after="0" w:line="240" w:lineRule="auto"/>
      </w:pPr>
      <w:r>
        <w:separator/>
      </w:r>
    </w:p>
  </w:endnote>
  <w:endnote w:type="continuationSeparator" w:id="0">
    <w:p w14:paraId="5A21600F" w14:textId="77777777" w:rsidR="00686DF5" w:rsidRDefault="00686DF5" w:rsidP="00F061D9">
      <w:pPr>
        <w:spacing w:after="0" w:line="240" w:lineRule="auto"/>
      </w:pPr>
      <w:r>
        <w:continuationSeparator/>
      </w:r>
    </w:p>
  </w:endnote>
  <w:endnote w:type="continuationNotice" w:id="1">
    <w:p w14:paraId="34F57250" w14:textId="77777777" w:rsidR="00686DF5" w:rsidRDefault="00686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C41D" w14:textId="2D37E7C3" w:rsidR="0066401A" w:rsidRDefault="0006508D" w:rsidP="0066401A">
    <w:pPr>
      <w:pStyle w:val="Footer"/>
      <w:jc w:val="right"/>
    </w:pPr>
    <w:r>
      <w:rPr>
        <w:noProof/>
      </w:rPr>
      <w:drawing>
        <wp:inline distT="0" distB="0" distL="0" distR="0" wp14:anchorId="02E6AEAB" wp14:editId="7CB605C1">
          <wp:extent cx="1104900" cy="361950"/>
          <wp:effectExtent l="0" t="0" r="0" b="0"/>
          <wp:docPr id="242963877" name="Picture 242963877" title="Funded by the European Un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361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F89D" w14:textId="77777777" w:rsidR="00686DF5" w:rsidRDefault="00686DF5" w:rsidP="00F061D9">
      <w:pPr>
        <w:spacing w:after="0" w:line="240" w:lineRule="auto"/>
      </w:pPr>
      <w:r>
        <w:separator/>
      </w:r>
    </w:p>
  </w:footnote>
  <w:footnote w:type="continuationSeparator" w:id="0">
    <w:p w14:paraId="6965F1BC" w14:textId="77777777" w:rsidR="00686DF5" w:rsidRDefault="00686DF5" w:rsidP="00F061D9">
      <w:pPr>
        <w:spacing w:after="0" w:line="240" w:lineRule="auto"/>
      </w:pPr>
      <w:r>
        <w:continuationSeparator/>
      </w:r>
    </w:p>
  </w:footnote>
  <w:footnote w:type="continuationNotice" w:id="1">
    <w:p w14:paraId="644FE650" w14:textId="77777777" w:rsidR="00686DF5" w:rsidRDefault="00686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DFC2" w14:textId="6DECB711" w:rsidR="00F061D9" w:rsidRPr="00C9472B" w:rsidRDefault="00302F67" w:rsidP="009B6D61">
    <w:pPr>
      <w:pStyle w:val="Header"/>
      <w:jc w:val="right"/>
      <w:rPr>
        <w:b/>
        <w:sz w:val="32"/>
        <w:lang w:val="es-ES"/>
      </w:rPr>
    </w:pPr>
    <w:r>
      <w:rPr>
        <w:noProof/>
        <w:lang w:eastAsia="en-GB"/>
      </w:rPr>
      <w:pict w14:anchorId="48CA4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0;margin-top:-11.4pt;width:210.5pt;height:35.95pt;z-index:251660288;visibility:visible;mso-position-horizontal:left;mso-position-horizontal-relative:margin">
          <v:imagedata r:id="rId1" o:title=""/>
          <w10:wrap anchorx="margin"/>
        </v:shape>
      </w:pict>
    </w:r>
    <w:r w:rsidR="00F061D9" w:rsidRPr="3C68A85D">
      <w:rPr>
        <w:b/>
        <w:bCs/>
        <w:sz w:val="32"/>
        <w:szCs w:val="32"/>
        <w:lang w:val="es-E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418"/>
    <w:multiLevelType w:val="hybridMultilevel"/>
    <w:tmpl w:val="6024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0338E"/>
    <w:multiLevelType w:val="hybridMultilevel"/>
    <w:tmpl w:val="36FE1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986BEA"/>
    <w:multiLevelType w:val="hybridMultilevel"/>
    <w:tmpl w:val="6A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8330C"/>
    <w:multiLevelType w:val="hybridMultilevel"/>
    <w:tmpl w:val="5D60A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DD3B98"/>
    <w:multiLevelType w:val="hybridMultilevel"/>
    <w:tmpl w:val="F4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23"/>
    <w:rsid w:val="0000020F"/>
    <w:rsid w:val="000240E4"/>
    <w:rsid w:val="000445EA"/>
    <w:rsid w:val="0006508D"/>
    <w:rsid w:val="00082220"/>
    <w:rsid w:val="0008457C"/>
    <w:rsid w:val="0009081D"/>
    <w:rsid w:val="000B6C1A"/>
    <w:rsid w:val="000D07CF"/>
    <w:rsid w:val="000E266B"/>
    <w:rsid w:val="000F68AC"/>
    <w:rsid w:val="0010054C"/>
    <w:rsid w:val="001033FA"/>
    <w:rsid w:val="0012468F"/>
    <w:rsid w:val="00146244"/>
    <w:rsid w:val="00151185"/>
    <w:rsid w:val="00172D39"/>
    <w:rsid w:val="00177A38"/>
    <w:rsid w:val="00191489"/>
    <w:rsid w:val="001918CE"/>
    <w:rsid w:val="001B17CE"/>
    <w:rsid w:val="001B28CC"/>
    <w:rsid w:val="001D2873"/>
    <w:rsid w:val="001E705C"/>
    <w:rsid w:val="001F6A5F"/>
    <w:rsid w:val="0020234D"/>
    <w:rsid w:val="00217DC9"/>
    <w:rsid w:val="00224200"/>
    <w:rsid w:val="002469BD"/>
    <w:rsid w:val="002A3C6A"/>
    <w:rsid w:val="00302F67"/>
    <w:rsid w:val="00310B95"/>
    <w:rsid w:val="00311CAA"/>
    <w:rsid w:val="00324E9A"/>
    <w:rsid w:val="00330B0F"/>
    <w:rsid w:val="00334311"/>
    <w:rsid w:val="0033635D"/>
    <w:rsid w:val="003450A1"/>
    <w:rsid w:val="00366FF5"/>
    <w:rsid w:val="00367A2B"/>
    <w:rsid w:val="003A326E"/>
    <w:rsid w:val="003C7B84"/>
    <w:rsid w:val="003D24DA"/>
    <w:rsid w:val="003E45E3"/>
    <w:rsid w:val="00420924"/>
    <w:rsid w:val="004221B7"/>
    <w:rsid w:val="004677DD"/>
    <w:rsid w:val="00476C5F"/>
    <w:rsid w:val="004805AA"/>
    <w:rsid w:val="004C5CEC"/>
    <w:rsid w:val="004E1609"/>
    <w:rsid w:val="004E5BBB"/>
    <w:rsid w:val="004F3F53"/>
    <w:rsid w:val="00504B94"/>
    <w:rsid w:val="00505A6A"/>
    <w:rsid w:val="00510DE2"/>
    <w:rsid w:val="00533462"/>
    <w:rsid w:val="0055549C"/>
    <w:rsid w:val="005601E7"/>
    <w:rsid w:val="00572A79"/>
    <w:rsid w:val="00583BDE"/>
    <w:rsid w:val="00583E11"/>
    <w:rsid w:val="00585B96"/>
    <w:rsid w:val="00590E3A"/>
    <w:rsid w:val="0059404A"/>
    <w:rsid w:val="005A7B9B"/>
    <w:rsid w:val="005B4B89"/>
    <w:rsid w:val="005F441B"/>
    <w:rsid w:val="006059D0"/>
    <w:rsid w:val="00605CAD"/>
    <w:rsid w:val="006118E6"/>
    <w:rsid w:val="00620266"/>
    <w:rsid w:val="00634815"/>
    <w:rsid w:val="006436C1"/>
    <w:rsid w:val="0066401A"/>
    <w:rsid w:val="00686DF5"/>
    <w:rsid w:val="0069435F"/>
    <w:rsid w:val="006B6A54"/>
    <w:rsid w:val="006B7523"/>
    <w:rsid w:val="006D5BC1"/>
    <w:rsid w:val="006E651C"/>
    <w:rsid w:val="00712B0D"/>
    <w:rsid w:val="00721192"/>
    <w:rsid w:val="00723141"/>
    <w:rsid w:val="00723C3B"/>
    <w:rsid w:val="007318E4"/>
    <w:rsid w:val="00732CBC"/>
    <w:rsid w:val="00745BD7"/>
    <w:rsid w:val="00755743"/>
    <w:rsid w:val="00762CD1"/>
    <w:rsid w:val="00763446"/>
    <w:rsid w:val="00765E6F"/>
    <w:rsid w:val="007735FF"/>
    <w:rsid w:val="007756FF"/>
    <w:rsid w:val="00787653"/>
    <w:rsid w:val="007C382F"/>
    <w:rsid w:val="007D0765"/>
    <w:rsid w:val="007F69FD"/>
    <w:rsid w:val="00805AD2"/>
    <w:rsid w:val="00811C03"/>
    <w:rsid w:val="008123CE"/>
    <w:rsid w:val="00821A5A"/>
    <w:rsid w:val="00856A24"/>
    <w:rsid w:val="00863946"/>
    <w:rsid w:val="00863FB5"/>
    <w:rsid w:val="00870D7A"/>
    <w:rsid w:val="00886AA1"/>
    <w:rsid w:val="00886E00"/>
    <w:rsid w:val="008B2043"/>
    <w:rsid w:val="008B2751"/>
    <w:rsid w:val="008B6306"/>
    <w:rsid w:val="008C3309"/>
    <w:rsid w:val="008E5F9E"/>
    <w:rsid w:val="00906E36"/>
    <w:rsid w:val="00917CC6"/>
    <w:rsid w:val="009401C2"/>
    <w:rsid w:val="00940F12"/>
    <w:rsid w:val="009B6D61"/>
    <w:rsid w:val="009E15CF"/>
    <w:rsid w:val="009E1965"/>
    <w:rsid w:val="009E6587"/>
    <w:rsid w:val="009F7D6B"/>
    <w:rsid w:val="00A00B84"/>
    <w:rsid w:val="00A2616B"/>
    <w:rsid w:val="00A60D4C"/>
    <w:rsid w:val="00A83154"/>
    <w:rsid w:val="00AA3EE1"/>
    <w:rsid w:val="00AC4F4F"/>
    <w:rsid w:val="00AD521D"/>
    <w:rsid w:val="00B10EE3"/>
    <w:rsid w:val="00B303AE"/>
    <w:rsid w:val="00B3469B"/>
    <w:rsid w:val="00BA02D7"/>
    <w:rsid w:val="00BD4188"/>
    <w:rsid w:val="00BD6521"/>
    <w:rsid w:val="00BF1E4A"/>
    <w:rsid w:val="00BF4D47"/>
    <w:rsid w:val="00C00229"/>
    <w:rsid w:val="00C1079D"/>
    <w:rsid w:val="00C27364"/>
    <w:rsid w:val="00C30AFE"/>
    <w:rsid w:val="00C34EAD"/>
    <w:rsid w:val="00C35258"/>
    <w:rsid w:val="00C44FB5"/>
    <w:rsid w:val="00C9472B"/>
    <w:rsid w:val="00CA0ED2"/>
    <w:rsid w:val="00CB224D"/>
    <w:rsid w:val="00CD08F0"/>
    <w:rsid w:val="00CD0B19"/>
    <w:rsid w:val="00CE0226"/>
    <w:rsid w:val="00CE2AEB"/>
    <w:rsid w:val="00CF30A0"/>
    <w:rsid w:val="00CF4E82"/>
    <w:rsid w:val="00D13CC6"/>
    <w:rsid w:val="00D22689"/>
    <w:rsid w:val="00D42865"/>
    <w:rsid w:val="00D45443"/>
    <w:rsid w:val="00D612DE"/>
    <w:rsid w:val="00D64F2D"/>
    <w:rsid w:val="00D87E50"/>
    <w:rsid w:val="00DB3DED"/>
    <w:rsid w:val="00DC71FD"/>
    <w:rsid w:val="00DD7AC0"/>
    <w:rsid w:val="00E00497"/>
    <w:rsid w:val="00E07EDF"/>
    <w:rsid w:val="00E242B4"/>
    <w:rsid w:val="00E51320"/>
    <w:rsid w:val="00E8265C"/>
    <w:rsid w:val="00EA220B"/>
    <w:rsid w:val="00EA6703"/>
    <w:rsid w:val="00EB6172"/>
    <w:rsid w:val="00EC2EE8"/>
    <w:rsid w:val="00EC3E01"/>
    <w:rsid w:val="00EE41AF"/>
    <w:rsid w:val="00EE6DF5"/>
    <w:rsid w:val="00F010A0"/>
    <w:rsid w:val="00F048F8"/>
    <w:rsid w:val="00F061D9"/>
    <w:rsid w:val="00F21720"/>
    <w:rsid w:val="00F2418C"/>
    <w:rsid w:val="00F853E4"/>
    <w:rsid w:val="00F970B7"/>
    <w:rsid w:val="00FA1D96"/>
    <w:rsid w:val="00FA743D"/>
    <w:rsid w:val="00FC04F1"/>
    <w:rsid w:val="00FE36CA"/>
    <w:rsid w:val="00FE5710"/>
    <w:rsid w:val="00FF57CB"/>
    <w:rsid w:val="3C68A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1E780"/>
  <w15:docId w15:val="{17C26DF0-909A-4E8F-AB35-663BB3B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paragraph" w:styleId="NormalWeb">
    <w:name w:val="Normal (Web)"/>
    <w:basedOn w:val="Normal"/>
    <w:uiPriority w:val="99"/>
    <w:semiHidden/>
    <w:unhideWhenUsed/>
    <w:rsid w:val="00F010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uiPriority w:val="99"/>
    <w:rsid w:val="00505A6A"/>
  </w:style>
  <w:style w:type="character" w:styleId="CommentReference">
    <w:name w:val="annotation reference"/>
    <w:basedOn w:val="DefaultParagraphFont"/>
    <w:uiPriority w:val="99"/>
    <w:semiHidden/>
    <w:unhideWhenUsed/>
    <w:rsid w:val="00F010A0"/>
    <w:rPr>
      <w:sz w:val="18"/>
      <w:szCs w:val="18"/>
    </w:rPr>
  </w:style>
  <w:style w:type="paragraph" w:styleId="CommentText">
    <w:name w:val="annotation text"/>
    <w:basedOn w:val="Normal"/>
    <w:link w:val="CommentTextChar"/>
    <w:uiPriority w:val="99"/>
    <w:semiHidden/>
    <w:unhideWhenUsed/>
    <w:rsid w:val="00F010A0"/>
    <w:pPr>
      <w:spacing w:line="240" w:lineRule="auto"/>
    </w:pPr>
    <w:rPr>
      <w:sz w:val="24"/>
      <w:szCs w:val="24"/>
    </w:rPr>
  </w:style>
  <w:style w:type="character" w:customStyle="1" w:styleId="CommentTextChar">
    <w:name w:val="Comment Text Char"/>
    <w:basedOn w:val="DefaultParagraphFont"/>
    <w:link w:val="CommentText"/>
    <w:uiPriority w:val="99"/>
    <w:semiHidden/>
    <w:rsid w:val="00D64F2D"/>
    <w:rPr>
      <w:sz w:val="24"/>
      <w:szCs w:val="24"/>
    </w:rPr>
  </w:style>
  <w:style w:type="paragraph" w:styleId="CommentSubject">
    <w:name w:val="annotation subject"/>
    <w:basedOn w:val="CommentText"/>
    <w:next w:val="CommentText"/>
    <w:link w:val="CommentSubjectChar"/>
    <w:uiPriority w:val="99"/>
    <w:semiHidden/>
    <w:unhideWhenUsed/>
    <w:rsid w:val="00F010A0"/>
    <w:rPr>
      <w:b/>
      <w:bCs/>
      <w:sz w:val="20"/>
      <w:szCs w:val="20"/>
    </w:rPr>
  </w:style>
  <w:style w:type="character" w:customStyle="1" w:styleId="CommentSubjectChar">
    <w:name w:val="Comment Subject Char"/>
    <w:basedOn w:val="CommentTextChar"/>
    <w:link w:val="CommentSubject"/>
    <w:uiPriority w:val="99"/>
    <w:semiHidden/>
    <w:rsid w:val="00D64F2D"/>
    <w:rPr>
      <w:b/>
      <w:bCs/>
      <w:sz w:val="20"/>
      <w:szCs w:val="20"/>
    </w:rPr>
  </w:style>
  <w:style w:type="paragraph" w:styleId="ListParagraph">
    <w:name w:val="List Paragraph"/>
    <w:basedOn w:val="Normal"/>
    <w:uiPriority w:val="99"/>
    <w:qFormat/>
    <w:rsid w:val="0012468F"/>
    <w:pPr>
      <w:ind w:left="720"/>
      <w:contextualSpacing/>
    </w:pPr>
  </w:style>
  <w:style w:type="paragraph" w:styleId="Header">
    <w:name w:val="header"/>
    <w:basedOn w:val="Normal"/>
    <w:link w:val="HeaderChar"/>
    <w:uiPriority w:val="99"/>
    <w:unhideWhenUsed/>
    <w:rsid w:val="00F01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9"/>
  </w:style>
  <w:style w:type="paragraph" w:styleId="Footer">
    <w:name w:val="footer"/>
    <w:basedOn w:val="Normal"/>
    <w:link w:val="FooterChar"/>
    <w:uiPriority w:val="99"/>
    <w:unhideWhenUsed/>
    <w:rsid w:val="00F01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9"/>
  </w:style>
  <w:style w:type="table" w:styleId="TableGrid">
    <w:name w:val="Table Grid"/>
    <w:basedOn w:val="TableNormal"/>
    <w:uiPriority w:val="99"/>
    <w:rsid w:val="0066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0A0"/>
    <w:rPr>
      <w:color w:val="0563C1" w:themeColor="hyperlink"/>
      <w:u w:val="single"/>
    </w:rPr>
  </w:style>
  <w:style w:type="character" w:styleId="UnresolvedMention">
    <w:name w:val="Unresolved Mention"/>
    <w:basedOn w:val="DefaultParagraphFont"/>
    <w:uiPriority w:val="99"/>
    <w:semiHidden/>
    <w:unhideWhenUsed/>
    <w:rsid w:val="0066401A"/>
    <w:rPr>
      <w:color w:val="605E5C"/>
      <w:shd w:val="clear" w:color="auto" w:fill="E1DFDD"/>
    </w:rPr>
  </w:style>
  <w:style w:type="character" w:styleId="FollowedHyperlink">
    <w:name w:val="FollowedHyperlink"/>
    <w:basedOn w:val="DefaultParagraphFont"/>
    <w:uiPriority w:val="99"/>
    <w:semiHidden/>
    <w:unhideWhenUsed/>
    <w:rsid w:val="00F010A0"/>
    <w:rPr>
      <w:color w:val="954F72" w:themeColor="followedHyperlink"/>
      <w:u w:val="single"/>
    </w:rPr>
  </w:style>
  <w:style w:type="character" w:customStyle="1" w:styleId="UnresolvedMention1">
    <w:name w:val="Unresolved Mention1"/>
    <w:uiPriority w:val="99"/>
    <w:semiHidden/>
    <w:rsid w:val="00F010A0"/>
    <w:rPr>
      <w:color w:val="605E5C"/>
      <w:shd w:val="clear" w:color="auto" w:fill="E1DFDD"/>
    </w:rPr>
  </w:style>
  <w:style w:type="paragraph" w:styleId="Revision">
    <w:name w:val="Revision"/>
    <w:hidden/>
    <w:uiPriority w:val="99"/>
    <w:semiHidden/>
    <w:rsid w:val="00F0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3554">
      <w:bodyDiv w:val="1"/>
      <w:marLeft w:val="0"/>
      <w:marRight w:val="0"/>
      <w:marTop w:val="0"/>
      <w:marBottom w:val="0"/>
      <w:divBdr>
        <w:top w:val="none" w:sz="0" w:space="0" w:color="auto"/>
        <w:left w:val="none" w:sz="0" w:space="0" w:color="auto"/>
        <w:bottom w:val="none" w:sz="0" w:space="0" w:color="auto"/>
        <w:right w:val="none" w:sz="0" w:space="0" w:color="auto"/>
      </w:divBdr>
      <w:divsChild>
        <w:div w:id="1395934780">
          <w:marLeft w:val="210"/>
          <w:marRight w:val="210"/>
          <w:marTop w:val="0"/>
          <w:marBottom w:val="0"/>
          <w:divBdr>
            <w:top w:val="none" w:sz="0" w:space="0" w:color="auto"/>
            <w:left w:val="none" w:sz="0" w:space="0" w:color="auto"/>
            <w:bottom w:val="none" w:sz="0" w:space="0" w:color="auto"/>
            <w:right w:val="none" w:sz="0" w:space="0" w:color="auto"/>
          </w:divBdr>
          <w:divsChild>
            <w:div w:id="1529680222">
              <w:marLeft w:val="-210"/>
              <w:marRight w:val="-210"/>
              <w:marTop w:val="0"/>
              <w:marBottom w:val="0"/>
              <w:divBdr>
                <w:top w:val="none" w:sz="0" w:space="0" w:color="auto"/>
                <w:left w:val="none" w:sz="0" w:space="0" w:color="auto"/>
                <w:bottom w:val="none" w:sz="0" w:space="0" w:color="auto"/>
                <w:right w:val="none" w:sz="0" w:space="0" w:color="auto"/>
              </w:divBdr>
              <w:divsChild>
                <w:div w:id="505172289">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575826682">
      <w:marLeft w:val="0"/>
      <w:marRight w:val="0"/>
      <w:marTop w:val="0"/>
      <w:marBottom w:val="0"/>
      <w:divBdr>
        <w:top w:val="none" w:sz="0" w:space="0" w:color="auto"/>
        <w:left w:val="none" w:sz="0" w:space="0" w:color="auto"/>
        <w:bottom w:val="none" w:sz="0" w:space="0" w:color="auto"/>
        <w:right w:val="none" w:sz="0" w:space="0" w:color="auto"/>
      </w:divBdr>
      <w:divsChild>
        <w:div w:id="575826686">
          <w:marLeft w:val="210"/>
          <w:marRight w:val="210"/>
          <w:marTop w:val="0"/>
          <w:marBottom w:val="0"/>
          <w:divBdr>
            <w:top w:val="none" w:sz="0" w:space="0" w:color="auto"/>
            <w:left w:val="none" w:sz="0" w:space="0" w:color="auto"/>
            <w:bottom w:val="none" w:sz="0" w:space="0" w:color="auto"/>
            <w:right w:val="none" w:sz="0" w:space="0" w:color="auto"/>
          </w:divBdr>
          <w:divsChild>
            <w:div w:id="575826687">
              <w:marLeft w:val="-210"/>
              <w:marRight w:val="-210"/>
              <w:marTop w:val="0"/>
              <w:marBottom w:val="0"/>
              <w:divBdr>
                <w:top w:val="none" w:sz="0" w:space="0" w:color="auto"/>
                <w:left w:val="none" w:sz="0" w:space="0" w:color="auto"/>
                <w:bottom w:val="none" w:sz="0" w:space="0" w:color="auto"/>
                <w:right w:val="none" w:sz="0" w:space="0" w:color="auto"/>
              </w:divBdr>
              <w:divsChild>
                <w:div w:id="575826683">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575826684">
      <w:marLeft w:val="0"/>
      <w:marRight w:val="0"/>
      <w:marTop w:val="0"/>
      <w:marBottom w:val="0"/>
      <w:divBdr>
        <w:top w:val="none" w:sz="0" w:space="0" w:color="auto"/>
        <w:left w:val="none" w:sz="0" w:space="0" w:color="auto"/>
        <w:bottom w:val="none" w:sz="0" w:space="0" w:color="auto"/>
        <w:right w:val="none" w:sz="0" w:space="0" w:color="auto"/>
      </w:divBdr>
    </w:div>
    <w:div w:id="575826685">
      <w:marLeft w:val="0"/>
      <w:marRight w:val="0"/>
      <w:marTop w:val="0"/>
      <w:marBottom w:val="0"/>
      <w:divBdr>
        <w:top w:val="none" w:sz="0" w:space="0" w:color="auto"/>
        <w:left w:val="none" w:sz="0" w:space="0" w:color="auto"/>
        <w:bottom w:val="none" w:sz="0" w:space="0" w:color="auto"/>
        <w:right w:val="none" w:sz="0" w:space="0" w:color="auto"/>
      </w:divBdr>
    </w:div>
    <w:div w:id="1131826531">
      <w:bodyDiv w:val="1"/>
      <w:marLeft w:val="0"/>
      <w:marRight w:val="0"/>
      <w:marTop w:val="0"/>
      <w:marBottom w:val="0"/>
      <w:divBdr>
        <w:top w:val="none" w:sz="0" w:space="0" w:color="auto"/>
        <w:left w:val="none" w:sz="0" w:space="0" w:color="auto"/>
        <w:bottom w:val="none" w:sz="0" w:space="0" w:color="auto"/>
        <w:right w:val="none" w:sz="0" w:space="0" w:color="auto"/>
      </w:divBdr>
    </w:div>
    <w:div w:id="12731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gera.eu/" TargetMode="External"/><Relationship Id="rId13" Type="http://schemas.openxmlformats.org/officeDocument/2006/relationships/hyperlink" Target="http://www.linkedin.com/company/graphene-flagsh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page/NHBrusselsEUBerlaymont?share" TargetMode="External"/><Relationship Id="rId12" Type="http://schemas.openxmlformats.org/officeDocument/2006/relationships/hyperlink" Target="http://www.facebook.com/GrapheneFlagsh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GrapheneCA" TargetMode="External"/><Relationship Id="rId5" Type="http://schemas.openxmlformats.org/officeDocument/2006/relationships/footnotes" Target="footnotes.xml"/><Relationship Id="rId15" Type="http://schemas.openxmlformats.org/officeDocument/2006/relationships/hyperlink" Target="http://www.youtube.com/user/GrapheneFlagship" TargetMode="External"/><Relationship Id="rId10" Type="http://schemas.openxmlformats.org/officeDocument/2006/relationships/hyperlink" Target="http://www.graphene-flagship.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graphene-flagship.eu" TargetMode="External"/><Relationship Id="rId14" Type="http://schemas.openxmlformats.org/officeDocument/2006/relationships/hyperlink" Target="http://instagram.com/grapheneflag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Elhuyar Fundazioa</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Gomollon-Bel</dc:creator>
  <cp:lastModifiedBy>Fernando Gomollón-Bel</cp:lastModifiedBy>
  <cp:revision>5</cp:revision>
  <cp:lastPrinted>2018-09-04T08:46:00Z</cp:lastPrinted>
  <dcterms:created xsi:type="dcterms:W3CDTF">2019-12-02T14:30:00Z</dcterms:created>
  <dcterms:modified xsi:type="dcterms:W3CDTF">2019-12-03T11:24:00Z</dcterms:modified>
</cp:coreProperties>
</file>