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62" w:rsidRPr="00D10643" w:rsidRDefault="001C3562" w:rsidP="009F02F2">
      <w:pPr>
        <w:ind w:right="-2"/>
        <w:rPr>
          <w:sz w:val="12"/>
          <w:szCs w:val="12"/>
        </w:rPr>
      </w:pPr>
    </w:p>
    <w:p w:rsidR="00D10643" w:rsidRDefault="00D10643" w:rsidP="009F02F2">
      <w:pPr>
        <w:ind w:right="-2"/>
      </w:pPr>
      <w:r>
        <w:t>Stockholm 2015-09-</w:t>
      </w:r>
      <w:r w:rsidR="008C6939">
        <w:t>23</w:t>
      </w:r>
    </w:p>
    <w:p w:rsidR="000D358D" w:rsidRDefault="000D358D" w:rsidP="009F02F2">
      <w:pPr>
        <w:ind w:right="-2"/>
      </w:pPr>
    </w:p>
    <w:p w:rsidR="00D10643" w:rsidRDefault="00D10643" w:rsidP="009F02F2">
      <w:pPr>
        <w:ind w:right="-2"/>
      </w:pPr>
    </w:p>
    <w:p w:rsidR="00F671C1" w:rsidRDefault="00F671C1" w:rsidP="009F02F2">
      <w:pPr>
        <w:ind w:right="-2"/>
      </w:pPr>
    </w:p>
    <w:p w:rsidR="00D10643" w:rsidRPr="004A6A90" w:rsidRDefault="00D10643" w:rsidP="00D10643">
      <w:pPr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BoldForaCharacterLarge"/>
          <w:sz w:val="24"/>
          <w:szCs w:val="24"/>
        </w:rPr>
        <w:t xml:space="preserve">928 miljoner kronor i deltidspensionspremier har hittills förts över till försäkringsbolagen </w:t>
      </w:r>
      <w:r>
        <w:rPr>
          <w:rStyle w:val="BoldForaCharacterLarge"/>
          <w:sz w:val="24"/>
          <w:szCs w:val="24"/>
        </w:rPr>
        <w:br/>
      </w:r>
    </w:p>
    <w:p w:rsidR="00D10643" w:rsidRPr="008C6939" w:rsidRDefault="008C6939" w:rsidP="00D10643">
      <w:pPr>
        <w:ind w:right="-2"/>
        <w:rPr>
          <w:rFonts w:ascii="Times New Roman" w:hAnsi="Times New Roman" w:cs="Times New Roman"/>
          <w:b/>
        </w:rPr>
      </w:pPr>
      <w:bookmarkStart w:id="0" w:name="_GoBack"/>
      <w:r w:rsidRPr="008C6939">
        <w:rPr>
          <w:rFonts w:ascii="Times New Roman" w:hAnsi="Times New Roman" w:cs="Times New Roman"/>
          <w:b/>
        </w:rPr>
        <w:t>Inom Avtalspension SAF-LO fakturerades deltidspensionspremierna för första gången i år och gäller för åren 2013-2014</w:t>
      </w:r>
      <w:r w:rsidR="00D10643" w:rsidRPr="008C6939">
        <w:rPr>
          <w:rFonts w:ascii="Times New Roman" w:hAnsi="Times New Roman" w:cs="Times New Roman"/>
          <w:b/>
        </w:rPr>
        <w:t xml:space="preserve">. Summa premier som hittills har betalats in är 928 miljoner kronor och av dessa står IF Metalls avtal för 97 procent, GS-fackets för 1,6 procent och Livsmedelsarbetareförbundets för 1,3 procent. </w:t>
      </w:r>
    </w:p>
    <w:bookmarkEnd w:id="0"/>
    <w:p w:rsidR="00D10643" w:rsidRPr="003C4603" w:rsidRDefault="00D10643" w:rsidP="00D10643">
      <w:pPr>
        <w:ind w:right="-2"/>
        <w:rPr>
          <w:rFonts w:ascii="Times New Roman" w:hAnsi="Times New Roman" w:cs="Times New Roman"/>
        </w:rPr>
      </w:pPr>
    </w:p>
    <w:p w:rsidR="00D10643" w:rsidRPr="003C4603" w:rsidRDefault="00D10643" w:rsidP="00D10643">
      <w:pPr>
        <w:ind w:right="-2"/>
        <w:rPr>
          <w:rFonts w:ascii="Times New Roman" w:hAnsi="Times New Roman" w:cs="Times New Roman"/>
        </w:rPr>
      </w:pPr>
      <w:r w:rsidRPr="003C4603">
        <w:rPr>
          <w:rFonts w:ascii="Times New Roman" w:hAnsi="Times New Roman" w:cs="Times New Roman"/>
        </w:rPr>
        <w:t>Totalt handlar det om 27 kollektivavtal med överenskomm</w:t>
      </w:r>
      <w:r>
        <w:rPr>
          <w:rFonts w:ascii="Times New Roman" w:hAnsi="Times New Roman" w:cs="Times New Roman"/>
        </w:rPr>
        <w:t xml:space="preserve">else om deltidspensionspremier. Avtalen ger möjlighet för den anställde att ansöka om deltidstjänst i pensioneringssyfte. </w:t>
      </w:r>
      <w:r w:rsidRPr="003C4603">
        <w:rPr>
          <w:rFonts w:ascii="Times New Roman" w:hAnsi="Times New Roman" w:cs="Times New Roman"/>
        </w:rPr>
        <w:t xml:space="preserve">Fackförbundet IF Metall var först ut </w:t>
      </w:r>
      <w:r>
        <w:rPr>
          <w:rFonts w:ascii="Times New Roman" w:hAnsi="Times New Roman" w:cs="Times New Roman"/>
        </w:rPr>
        <w:t xml:space="preserve">med </w:t>
      </w:r>
      <w:r w:rsidRPr="003C4603">
        <w:rPr>
          <w:rFonts w:ascii="Times New Roman" w:hAnsi="Times New Roman" w:cs="Times New Roman"/>
        </w:rPr>
        <w:t>avtal</w:t>
      </w:r>
      <w:r>
        <w:rPr>
          <w:rFonts w:ascii="Times New Roman" w:hAnsi="Times New Roman" w:cs="Times New Roman"/>
        </w:rPr>
        <w:t>en</w:t>
      </w:r>
      <w:r w:rsidRPr="003C4603">
        <w:rPr>
          <w:rFonts w:ascii="Times New Roman" w:hAnsi="Times New Roman" w:cs="Times New Roman"/>
        </w:rPr>
        <w:t xml:space="preserve"> och </w:t>
      </w:r>
      <w:r>
        <w:rPr>
          <w:rFonts w:ascii="Times New Roman" w:hAnsi="Times New Roman" w:cs="Times New Roman"/>
        </w:rPr>
        <w:t>sammanlagt</w:t>
      </w:r>
      <w:r w:rsidRPr="003C4603">
        <w:rPr>
          <w:rFonts w:ascii="Times New Roman" w:hAnsi="Times New Roman" w:cs="Times New Roman"/>
        </w:rPr>
        <w:t xml:space="preserve"> tecknades 11 avtal under år 2013 som </w:t>
      </w:r>
      <w:r>
        <w:rPr>
          <w:rFonts w:ascii="Times New Roman" w:hAnsi="Times New Roman" w:cs="Times New Roman"/>
        </w:rPr>
        <w:t>hittills inneburit</w:t>
      </w:r>
      <w:r w:rsidRPr="003C4603">
        <w:rPr>
          <w:rFonts w:ascii="Times New Roman" w:hAnsi="Times New Roman" w:cs="Times New Roman"/>
        </w:rPr>
        <w:t xml:space="preserve"> cirka 314 miljoner </w:t>
      </w:r>
      <w:r>
        <w:rPr>
          <w:rFonts w:ascii="Times New Roman" w:hAnsi="Times New Roman" w:cs="Times New Roman"/>
        </w:rPr>
        <w:t>kronor i inbetalda deltidspensionspremier</w:t>
      </w:r>
      <w:r w:rsidRPr="003C4603">
        <w:rPr>
          <w:rFonts w:ascii="Times New Roman" w:hAnsi="Times New Roman" w:cs="Times New Roman"/>
        </w:rPr>
        <w:t xml:space="preserve">. År 2014 </w:t>
      </w:r>
      <w:r>
        <w:rPr>
          <w:rFonts w:ascii="Times New Roman" w:hAnsi="Times New Roman" w:cs="Times New Roman"/>
        </w:rPr>
        <w:t>slöts ytterligare sju</w:t>
      </w:r>
      <w:r w:rsidRPr="003C4603">
        <w:rPr>
          <w:rFonts w:ascii="Times New Roman" w:hAnsi="Times New Roman" w:cs="Times New Roman"/>
        </w:rPr>
        <w:t xml:space="preserve"> avtal inom IF Metall. Även GS-facket och Livsmedels</w:t>
      </w:r>
      <w:r>
        <w:rPr>
          <w:rFonts w:ascii="Times New Roman" w:hAnsi="Times New Roman" w:cs="Times New Roman"/>
        </w:rPr>
        <w:t>arbetare</w:t>
      </w:r>
      <w:r w:rsidRPr="003C4603">
        <w:rPr>
          <w:rFonts w:ascii="Times New Roman" w:hAnsi="Times New Roman" w:cs="Times New Roman"/>
        </w:rPr>
        <w:t>förbundet tecknade kollektivavtal med överenskommelse om deltidspensionspremier under 2014</w:t>
      </w:r>
      <w:r>
        <w:rPr>
          <w:rFonts w:ascii="Times New Roman" w:hAnsi="Times New Roman" w:cs="Times New Roman"/>
        </w:rPr>
        <w:t>.</w:t>
      </w:r>
      <w:r w:rsidRPr="002A434F">
        <w:t xml:space="preserve"> </w:t>
      </w:r>
      <w:r w:rsidRPr="002A434F">
        <w:rPr>
          <w:rFonts w:ascii="Times New Roman" w:hAnsi="Times New Roman" w:cs="Times New Roman"/>
        </w:rPr>
        <w:t>För år 2014 har de 27 kollektivavtalen</w:t>
      </w:r>
      <w:r>
        <w:rPr>
          <w:rFonts w:ascii="Times New Roman" w:hAnsi="Times New Roman" w:cs="Times New Roman"/>
        </w:rPr>
        <w:t xml:space="preserve"> </w:t>
      </w:r>
      <w:r w:rsidRPr="002A434F">
        <w:rPr>
          <w:rFonts w:ascii="Times New Roman" w:hAnsi="Times New Roman" w:cs="Times New Roman"/>
        </w:rPr>
        <w:t>hittills g</w:t>
      </w:r>
      <w:r>
        <w:rPr>
          <w:rFonts w:ascii="Times New Roman" w:hAnsi="Times New Roman" w:cs="Times New Roman"/>
        </w:rPr>
        <w:t>ett</w:t>
      </w:r>
      <w:r w:rsidRPr="002A434F">
        <w:rPr>
          <w:rFonts w:ascii="Times New Roman" w:hAnsi="Times New Roman" w:cs="Times New Roman"/>
        </w:rPr>
        <w:t xml:space="preserve"> cirka 614 miljoner kronor i inbetalda premier.</w:t>
      </w:r>
    </w:p>
    <w:p w:rsidR="00D10643" w:rsidRPr="003C4603" w:rsidRDefault="00D10643" w:rsidP="00D10643">
      <w:pPr>
        <w:ind w:right="-2"/>
        <w:rPr>
          <w:rFonts w:ascii="Times New Roman" w:hAnsi="Times New Roman" w:cs="Times New Roman"/>
        </w:rPr>
      </w:pPr>
    </w:p>
    <w:p w:rsidR="00D10643" w:rsidRPr="003C4603" w:rsidRDefault="00D10643" w:rsidP="00D10643">
      <w:pPr>
        <w:ind w:right="-2"/>
        <w:rPr>
          <w:rFonts w:ascii="Times New Roman" w:hAnsi="Times New Roman" w:cs="Times New Roman"/>
        </w:rPr>
      </w:pPr>
      <w:r w:rsidRPr="003C4603">
        <w:rPr>
          <w:rFonts w:ascii="Times New Roman" w:hAnsi="Times New Roman" w:cs="Times New Roman"/>
        </w:rPr>
        <w:t xml:space="preserve">Fördelningen mellan fackförbunden i de 27 kollektivavtalen ser ut </w:t>
      </w:r>
      <w:r>
        <w:rPr>
          <w:rFonts w:ascii="Times New Roman" w:hAnsi="Times New Roman" w:cs="Times New Roman"/>
        </w:rPr>
        <w:t>som följer</w:t>
      </w:r>
      <w:r w:rsidRPr="003C4603">
        <w:rPr>
          <w:rFonts w:ascii="Times New Roman" w:hAnsi="Times New Roman" w:cs="Times New Roman"/>
        </w:rPr>
        <w:t>:</w:t>
      </w:r>
    </w:p>
    <w:p w:rsidR="00D10643" w:rsidRPr="004A6A90" w:rsidRDefault="00D10643" w:rsidP="00D10643">
      <w:pPr>
        <w:pStyle w:val="Liststycke"/>
        <w:numPr>
          <w:ilvl w:val="0"/>
          <w:numId w:val="3"/>
        </w:numPr>
        <w:ind w:right="-2"/>
        <w:rPr>
          <w:rFonts w:ascii="Times New Roman" w:hAnsi="Times New Roman" w:cs="Times New Roman"/>
        </w:rPr>
      </w:pPr>
      <w:r w:rsidRPr="004A6A90">
        <w:rPr>
          <w:rFonts w:ascii="Times New Roman" w:hAnsi="Times New Roman" w:cs="Times New Roman"/>
        </w:rPr>
        <w:t>IF Metall, 18 avtal</w:t>
      </w:r>
    </w:p>
    <w:p w:rsidR="00D10643" w:rsidRPr="004A6A90" w:rsidRDefault="00D10643" w:rsidP="00D10643">
      <w:pPr>
        <w:pStyle w:val="Liststycke"/>
        <w:numPr>
          <w:ilvl w:val="0"/>
          <w:numId w:val="3"/>
        </w:numPr>
        <w:ind w:right="-2"/>
        <w:rPr>
          <w:rFonts w:ascii="Times New Roman" w:hAnsi="Times New Roman" w:cs="Times New Roman"/>
        </w:rPr>
      </w:pPr>
      <w:r w:rsidRPr="004A6A90">
        <w:rPr>
          <w:rFonts w:ascii="Times New Roman" w:hAnsi="Times New Roman" w:cs="Times New Roman"/>
        </w:rPr>
        <w:t>GS-facket, 5 avtal</w:t>
      </w:r>
    </w:p>
    <w:p w:rsidR="00D10643" w:rsidRPr="004A6A90" w:rsidRDefault="00D10643" w:rsidP="00D10643">
      <w:pPr>
        <w:pStyle w:val="Liststycke"/>
        <w:numPr>
          <w:ilvl w:val="0"/>
          <w:numId w:val="3"/>
        </w:numPr>
        <w:ind w:right="-2"/>
        <w:rPr>
          <w:rFonts w:ascii="Times New Roman" w:hAnsi="Times New Roman" w:cs="Times New Roman"/>
        </w:rPr>
      </w:pPr>
      <w:r w:rsidRPr="004A6A90">
        <w:rPr>
          <w:rFonts w:ascii="Times New Roman" w:hAnsi="Times New Roman" w:cs="Times New Roman"/>
        </w:rPr>
        <w:t>Livsmedelsarbetareförbundet, 4 avtal.</w:t>
      </w:r>
    </w:p>
    <w:p w:rsidR="00D10643" w:rsidRDefault="00D10643" w:rsidP="00D10643">
      <w:pPr>
        <w:ind w:right="-2"/>
        <w:rPr>
          <w:rFonts w:ascii="Times New Roman" w:hAnsi="Times New Roman" w:cs="Times New Roman"/>
        </w:rPr>
      </w:pPr>
    </w:p>
    <w:p w:rsidR="00D10643" w:rsidRPr="003C4603" w:rsidRDefault="00D10643" w:rsidP="00D10643">
      <w:pP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Drygt</w:t>
      </w:r>
      <w:r w:rsidRPr="003C4603">
        <w:rPr>
          <w:rFonts w:ascii="Times New Roman" w:hAnsi="Times New Roman" w:cs="Times New Roman"/>
        </w:rPr>
        <w:t xml:space="preserve"> 300 000 anställda omfatta</w:t>
      </w:r>
      <w:r>
        <w:rPr>
          <w:rFonts w:ascii="Times New Roman" w:hAnsi="Times New Roman" w:cs="Times New Roman"/>
        </w:rPr>
        <w:t>de</w:t>
      </w:r>
      <w:r w:rsidRPr="003C4603">
        <w:rPr>
          <w:rFonts w:ascii="Times New Roman" w:hAnsi="Times New Roman" w:cs="Times New Roman"/>
        </w:rPr>
        <w:t>s av deltidspensionspremier</w:t>
      </w:r>
      <w:r>
        <w:rPr>
          <w:rFonts w:ascii="Times New Roman" w:hAnsi="Times New Roman" w:cs="Times New Roman"/>
        </w:rPr>
        <w:t xml:space="preserve"> år 2014</w:t>
      </w:r>
      <w:r w:rsidRPr="003C4603">
        <w:rPr>
          <w:rFonts w:ascii="Times New Roman" w:hAnsi="Times New Roman" w:cs="Times New Roman"/>
        </w:rPr>
        <w:t xml:space="preserve">. Tabell 1 visar åldersfördelningen </w:t>
      </w:r>
      <w:r>
        <w:rPr>
          <w:rFonts w:ascii="Times New Roman" w:hAnsi="Times New Roman" w:cs="Times New Roman"/>
        </w:rPr>
        <w:t>bland de 300 000</w:t>
      </w:r>
      <w:r w:rsidRPr="003C4603">
        <w:rPr>
          <w:rFonts w:ascii="Times New Roman" w:hAnsi="Times New Roman" w:cs="Times New Roman"/>
        </w:rPr>
        <w:t xml:space="preserve">. Tabell 2 visar fördelningen mellan </w:t>
      </w:r>
      <w:r>
        <w:rPr>
          <w:rFonts w:ascii="Times New Roman" w:hAnsi="Times New Roman" w:cs="Times New Roman"/>
        </w:rPr>
        <w:t xml:space="preserve">fackförbund och </w:t>
      </w:r>
      <w:r w:rsidRPr="003C4603">
        <w:rPr>
          <w:rFonts w:ascii="Times New Roman" w:hAnsi="Times New Roman" w:cs="Times New Roman"/>
        </w:rPr>
        <w:t xml:space="preserve">kön på det totala antalet </w:t>
      </w:r>
      <w:r>
        <w:rPr>
          <w:rFonts w:ascii="Times New Roman" w:hAnsi="Times New Roman" w:cs="Times New Roman"/>
        </w:rPr>
        <w:t xml:space="preserve">anställda som omfattas </w:t>
      </w:r>
      <w:r w:rsidRPr="003C4603">
        <w:rPr>
          <w:rFonts w:ascii="Times New Roman" w:hAnsi="Times New Roman" w:cs="Times New Roman"/>
        </w:rPr>
        <w:t>av deltidspensionspremier.</w:t>
      </w:r>
    </w:p>
    <w:p w:rsidR="00D10643" w:rsidRPr="003C4603" w:rsidRDefault="00D10643" w:rsidP="00D10643">
      <w:pPr>
        <w:ind w:right="-2"/>
        <w:rPr>
          <w:rFonts w:ascii="Times New Roman" w:hAnsi="Times New Roman" w:cs="Times New Roman"/>
        </w:rPr>
      </w:pPr>
    </w:p>
    <w:p w:rsidR="00D10643" w:rsidRDefault="00D10643" w:rsidP="00D10643">
      <w:pPr>
        <w:rPr>
          <w:rFonts w:ascii="Times New Roman" w:hAnsi="Times New Roman" w:cs="Times New Roman"/>
        </w:rPr>
      </w:pPr>
      <w:r w:rsidRPr="003C4603">
        <w:rPr>
          <w:rFonts w:ascii="Times New Roman" w:hAnsi="Times New Roman" w:cs="Times New Roman"/>
        </w:rPr>
        <w:t xml:space="preserve">Premierna som betalas in även för den som inte har fyllt 25 år är en extra insättning till Avtalspension SAF-LO och ger ett extra tillskott </w:t>
      </w:r>
      <w:r>
        <w:rPr>
          <w:rFonts w:ascii="Times New Roman" w:hAnsi="Times New Roman" w:cs="Times New Roman"/>
        </w:rPr>
        <w:t>till</w:t>
      </w:r>
      <w:r w:rsidRPr="003C4603">
        <w:rPr>
          <w:rFonts w:ascii="Times New Roman" w:hAnsi="Times New Roman" w:cs="Times New Roman"/>
        </w:rPr>
        <w:t xml:space="preserve"> den totala tjänstepensionen. </w:t>
      </w:r>
    </w:p>
    <w:p w:rsidR="00D10643" w:rsidRDefault="00D10643" w:rsidP="00D10643">
      <w:pPr>
        <w:rPr>
          <w:rFonts w:ascii="Times New Roman" w:hAnsi="Times New Roman" w:cs="Times New Roman"/>
        </w:rPr>
      </w:pPr>
    </w:p>
    <w:p w:rsidR="00D10643" w:rsidRPr="003C4603" w:rsidRDefault="00D10643" w:rsidP="00D10643">
      <w:pPr>
        <w:rPr>
          <w:rFonts w:ascii="Times New Roman" w:hAnsi="Times New Roman" w:cs="Times New Roman"/>
        </w:rPr>
      </w:pPr>
      <w:r w:rsidRPr="003C4603">
        <w:rPr>
          <w:rFonts w:ascii="Times New Roman" w:hAnsi="Times New Roman" w:cs="Times New Roman"/>
        </w:rPr>
        <w:t xml:space="preserve">Från och med den 1 juli 2015 gäller nya regler för pensionsuttag i Avtalspension SAF-LO. </w:t>
      </w:r>
      <w:r>
        <w:rPr>
          <w:rFonts w:ascii="Times New Roman" w:hAnsi="Times New Roman" w:cs="Times New Roman"/>
        </w:rPr>
        <w:t>D</w:t>
      </w:r>
      <w:r w:rsidRPr="003C4603">
        <w:rPr>
          <w:rFonts w:ascii="Times New Roman" w:hAnsi="Times New Roman" w:cs="Times New Roman"/>
        </w:rPr>
        <w:t xml:space="preserve">e nya reglerna </w:t>
      </w:r>
      <w:r>
        <w:rPr>
          <w:rFonts w:ascii="Times New Roman" w:hAnsi="Times New Roman" w:cs="Times New Roman"/>
        </w:rPr>
        <w:t xml:space="preserve">ger möjlighet </w:t>
      </w:r>
      <w:r w:rsidRPr="003C4603">
        <w:rPr>
          <w:rFonts w:ascii="Times New Roman" w:hAnsi="Times New Roman" w:cs="Times New Roman"/>
        </w:rPr>
        <w:t xml:space="preserve">att ta ut del av pensionen om </w:t>
      </w:r>
      <w:r w:rsidR="0042365E">
        <w:rPr>
          <w:rFonts w:ascii="Times New Roman" w:hAnsi="Times New Roman" w:cs="Times New Roman"/>
        </w:rPr>
        <w:t>man</w:t>
      </w:r>
      <w:r w:rsidRPr="003C4603">
        <w:rPr>
          <w:rFonts w:ascii="Times New Roman" w:hAnsi="Times New Roman" w:cs="Times New Roman"/>
        </w:rPr>
        <w:t xml:space="preserve"> går ner i arbetstid. </w:t>
      </w:r>
    </w:p>
    <w:p w:rsidR="00D10643" w:rsidRPr="003C4603" w:rsidRDefault="00D10643" w:rsidP="00D10643">
      <w:pPr>
        <w:rPr>
          <w:rFonts w:ascii="Times New Roman" w:hAnsi="Times New Roman" w:cs="Times New Roman"/>
        </w:rPr>
      </w:pPr>
    </w:p>
    <w:p w:rsidR="00D10643" w:rsidRPr="003C4603" w:rsidRDefault="00D10643" w:rsidP="00D10643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3C4603">
        <w:rPr>
          <w:rFonts w:ascii="Times New Roman" w:hAnsi="Times New Roman" w:cs="Times New Roman"/>
        </w:rPr>
        <w:t xml:space="preserve">Viktigt att veta är att </w:t>
      </w:r>
      <w:r w:rsidR="0042365E">
        <w:rPr>
          <w:rFonts w:ascii="Times New Roman" w:hAnsi="Times New Roman" w:cs="Times New Roman"/>
        </w:rPr>
        <w:t>man</w:t>
      </w:r>
      <w:r w:rsidRPr="003C4603">
        <w:rPr>
          <w:rFonts w:ascii="Times New Roman" w:hAnsi="Times New Roman" w:cs="Times New Roman"/>
        </w:rPr>
        <w:t xml:space="preserve"> endast kan ta ut ett pensionsbelopp som motsvarar det </w:t>
      </w:r>
      <w:r w:rsidR="0042365E">
        <w:rPr>
          <w:rFonts w:ascii="Times New Roman" w:hAnsi="Times New Roman" w:cs="Times New Roman"/>
        </w:rPr>
        <w:t>man</w:t>
      </w:r>
      <w:r w:rsidRPr="003C4603">
        <w:rPr>
          <w:rFonts w:ascii="Times New Roman" w:hAnsi="Times New Roman" w:cs="Times New Roman"/>
        </w:rPr>
        <w:t xml:space="preserve"> förlorar i arbetsinkomst när </w:t>
      </w:r>
      <w:r w:rsidR="0042365E">
        <w:rPr>
          <w:rFonts w:ascii="Times New Roman" w:hAnsi="Times New Roman" w:cs="Times New Roman"/>
        </w:rPr>
        <w:t>man</w:t>
      </w:r>
      <w:r w:rsidRPr="003C4603">
        <w:rPr>
          <w:rFonts w:ascii="Times New Roman" w:hAnsi="Times New Roman" w:cs="Times New Roman"/>
        </w:rPr>
        <w:t xml:space="preserve"> går ner i arbetstid, säger pensionsspecialist Åsa Gidlund. </w:t>
      </w:r>
      <w:r w:rsidR="0042365E">
        <w:rPr>
          <w:rFonts w:ascii="Times New Roman" w:hAnsi="Times New Roman" w:cs="Times New Roman"/>
        </w:rPr>
        <w:t>Man</w:t>
      </w:r>
      <w:r w:rsidRPr="003C46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bestämmer </w:t>
      </w:r>
      <w:r w:rsidRPr="003C4603">
        <w:rPr>
          <w:rFonts w:ascii="Times New Roman" w:hAnsi="Times New Roman" w:cs="Times New Roman"/>
        </w:rPr>
        <w:t xml:space="preserve">själv om </w:t>
      </w:r>
      <w:r w:rsidR="0042365E">
        <w:rPr>
          <w:rFonts w:ascii="Times New Roman" w:hAnsi="Times New Roman" w:cs="Times New Roman"/>
        </w:rPr>
        <w:t>man</w:t>
      </w:r>
      <w:r w:rsidRPr="003C4603">
        <w:rPr>
          <w:rFonts w:ascii="Times New Roman" w:hAnsi="Times New Roman" w:cs="Times New Roman"/>
        </w:rPr>
        <w:t xml:space="preserve"> vill ta ut maxbeloppet </w:t>
      </w:r>
      <w:r>
        <w:rPr>
          <w:rFonts w:ascii="Times New Roman" w:hAnsi="Times New Roman" w:cs="Times New Roman"/>
        </w:rPr>
        <w:t xml:space="preserve">per månad </w:t>
      </w:r>
      <w:r w:rsidRPr="003C4603">
        <w:rPr>
          <w:rFonts w:ascii="Times New Roman" w:hAnsi="Times New Roman" w:cs="Times New Roman"/>
        </w:rPr>
        <w:t>eller ett lägre belopp.</w:t>
      </w:r>
      <w:r w:rsidR="0042365E">
        <w:rPr>
          <w:rFonts w:ascii="Times New Roman" w:hAnsi="Times New Roman" w:cs="Times New Roman"/>
        </w:rPr>
        <w:t xml:space="preserve"> För information om den egna pensionen och vad deluttag av pensionen innebär hänvisar vi till </w:t>
      </w:r>
      <w:r w:rsidR="008F268C">
        <w:rPr>
          <w:rFonts w:ascii="Times New Roman" w:hAnsi="Times New Roman" w:cs="Times New Roman"/>
        </w:rPr>
        <w:t xml:space="preserve">berört </w:t>
      </w:r>
      <w:r w:rsidR="0042365E">
        <w:rPr>
          <w:rFonts w:ascii="Times New Roman" w:hAnsi="Times New Roman" w:cs="Times New Roman"/>
        </w:rPr>
        <w:t xml:space="preserve">försäkringsbolag. </w:t>
      </w:r>
      <w:r w:rsidRPr="003C4603">
        <w:rPr>
          <w:rFonts w:ascii="Times New Roman" w:hAnsi="Times New Roman" w:cs="Times New Roman"/>
        </w:rPr>
        <w:t xml:space="preserve">Allmän information om de nya uttagsreglerna för Avtalspension SAF-LO </w:t>
      </w:r>
      <w:r w:rsidR="0042365E">
        <w:rPr>
          <w:rFonts w:ascii="Times New Roman" w:hAnsi="Times New Roman" w:cs="Times New Roman"/>
        </w:rPr>
        <w:t>finns att läsa</w:t>
      </w:r>
      <w:r w:rsidRPr="003C4603">
        <w:rPr>
          <w:rFonts w:ascii="Times New Roman" w:hAnsi="Times New Roman" w:cs="Times New Roman"/>
        </w:rPr>
        <w:t xml:space="preserve"> på fora.se.</w:t>
      </w:r>
    </w:p>
    <w:p w:rsidR="00D10643" w:rsidRDefault="00D10643" w:rsidP="00D10643">
      <w:pPr>
        <w:rPr>
          <w:rFonts w:ascii="Times New Roman" w:hAnsi="Times New Roman" w:cs="Times New Roman"/>
        </w:rPr>
      </w:pPr>
    </w:p>
    <w:p w:rsidR="00D10643" w:rsidRDefault="00D10643" w:rsidP="00D10643">
      <w:pPr>
        <w:ind w:right="-2"/>
        <w:rPr>
          <w:rFonts w:ascii="Times New Roman" w:hAnsi="Times New Roman" w:cs="Times New Roman"/>
        </w:rPr>
      </w:pPr>
    </w:p>
    <w:p w:rsidR="00D10643" w:rsidRDefault="00D10643" w:rsidP="00D10643">
      <w:pPr>
        <w:ind w:right="-2"/>
        <w:rPr>
          <w:rFonts w:ascii="Times New Roman" w:hAnsi="Times New Roman" w:cs="Times New Roman"/>
        </w:rPr>
      </w:pPr>
    </w:p>
    <w:p w:rsidR="00D10643" w:rsidRPr="003C4603" w:rsidRDefault="00D10643" w:rsidP="00D10643">
      <w:pPr>
        <w:ind w:right="-2"/>
        <w:rPr>
          <w:rFonts w:ascii="Times New Roman" w:hAnsi="Times New Roman" w:cs="Times New Roman"/>
        </w:rPr>
      </w:pPr>
    </w:p>
    <w:p w:rsidR="00D10643" w:rsidRPr="003C4603" w:rsidRDefault="00D10643" w:rsidP="00D10643">
      <w:pPr>
        <w:ind w:right="-2"/>
        <w:rPr>
          <w:rFonts w:ascii="Times New Roman" w:hAnsi="Times New Roman" w:cs="Times New Roman"/>
          <w:sz w:val="16"/>
          <w:szCs w:val="16"/>
          <w:u w:val="single"/>
        </w:rPr>
      </w:pPr>
      <w:r w:rsidRPr="003C4603">
        <w:rPr>
          <w:rFonts w:ascii="Times New Roman" w:hAnsi="Times New Roman" w:cs="Times New Roman"/>
          <w:sz w:val="16"/>
          <w:szCs w:val="16"/>
          <w:u w:val="single"/>
        </w:rPr>
        <w:t>För mer information, kontakta:</w:t>
      </w:r>
    </w:p>
    <w:p w:rsidR="00D10643" w:rsidRPr="003C4603" w:rsidRDefault="00D10643" w:rsidP="00D10643">
      <w:pPr>
        <w:ind w:right="-2"/>
        <w:rPr>
          <w:rFonts w:ascii="Times New Roman" w:hAnsi="Times New Roman" w:cs="Times New Roman"/>
          <w:sz w:val="20"/>
          <w:szCs w:val="20"/>
        </w:rPr>
      </w:pPr>
      <w:r w:rsidRPr="003C4603">
        <w:rPr>
          <w:rFonts w:ascii="Times New Roman" w:hAnsi="Times New Roman" w:cs="Times New Roman"/>
          <w:sz w:val="20"/>
          <w:szCs w:val="20"/>
        </w:rPr>
        <w:t>Åsa Gidlund, Pensionsspecialist</w:t>
      </w:r>
      <w:r w:rsidRPr="003C4603">
        <w:rPr>
          <w:rFonts w:ascii="Times New Roman" w:hAnsi="Times New Roman" w:cs="Times New Roman"/>
          <w:sz w:val="20"/>
          <w:szCs w:val="20"/>
        </w:rPr>
        <w:tab/>
      </w:r>
      <w:r w:rsidRPr="003C4603">
        <w:rPr>
          <w:rFonts w:ascii="Times New Roman" w:hAnsi="Times New Roman" w:cs="Times New Roman"/>
          <w:sz w:val="20"/>
          <w:szCs w:val="20"/>
        </w:rPr>
        <w:tab/>
        <w:t>Louise Westerdahl, Pressansvarig</w:t>
      </w:r>
    </w:p>
    <w:p w:rsidR="00D10643" w:rsidRPr="003C4603" w:rsidRDefault="00D10643" w:rsidP="00D10643">
      <w:pPr>
        <w:ind w:right="-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asa.gidlund@fora.se</w:t>
      </w:r>
      <w:r w:rsidRPr="003C4603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55B5B">
        <w:rPr>
          <w:rFonts w:ascii="Times New Roman" w:hAnsi="Times New Roman" w:cs="Times New Roman"/>
          <w:sz w:val="20"/>
          <w:szCs w:val="20"/>
          <w:lang w:val="en-US"/>
        </w:rPr>
        <w:t>louise.westerdahl@fora.se</w:t>
      </w:r>
      <w:r w:rsidRPr="003C4603">
        <w:rPr>
          <w:rFonts w:ascii="Times New Roman" w:hAnsi="Times New Roman" w:cs="Times New Roman"/>
          <w:sz w:val="20"/>
          <w:szCs w:val="20"/>
          <w:lang w:val="en-US"/>
        </w:rPr>
        <w:t>, Tel 070-787 1530</w:t>
      </w:r>
    </w:p>
    <w:p w:rsidR="00D10643" w:rsidRDefault="00D10643" w:rsidP="00D10643">
      <w:pPr>
        <w:rPr>
          <w:lang w:val="en-US"/>
        </w:rPr>
      </w:pPr>
      <w:r>
        <w:rPr>
          <w:lang w:val="en-US"/>
        </w:rPr>
        <w:br w:type="page"/>
      </w:r>
    </w:p>
    <w:p w:rsidR="00D10643" w:rsidRPr="00B458FE" w:rsidRDefault="00D10643" w:rsidP="00D10643">
      <w:pPr>
        <w:ind w:right="-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8FE">
        <w:rPr>
          <w:rFonts w:ascii="Times New Roman" w:hAnsi="Times New Roman" w:cs="Times New Roman"/>
          <w:b/>
          <w:sz w:val="24"/>
          <w:szCs w:val="24"/>
        </w:rPr>
        <w:lastRenderedPageBreak/>
        <w:t>Tabell</w:t>
      </w:r>
      <w:r w:rsidRPr="00B458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D10643" w:rsidRPr="003717D9" w:rsidRDefault="00D10643" w:rsidP="00D10643">
      <w:pPr>
        <w:ind w:right="-2"/>
        <w:rPr>
          <w:lang w:val="en-US"/>
        </w:rPr>
      </w:pPr>
    </w:p>
    <w:tbl>
      <w:tblPr>
        <w:tblStyle w:val="Ljusskuggning"/>
        <w:tblW w:w="2376" w:type="dxa"/>
        <w:tblLook w:val="04A0" w:firstRow="1" w:lastRow="0" w:firstColumn="1" w:lastColumn="0" w:noHBand="0" w:noVBand="1"/>
      </w:tblPr>
      <w:tblGrid>
        <w:gridCol w:w="1242"/>
        <w:gridCol w:w="1134"/>
      </w:tblGrid>
      <w:tr w:rsidR="00D10643" w:rsidRPr="00BD08A5" w:rsidTr="00EB3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Ålder 2014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Antal</w:t>
            </w:r>
          </w:p>
        </w:tc>
      </w:tr>
      <w:tr w:rsidR="00D10643" w:rsidRPr="00BD08A5" w:rsidTr="00EB3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&gt; 65 år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4 697</w:t>
            </w:r>
          </w:p>
        </w:tc>
      </w:tr>
      <w:tr w:rsidR="00D10643" w:rsidRPr="00BD08A5" w:rsidTr="00EB32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55-64 år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51 298</w:t>
            </w:r>
          </w:p>
        </w:tc>
      </w:tr>
      <w:tr w:rsidR="00D10643" w:rsidRPr="00BD08A5" w:rsidTr="00EB3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45-54 år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71 086</w:t>
            </w:r>
          </w:p>
        </w:tc>
      </w:tr>
      <w:tr w:rsidR="00D10643" w:rsidRPr="00BD08A5" w:rsidTr="00EB32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35-44 år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62 573</w:t>
            </w:r>
          </w:p>
        </w:tc>
      </w:tr>
      <w:tr w:rsidR="00D10643" w:rsidRPr="00BD08A5" w:rsidTr="00EB3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25-34 år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63 398</w:t>
            </w:r>
          </w:p>
        </w:tc>
      </w:tr>
      <w:tr w:rsidR="00D10643" w:rsidRPr="00BD08A5" w:rsidTr="00EB32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&lt; 25 år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58 613</w:t>
            </w:r>
          </w:p>
        </w:tc>
      </w:tr>
      <w:tr w:rsidR="00D10643" w:rsidRPr="00BD08A5" w:rsidTr="00EB3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D10643" w:rsidRPr="00BD08A5" w:rsidRDefault="00D10643" w:rsidP="00EB32C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134" w:type="dxa"/>
            <w:noWrap/>
            <w:hideMark/>
          </w:tcPr>
          <w:p w:rsidR="00D10643" w:rsidRPr="00BD08A5" w:rsidRDefault="00D10643" w:rsidP="00EB32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311 665</w:t>
            </w:r>
          </w:p>
        </w:tc>
      </w:tr>
    </w:tbl>
    <w:p w:rsidR="00D10643" w:rsidRDefault="00D10643" w:rsidP="00D10643">
      <w:pPr>
        <w:ind w:right="-2"/>
      </w:pPr>
    </w:p>
    <w:p w:rsidR="00D10643" w:rsidRPr="00F66833" w:rsidRDefault="00D10643" w:rsidP="00D10643">
      <w:pPr>
        <w:ind w:right="-2"/>
        <w:rPr>
          <w:sz w:val="20"/>
          <w:szCs w:val="20"/>
        </w:rPr>
      </w:pPr>
      <w:r w:rsidRPr="00F66833">
        <w:rPr>
          <w:sz w:val="20"/>
          <w:szCs w:val="20"/>
        </w:rPr>
        <w:t>Tabellen visar åldersfördelningen bland anställda som omfattades av deltidspensionspremier år 2014.</w:t>
      </w:r>
    </w:p>
    <w:p w:rsidR="00D10643" w:rsidRDefault="00D10643" w:rsidP="00D10643">
      <w:pPr>
        <w:ind w:right="-2"/>
      </w:pPr>
    </w:p>
    <w:p w:rsidR="00D10643" w:rsidRDefault="00D10643" w:rsidP="00D10643">
      <w:pPr>
        <w:rPr>
          <w:rFonts w:ascii="Times New Roman" w:hAnsi="Times New Roman" w:cs="Times New Roman"/>
          <w:sz w:val="20"/>
          <w:szCs w:val="20"/>
        </w:rPr>
      </w:pPr>
    </w:p>
    <w:p w:rsidR="00D10643" w:rsidRPr="00B458FE" w:rsidRDefault="00D10643" w:rsidP="00D10643">
      <w:pPr>
        <w:rPr>
          <w:rFonts w:ascii="Times New Roman" w:hAnsi="Times New Roman" w:cs="Times New Roman"/>
          <w:b/>
          <w:sz w:val="24"/>
          <w:szCs w:val="24"/>
        </w:rPr>
      </w:pPr>
      <w:r w:rsidRPr="00B458FE">
        <w:rPr>
          <w:rFonts w:ascii="Times New Roman" w:hAnsi="Times New Roman" w:cs="Times New Roman"/>
          <w:b/>
          <w:sz w:val="24"/>
          <w:szCs w:val="24"/>
        </w:rPr>
        <w:t>Tabell 2</w:t>
      </w:r>
    </w:p>
    <w:p w:rsidR="00D10643" w:rsidRPr="0022630F" w:rsidRDefault="00D10643" w:rsidP="00D10643">
      <w:pPr>
        <w:rPr>
          <w:rFonts w:ascii="Times New Roman" w:hAnsi="Times New Roman" w:cs="Times New Roman"/>
          <w:sz w:val="20"/>
          <w:szCs w:val="20"/>
        </w:rPr>
      </w:pPr>
    </w:p>
    <w:p w:rsidR="00D10643" w:rsidRPr="00241A5F" w:rsidRDefault="00D10643" w:rsidP="00D10643">
      <w:pPr>
        <w:rPr>
          <w:rFonts w:ascii="Arial" w:hAnsi="Arial" w:cs="Arial"/>
          <w:sz w:val="12"/>
          <w:szCs w:val="12"/>
        </w:rPr>
      </w:pPr>
    </w:p>
    <w:tbl>
      <w:tblPr>
        <w:tblStyle w:val="Ljusskuggning"/>
        <w:tblW w:w="6629" w:type="dxa"/>
        <w:tblLook w:val="04A0" w:firstRow="1" w:lastRow="0" w:firstColumn="1" w:lastColumn="0" w:noHBand="0" w:noVBand="1"/>
      </w:tblPr>
      <w:tblGrid>
        <w:gridCol w:w="2684"/>
        <w:gridCol w:w="1260"/>
        <w:gridCol w:w="1433"/>
        <w:gridCol w:w="1276"/>
      </w:tblGrid>
      <w:tr w:rsidR="00D10643" w:rsidRPr="00BD08A5" w:rsidTr="00EB3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outlineLvl w:val="8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Fackförbund</w:t>
            </w:r>
          </w:p>
        </w:tc>
        <w:tc>
          <w:tcPr>
            <w:tcW w:w="12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Antal</w:t>
            </w: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1433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antal </w:t>
            </w: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1276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08A5">
              <w:rPr>
                <w:rFonts w:ascii="Calibri" w:hAnsi="Calibri" w:cs="Times New Roman"/>
                <w:color w:val="000000"/>
                <w:sz w:val="20"/>
                <w:szCs w:val="20"/>
              </w:rPr>
              <w:t>a</w:t>
            </w: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ntal män </w:t>
            </w:r>
          </w:p>
        </w:tc>
      </w:tr>
      <w:tr w:rsidR="00D10643" w:rsidRPr="00BD08A5" w:rsidTr="00EB3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outlineLvl w:val="8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IF Metall</w:t>
            </w:r>
          </w:p>
        </w:tc>
        <w:tc>
          <w:tcPr>
            <w:tcW w:w="12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230 563</w:t>
            </w:r>
          </w:p>
        </w:tc>
        <w:tc>
          <w:tcPr>
            <w:tcW w:w="1433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41 332</w:t>
            </w:r>
          </w:p>
        </w:tc>
        <w:tc>
          <w:tcPr>
            <w:tcW w:w="1276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189 231</w:t>
            </w:r>
          </w:p>
        </w:tc>
      </w:tr>
      <w:tr w:rsidR="00D10643" w:rsidRPr="00BD08A5" w:rsidTr="00EB32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outlineLvl w:val="8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Livsmedelsarbetareförbundet</w:t>
            </w:r>
          </w:p>
        </w:tc>
        <w:tc>
          <w:tcPr>
            <w:tcW w:w="12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38 888</w:t>
            </w:r>
          </w:p>
        </w:tc>
        <w:tc>
          <w:tcPr>
            <w:tcW w:w="1433" w:type="dxa"/>
            <w:noWrap/>
            <w:hideMark/>
          </w:tcPr>
          <w:p w:rsidR="00D10643" w:rsidRPr="00B458FE" w:rsidRDefault="00D10643" w:rsidP="00EB32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13 868</w:t>
            </w:r>
          </w:p>
        </w:tc>
        <w:tc>
          <w:tcPr>
            <w:tcW w:w="1276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25 020</w:t>
            </w:r>
          </w:p>
        </w:tc>
      </w:tr>
      <w:tr w:rsidR="00D10643" w:rsidRPr="00BD08A5" w:rsidTr="00EB3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outlineLvl w:val="8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GS-facket</w:t>
            </w:r>
          </w:p>
        </w:tc>
        <w:tc>
          <w:tcPr>
            <w:tcW w:w="12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42 214</w:t>
            </w:r>
          </w:p>
        </w:tc>
        <w:tc>
          <w:tcPr>
            <w:tcW w:w="1433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5 798</w:t>
            </w:r>
          </w:p>
        </w:tc>
        <w:tc>
          <w:tcPr>
            <w:tcW w:w="1276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36 416</w:t>
            </w:r>
          </w:p>
        </w:tc>
      </w:tr>
      <w:tr w:rsidR="00D10643" w:rsidRPr="00BD08A5" w:rsidTr="00EB32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outlineLvl w:val="8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260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311 665</w:t>
            </w:r>
          </w:p>
        </w:tc>
        <w:tc>
          <w:tcPr>
            <w:tcW w:w="1433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60 998</w:t>
            </w:r>
          </w:p>
        </w:tc>
        <w:tc>
          <w:tcPr>
            <w:tcW w:w="1276" w:type="dxa"/>
            <w:noWrap/>
            <w:hideMark/>
          </w:tcPr>
          <w:p w:rsidR="00D10643" w:rsidRPr="00B458FE" w:rsidRDefault="00D10643" w:rsidP="00EB32C7">
            <w:pPr>
              <w:keepNext/>
              <w:keepLines/>
              <w:spacing w:before="200"/>
              <w:jc w:val="right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458F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250 667</w:t>
            </w:r>
          </w:p>
        </w:tc>
      </w:tr>
    </w:tbl>
    <w:p w:rsidR="00D10643" w:rsidRPr="00241A5F" w:rsidRDefault="00D10643" w:rsidP="00D10643">
      <w:pPr>
        <w:ind w:right="-2"/>
        <w:rPr>
          <w:rFonts w:ascii="Arial" w:hAnsi="Arial" w:cs="Arial"/>
          <w:sz w:val="12"/>
          <w:szCs w:val="12"/>
        </w:rPr>
      </w:pPr>
    </w:p>
    <w:p w:rsidR="00D10643" w:rsidRPr="00F303BA" w:rsidRDefault="00D10643" w:rsidP="00D10643">
      <w:pPr>
        <w:ind w:right="-2"/>
        <w:rPr>
          <w:rFonts w:ascii="Times New Roman" w:hAnsi="Times New Roman" w:cs="Times New Roman"/>
          <w:sz w:val="20"/>
          <w:szCs w:val="20"/>
        </w:rPr>
      </w:pPr>
      <w:r w:rsidRPr="00BD08A5">
        <w:rPr>
          <w:rFonts w:ascii="Times New Roman" w:hAnsi="Times New Roman" w:cs="Times New Roman"/>
          <w:sz w:val="20"/>
          <w:szCs w:val="20"/>
        </w:rPr>
        <w:t>Tabellen visar fördelningen mellan kön</w:t>
      </w:r>
      <w:r>
        <w:rPr>
          <w:rFonts w:ascii="Times New Roman" w:hAnsi="Times New Roman" w:cs="Times New Roman"/>
          <w:sz w:val="20"/>
          <w:szCs w:val="20"/>
        </w:rPr>
        <w:t>en</w:t>
      </w:r>
      <w:r w:rsidRPr="00BD08A5">
        <w:rPr>
          <w:rFonts w:ascii="Times New Roman" w:hAnsi="Times New Roman" w:cs="Times New Roman"/>
          <w:sz w:val="20"/>
          <w:szCs w:val="20"/>
        </w:rPr>
        <w:t xml:space="preserve"> på det totala antalet anställda som omfattades av deltidspensionspremier år 2014.</w:t>
      </w:r>
    </w:p>
    <w:p w:rsidR="00D10643" w:rsidRPr="00316017" w:rsidRDefault="00D10643" w:rsidP="00D10643">
      <w:pPr>
        <w:ind w:right="-2"/>
        <w:rPr>
          <w:rFonts w:ascii="Times New Roman" w:hAnsi="Times New Roman" w:cs="Times New Roman"/>
          <w:sz w:val="20"/>
          <w:szCs w:val="20"/>
        </w:rPr>
      </w:pPr>
    </w:p>
    <w:p w:rsidR="00D10643" w:rsidRDefault="00D10643" w:rsidP="00D10643"/>
    <w:p w:rsidR="000D358D" w:rsidRPr="00D10643" w:rsidRDefault="000D358D" w:rsidP="009F02F2">
      <w:pPr>
        <w:ind w:right="-2"/>
      </w:pPr>
    </w:p>
    <w:sectPr w:rsidR="000D358D" w:rsidRPr="00D10643" w:rsidSect="00F92832"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851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32" w:rsidRDefault="00F92832">
      <w:r>
        <w:separator/>
      </w:r>
    </w:p>
  </w:endnote>
  <w:endnote w:type="continuationSeparator" w:id="0">
    <w:p w:rsidR="00F92832" w:rsidRDefault="00F9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Alt One MT">
    <w:altName w:val="Gill Sans MT"/>
    <w:panose1 w:val="020B05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2" w:rsidRPr="000A1BFF" w:rsidRDefault="00F92832" w:rsidP="00F92832">
    <w:pPr>
      <w:ind w:right="-2"/>
      <w:rPr>
        <w:rFonts w:ascii="Arial" w:hAnsi="Arial" w:cs="Arial"/>
        <w:b/>
        <w:i/>
        <w:color w:val="595959" w:themeColor="text1" w:themeTint="A6"/>
        <w:sz w:val="20"/>
        <w:szCs w:val="20"/>
      </w:rPr>
    </w:pPr>
    <w:r w:rsidRPr="000A1BFF">
      <w:rPr>
        <w:rFonts w:ascii="Arial" w:hAnsi="Arial" w:cs="Arial"/>
        <w:b/>
        <w:i/>
        <w:color w:val="595959" w:themeColor="text1" w:themeTint="A6"/>
        <w:sz w:val="20"/>
        <w:szCs w:val="20"/>
      </w:rPr>
      <w:t>Om Fora AB</w:t>
    </w:r>
  </w:p>
  <w:p w:rsidR="00F92832" w:rsidRPr="000A1BFF" w:rsidRDefault="00F92832" w:rsidP="00F92832">
    <w:pPr>
      <w:ind w:right="-2"/>
      <w:rPr>
        <w:rFonts w:ascii="Arial" w:hAnsi="Arial" w:cs="Arial"/>
        <w:i/>
        <w:color w:val="595959" w:themeColor="text1" w:themeTint="A6"/>
        <w:sz w:val="20"/>
        <w:szCs w:val="20"/>
      </w:rPr>
    </w:pPr>
    <w:r w:rsidRPr="000A1BFF">
      <w:rPr>
        <w:rFonts w:ascii="Arial" w:hAnsi="Arial" w:cs="Arial"/>
        <w:i/>
        <w:color w:val="595959" w:themeColor="text1" w:themeTint="A6"/>
        <w:sz w:val="20"/>
        <w:szCs w:val="20"/>
      </w:rPr>
      <w:t>Fora administrerar kollektivavtalade försäkringar och andra trygghetslösningar som cirka 4 miljoner anställda omfattas av via sin anställning. Varje år förmedlar vi drygt 15 miljarder kronor i premier och avgifter från 214 000 företag till ett 40-tal försäkringsbolag, stiftelser och fonder. Dessutom sköter vi pensionsval och information för Avtalspension SAF-LO.</w:t>
    </w:r>
  </w:p>
  <w:p w:rsidR="00F92832" w:rsidRPr="00F92832" w:rsidRDefault="00F92832">
    <w:pPr>
      <w:pStyle w:val="Sidfot"/>
      <w:rPr>
        <w:rFonts w:ascii="Arial" w:hAnsi="Arial" w:cs="Arial"/>
      </w:rPr>
    </w:pPr>
  </w:p>
  <w:p w:rsidR="00CD41E4" w:rsidRDefault="00CD41E4">
    <w:pPr>
      <w:pStyle w:val="Sidfot"/>
      <w:jc w:val="center"/>
      <w:rPr>
        <w:rFonts w:ascii="Gill Alt One MT" w:hAnsi="Gill Alt One M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32" w:rsidRDefault="00F92832">
      <w:r>
        <w:separator/>
      </w:r>
    </w:p>
  </w:footnote>
  <w:footnote w:type="continuationSeparator" w:id="0">
    <w:p w:rsidR="00F92832" w:rsidRDefault="00F9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E4" w:rsidRDefault="00F92832" w:rsidP="004A4D98">
    <w:pPr>
      <w:pStyle w:val="Sidhuvud"/>
      <w:tabs>
        <w:tab w:val="clear" w:pos="9072"/>
        <w:tab w:val="left" w:pos="4536"/>
        <w:tab w:val="left" w:pos="7938"/>
      </w:tabs>
      <w:rPr>
        <w:sz w:val="8"/>
        <w:szCs w:val="8"/>
      </w:rPr>
    </w:pPr>
    <w:r w:rsidRPr="00CA2E0B">
      <w:rPr>
        <w:rFonts w:ascii="Arial" w:hAnsi="Arial" w:cs="Arial"/>
        <w:b/>
        <w:noProof/>
        <w:sz w:val="20"/>
      </w:rPr>
      <w:drawing>
        <wp:inline distT="0" distB="0" distL="0" distR="0" wp14:anchorId="57BFBE69" wp14:editId="71F8A3A0">
          <wp:extent cx="1134000" cy="360000"/>
          <wp:effectExtent l="0" t="0" r="0" b="2540"/>
          <wp:docPr id="5" name="Bild 1" descr="For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a_logo_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0" t="7000" r="-2540" b="-7000"/>
                  <a:stretch/>
                </pic:blipFill>
                <pic:spPr bwMode="auto">
                  <a:xfrm>
                    <a:off x="0" y="0"/>
                    <a:ext cx="1134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F5E"/>
    <w:multiLevelType w:val="hybridMultilevel"/>
    <w:tmpl w:val="2146E5EC"/>
    <w:lvl w:ilvl="0" w:tplc="6DE0828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6DCB"/>
    <w:multiLevelType w:val="hybridMultilevel"/>
    <w:tmpl w:val="98D25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541AF"/>
    <w:multiLevelType w:val="hybridMultilevel"/>
    <w:tmpl w:val="042693F6"/>
    <w:lvl w:ilvl="0" w:tplc="68424A68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2"/>
    <w:rsid w:val="00037A7C"/>
    <w:rsid w:val="000806BE"/>
    <w:rsid w:val="000A1BFF"/>
    <w:rsid w:val="000B61FA"/>
    <w:rsid w:val="000D358D"/>
    <w:rsid w:val="000D5560"/>
    <w:rsid w:val="000E01FB"/>
    <w:rsid w:val="000F0D8D"/>
    <w:rsid w:val="00102DC7"/>
    <w:rsid w:val="00104A05"/>
    <w:rsid w:val="00107D3E"/>
    <w:rsid w:val="00116604"/>
    <w:rsid w:val="00145D44"/>
    <w:rsid w:val="00177ED9"/>
    <w:rsid w:val="001B1123"/>
    <w:rsid w:val="001B2259"/>
    <w:rsid w:val="001B35E4"/>
    <w:rsid w:val="001C3562"/>
    <w:rsid w:val="001E1861"/>
    <w:rsid w:val="001E303A"/>
    <w:rsid w:val="001F1FD8"/>
    <w:rsid w:val="001F5570"/>
    <w:rsid w:val="0023171E"/>
    <w:rsid w:val="00243DF7"/>
    <w:rsid w:val="0025281F"/>
    <w:rsid w:val="00273E7A"/>
    <w:rsid w:val="00285288"/>
    <w:rsid w:val="00286329"/>
    <w:rsid w:val="002A028E"/>
    <w:rsid w:val="002C7873"/>
    <w:rsid w:val="002E6945"/>
    <w:rsid w:val="002F09F9"/>
    <w:rsid w:val="002F4603"/>
    <w:rsid w:val="002F63AB"/>
    <w:rsid w:val="003005F9"/>
    <w:rsid w:val="00301A6D"/>
    <w:rsid w:val="003238A3"/>
    <w:rsid w:val="003251E0"/>
    <w:rsid w:val="0034225D"/>
    <w:rsid w:val="003831C3"/>
    <w:rsid w:val="003B25E6"/>
    <w:rsid w:val="003B6C63"/>
    <w:rsid w:val="003D7FA3"/>
    <w:rsid w:val="003E084A"/>
    <w:rsid w:val="003F03B1"/>
    <w:rsid w:val="00407D45"/>
    <w:rsid w:val="004216AA"/>
    <w:rsid w:val="0042365E"/>
    <w:rsid w:val="0044348C"/>
    <w:rsid w:val="00464024"/>
    <w:rsid w:val="0049241E"/>
    <w:rsid w:val="004979AF"/>
    <w:rsid w:val="004A4D98"/>
    <w:rsid w:val="004B3DDD"/>
    <w:rsid w:val="004C2657"/>
    <w:rsid w:val="004D5839"/>
    <w:rsid w:val="00512F8C"/>
    <w:rsid w:val="00513DBD"/>
    <w:rsid w:val="00542ECF"/>
    <w:rsid w:val="00566809"/>
    <w:rsid w:val="00574D97"/>
    <w:rsid w:val="00597898"/>
    <w:rsid w:val="005A30C4"/>
    <w:rsid w:val="005A7D2E"/>
    <w:rsid w:val="005C5893"/>
    <w:rsid w:val="005D0D8C"/>
    <w:rsid w:val="005D3ECB"/>
    <w:rsid w:val="005D45EE"/>
    <w:rsid w:val="005E66D8"/>
    <w:rsid w:val="00613BE9"/>
    <w:rsid w:val="0061413D"/>
    <w:rsid w:val="00620B85"/>
    <w:rsid w:val="00620E99"/>
    <w:rsid w:val="006365DD"/>
    <w:rsid w:val="00637C2E"/>
    <w:rsid w:val="00651CFF"/>
    <w:rsid w:val="00651E49"/>
    <w:rsid w:val="00686F24"/>
    <w:rsid w:val="006B093D"/>
    <w:rsid w:val="006B1386"/>
    <w:rsid w:val="006B17C4"/>
    <w:rsid w:val="006C41F4"/>
    <w:rsid w:val="006E3B8E"/>
    <w:rsid w:val="0070556E"/>
    <w:rsid w:val="00712A6E"/>
    <w:rsid w:val="00716BA6"/>
    <w:rsid w:val="0072509B"/>
    <w:rsid w:val="00741FF2"/>
    <w:rsid w:val="007437A0"/>
    <w:rsid w:val="007639B7"/>
    <w:rsid w:val="00773872"/>
    <w:rsid w:val="00776DF9"/>
    <w:rsid w:val="00792136"/>
    <w:rsid w:val="00797E7F"/>
    <w:rsid w:val="007A65D6"/>
    <w:rsid w:val="007B5824"/>
    <w:rsid w:val="007C3B6C"/>
    <w:rsid w:val="007C41C1"/>
    <w:rsid w:val="007C7C3D"/>
    <w:rsid w:val="007D1AAF"/>
    <w:rsid w:val="007F14B8"/>
    <w:rsid w:val="00807830"/>
    <w:rsid w:val="008533E0"/>
    <w:rsid w:val="00855DB5"/>
    <w:rsid w:val="00873BF0"/>
    <w:rsid w:val="0087730D"/>
    <w:rsid w:val="008B2AB5"/>
    <w:rsid w:val="008B3D32"/>
    <w:rsid w:val="008B3FCA"/>
    <w:rsid w:val="008C6939"/>
    <w:rsid w:val="008F268C"/>
    <w:rsid w:val="00941CB3"/>
    <w:rsid w:val="009559DE"/>
    <w:rsid w:val="009955F0"/>
    <w:rsid w:val="009A4477"/>
    <w:rsid w:val="009B3F63"/>
    <w:rsid w:val="009C7FF6"/>
    <w:rsid w:val="009F02F2"/>
    <w:rsid w:val="00A67F15"/>
    <w:rsid w:val="00A72596"/>
    <w:rsid w:val="00A84525"/>
    <w:rsid w:val="00A9349D"/>
    <w:rsid w:val="00AA09F9"/>
    <w:rsid w:val="00AA2711"/>
    <w:rsid w:val="00AB0702"/>
    <w:rsid w:val="00AB4A3D"/>
    <w:rsid w:val="00AB50EA"/>
    <w:rsid w:val="00AB60DB"/>
    <w:rsid w:val="00AC3627"/>
    <w:rsid w:val="00AE5880"/>
    <w:rsid w:val="00AF1983"/>
    <w:rsid w:val="00B023A3"/>
    <w:rsid w:val="00B05C27"/>
    <w:rsid w:val="00B16D0E"/>
    <w:rsid w:val="00B247FD"/>
    <w:rsid w:val="00B70C5E"/>
    <w:rsid w:val="00B83EDB"/>
    <w:rsid w:val="00B91FB6"/>
    <w:rsid w:val="00BA0C3B"/>
    <w:rsid w:val="00BC0CC8"/>
    <w:rsid w:val="00BC7EFE"/>
    <w:rsid w:val="00BD6750"/>
    <w:rsid w:val="00BE20D4"/>
    <w:rsid w:val="00BE4C91"/>
    <w:rsid w:val="00C0020E"/>
    <w:rsid w:val="00C00455"/>
    <w:rsid w:val="00C163CD"/>
    <w:rsid w:val="00C1740C"/>
    <w:rsid w:val="00C3397E"/>
    <w:rsid w:val="00C536E8"/>
    <w:rsid w:val="00C61628"/>
    <w:rsid w:val="00C61F76"/>
    <w:rsid w:val="00C770DE"/>
    <w:rsid w:val="00CA4A60"/>
    <w:rsid w:val="00CD3E91"/>
    <w:rsid w:val="00CD41E4"/>
    <w:rsid w:val="00CF4C60"/>
    <w:rsid w:val="00CF7A38"/>
    <w:rsid w:val="00D10643"/>
    <w:rsid w:val="00D458C1"/>
    <w:rsid w:val="00D5733E"/>
    <w:rsid w:val="00D76210"/>
    <w:rsid w:val="00D807CD"/>
    <w:rsid w:val="00D846FD"/>
    <w:rsid w:val="00D86AD5"/>
    <w:rsid w:val="00DD0F15"/>
    <w:rsid w:val="00DD66CE"/>
    <w:rsid w:val="00DF3EE6"/>
    <w:rsid w:val="00E006FE"/>
    <w:rsid w:val="00E04727"/>
    <w:rsid w:val="00E145DC"/>
    <w:rsid w:val="00E16F37"/>
    <w:rsid w:val="00E20CF5"/>
    <w:rsid w:val="00E22274"/>
    <w:rsid w:val="00E23C49"/>
    <w:rsid w:val="00E25490"/>
    <w:rsid w:val="00E838BD"/>
    <w:rsid w:val="00E9002E"/>
    <w:rsid w:val="00E94E9D"/>
    <w:rsid w:val="00EA6A31"/>
    <w:rsid w:val="00EB7322"/>
    <w:rsid w:val="00EC0893"/>
    <w:rsid w:val="00EE1120"/>
    <w:rsid w:val="00EF759B"/>
    <w:rsid w:val="00EF7E51"/>
    <w:rsid w:val="00F07212"/>
    <w:rsid w:val="00F11BE5"/>
    <w:rsid w:val="00F14700"/>
    <w:rsid w:val="00F16B3A"/>
    <w:rsid w:val="00F542E7"/>
    <w:rsid w:val="00F671C1"/>
    <w:rsid w:val="00F7741D"/>
    <w:rsid w:val="00F92832"/>
    <w:rsid w:val="00F95D28"/>
    <w:rsid w:val="00F95E39"/>
    <w:rsid w:val="00FA6321"/>
    <w:rsid w:val="00FC4779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43"/>
  </w:style>
  <w:style w:type="paragraph" w:styleId="Rubrik1">
    <w:name w:val="heading 1"/>
    <w:basedOn w:val="Normal"/>
    <w:next w:val="Normal"/>
    <w:link w:val="Rubrik1Char"/>
    <w:uiPriority w:val="9"/>
    <w:rsid w:val="00BE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rsid w:val="00BE2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1DE" w:themeColor="accent1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BE20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1DE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0BE20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BE20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BE20D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E20D4"/>
    <w:rPr>
      <w:color w:val="0000FF" w:themeColor="hyperlink"/>
      <w:u w:val="single"/>
    </w:rPr>
  </w:style>
  <w:style w:type="table" w:styleId="Diskrettabell1">
    <w:name w:val="Table Subtle 1"/>
    <w:basedOn w:val="Normaltabell"/>
    <w:uiPriority w:val="99"/>
    <w:semiHidden/>
    <w:unhideWhenUsed/>
    <w:rsid w:val="00651C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51C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651C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51C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51C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uiPriority w:val="99"/>
    <w:semiHidden/>
    <w:unhideWhenUsed/>
    <w:rsid w:val="00651C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51C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51C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51C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51C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651C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51C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51C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51C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51C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51C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51C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51C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51C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51C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51C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651C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51C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51C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BE20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20D4"/>
    <w:rPr>
      <w:rFonts w:ascii="Tahoma" w:eastAsiaTheme="minorHAnsi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E20D4"/>
    <w:rPr>
      <w:color w:val="808080"/>
    </w:rPr>
  </w:style>
  <w:style w:type="character" w:customStyle="1" w:styleId="BoldForaCharacterLarge">
    <w:name w:val="BoldForaCharacterLarge"/>
    <w:basedOn w:val="BoldForaCharacter"/>
    <w:uiPriority w:val="1"/>
    <w:qFormat/>
    <w:rsid w:val="00BE20D4"/>
    <w:rPr>
      <w:rFonts w:ascii="Arial Black" w:hAnsi="Arial Black" w:cs="Arial Black"/>
      <w:color w:val="003399"/>
      <w:sz w:val="18"/>
      <w:szCs w:val="18"/>
    </w:rPr>
  </w:style>
  <w:style w:type="paragraph" w:customStyle="1" w:styleId="Default">
    <w:name w:val="Default"/>
    <w:rsid w:val="00BE20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BE20D4"/>
    <w:rPr>
      <w:color w:val="000000"/>
      <w:sz w:val="15"/>
      <w:szCs w:val="15"/>
    </w:rPr>
  </w:style>
  <w:style w:type="paragraph" w:customStyle="1" w:styleId="Pa1">
    <w:name w:val="Pa1"/>
    <w:basedOn w:val="Default"/>
    <w:next w:val="Default"/>
    <w:uiPriority w:val="99"/>
    <w:rsid w:val="00BE20D4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BE20D4"/>
    <w:rPr>
      <w:rFonts w:ascii="Arial Black" w:hAnsi="Arial Black" w:cs="Arial Black"/>
      <w:b/>
      <w:bCs/>
      <w:color w:val="000000"/>
      <w:sz w:val="18"/>
      <w:szCs w:val="18"/>
    </w:rPr>
  </w:style>
  <w:style w:type="paragraph" w:customStyle="1" w:styleId="SignaturForaRubrik">
    <w:name w:val="SignaturForaRubrik"/>
    <w:next w:val="Default"/>
    <w:rsid w:val="00BE20D4"/>
    <w:rPr>
      <w:rFonts w:ascii="Arial Black" w:eastAsiaTheme="minorHAnsi" w:hAnsi="Arial Black"/>
      <w:color w:val="003399"/>
      <w:sz w:val="18"/>
      <w:lang w:eastAsia="en-US"/>
    </w:rPr>
  </w:style>
  <w:style w:type="paragraph" w:customStyle="1" w:styleId="SignaturFora">
    <w:name w:val="SignaturFora"/>
    <w:rsid w:val="00BE20D4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color w:val="003399"/>
      <w:sz w:val="15"/>
      <w:szCs w:val="15"/>
      <w:lang w:eastAsia="en-US"/>
    </w:rPr>
  </w:style>
  <w:style w:type="character" w:customStyle="1" w:styleId="BoldForaCharacter">
    <w:name w:val="BoldForaCharacter"/>
    <w:basedOn w:val="Standardstycketeckensnitt"/>
    <w:uiPriority w:val="1"/>
    <w:qFormat/>
    <w:rsid w:val="00BE20D4"/>
    <w:rPr>
      <w:rFonts w:ascii="Arial Black" w:hAnsi="Arial Black" w:cs="Arial Black"/>
      <w:color w:val="003399"/>
      <w:sz w:val="15"/>
    </w:rPr>
  </w:style>
  <w:style w:type="character" w:customStyle="1" w:styleId="RegularForaChar">
    <w:name w:val="RegularForaChar"/>
    <w:basedOn w:val="Standardstycketeckensnitt"/>
    <w:uiPriority w:val="1"/>
    <w:qFormat/>
    <w:rsid w:val="00BE20D4"/>
    <w:rPr>
      <w:rFonts w:ascii="Arial" w:hAnsi="Arial"/>
      <w:color w:val="003399"/>
      <w:sz w:val="15"/>
    </w:rPr>
  </w:style>
  <w:style w:type="table" w:customStyle="1" w:styleId="ForaSignaturTabell">
    <w:name w:val="ForaSignaturTabell"/>
    <w:basedOn w:val="Normaltabell"/>
    <w:uiPriority w:val="99"/>
    <w:rsid w:val="00BE20D4"/>
    <w:rPr>
      <w:rFonts w:asciiTheme="majorHAnsi" w:eastAsiaTheme="minorHAnsi" w:hAnsiTheme="majorHAnsi"/>
      <w:lang w:eastAsia="en-US"/>
    </w:rPr>
    <w:tblPr/>
    <w:tcPr>
      <w:tcMar>
        <w:left w:w="0" w:type="dxa"/>
        <w:right w:w="0" w:type="dxa"/>
      </w:tcMar>
    </w:tcPr>
  </w:style>
  <w:style w:type="character" w:customStyle="1" w:styleId="Rubrik1Char">
    <w:name w:val="Rubrik 1 Char"/>
    <w:basedOn w:val="Standardstycketeckensnitt"/>
    <w:link w:val="Rubrik1"/>
    <w:uiPriority w:val="9"/>
    <w:rsid w:val="00BE20D4"/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92832"/>
  </w:style>
  <w:style w:type="paragraph" w:styleId="Liststycke">
    <w:name w:val="List Paragraph"/>
    <w:basedOn w:val="Normal"/>
    <w:uiPriority w:val="34"/>
    <w:rsid w:val="00807830"/>
    <w:pPr>
      <w:ind w:left="720"/>
      <w:contextualSpacing/>
    </w:pPr>
  </w:style>
  <w:style w:type="table" w:styleId="Ljusskuggning">
    <w:name w:val="Light Shading"/>
    <w:basedOn w:val="Normaltabell"/>
    <w:uiPriority w:val="60"/>
    <w:rsid w:val="00D106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43"/>
  </w:style>
  <w:style w:type="paragraph" w:styleId="Rubrik1">
    <w:name w:val="heading 1"/>
    <w:basedOn w:val="Normal"/>
    <w:next w:val="Normal"/>
    <w:link w:val="Rubrik1Char"/>
    <w:uiPriority w:val="9"/>
    <w:rsid w:val="00BE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rsid w:val="00BE2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1DE" w:themeColor="accent1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BE20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1DE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0BE20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BE20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BE20D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E20D4"/>
    <w:rPr>
      <w:color w:val="0000FF" w:themeColor="hyperlink"/>
      <w:u w:val="single"/>
    </w:rPr>
  </w:style>
  <w:style w:type="table" w:styleId="Diskrettabell1">
    <w:name w:val="Table Subtle 1"/>
    <w:basedOn w:val="Normaltabell"/>
    <w:uiPriority w:val="99"/>
    <w:semiHidden/>
    <w:unhideWhenUsed/>
    <w:rsid w:val="00651C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51C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651C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51C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51C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uiPriority w:val="99"/>
    <w:semiHidden/>
    <w:unhideWhenUsed/>
    <w:rsid w:val="00651C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51C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51C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51C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51C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651C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51C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51C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51C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51C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51C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51C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51C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51C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51C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51C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651C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51C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51C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BE20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20D4"/>
    <w:rPr>
      <w:rFonts w:ascii="Tahoma" w:eastAsiaTheme="minorHAnsi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E20D4"/>
    <w:rPr>
      <w:color w:val="808080"/>
    </w:rPr>
  </w:style>
  <w:style w:type="character" w:customStyle="1" w:styleId="BoldForaCharacterLarge">
    <w:name w:val="BoldForaCharacterLarge"/>
    <w:basedOn w:val="BoldForaCharacter"/>
    <w:uiPriority w:val="1"/>
    <w:qFormat/>
    <w:rsid w:val="00BE20D4"/>
    <w:rPr>
      <w:rFonts w:ascii="Arial Black" w:hAnsi="Arial Black" w:cs="Arial Black"/>
      <w:color w:val="003399"/>
      <w:sz w:val="18"/>
      <w:szCs w:val="18"/>
    </w:rPr>
  </w:style>
  <w:style w:type="paragraph" w:customStyle="1" w:styleId="Default">
    <w:name w:val="Default"/>
    <w:rsid w:val="00BE20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BE20D4"/>
    <w:rPr>
      <w:color w:val="000000"/>
      <w:sz w:val="15"/>
      <w:szCs w:val="15"/>
    </w:rPr>
  </w:style>
  <w:style w:type="paragraph" w:customStyle="1" w:styleId="Pa1">
    <w:name w:val="Pa1"/>
    <w:basedOn w:val="Default"/>
    <w:next w:val="Default"/>
    <w:uiPriority w:val="99"/>
    <w:rsid w:val="00BE20D4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BE20D4"/>
    <w:rPr>
      <w:rFonts w:ascii="Arial Black" w:hAnsi="Arial Black" w:cs="Arial Black"/>
      <w:b/>
      <w:bCs/>
      <w:color w:val="000000"/>
      <w:sz w:val="18"/>
      <w:szCs w:val="18"/>
    </w:rPr>
  </w:style>
  <w:style w:type="paragraph" w:customStyle="1" w:styleId="SignaturForaRubrik">
    <w:name w:val="SignaturForaRubrik"/>
    <w:next w:val="Default"/>
    <w:rsid w:val="00BE20D4"/>
    <w:rPr>
      <w:rFonts w:ascii="Arial Black" w:eastAsiaTheme="minorHAnsi" w:hAnsi="Arial Black"/>
      <w:color w:val="003399"/>
      <w:sz w:val="18"/>
      <w:lang w:eastAsia="en-US"/>
    </w:rPr>
  </w:style>
  <w:style w:type="paragraph" w:customStyle="1" w:styleId="SignaturFora">
    <w:name w:val="SignaturFora"/>
    <w:rsid w:val="00BE20D4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color w:val="003399"/>
      <w:sz w:val="15"/>
      <w:szCs w:val="15"/>
      <w:lang w:eastAsia="en-US"/>
    </w:rPr>
  </w:style>
  <w:style w:type="character" w:customStyle="1" w:styleId="BoldForaCharacter">
    <w:name w:val="BoldForaCharacter"/>
    <w:basedOn w:val="Standardstycketeckensnitt"/>
    <w:uiPriority w:val="1"/>
    <w:qFormat/>
    <w:rsid w:val="00BE20D4"/>
    <w:rPr>
      <w:rFonts w:ascii="Arial Black" w:hAnsi="Arial Black" w:cs="Arial Black"/>
      <w:color w:val="003399"/>
      <w:sz w:val="15"/>
    </w:rPr>
  </w:style>
  <w:style w:type="character" w:customStyle="1" w:styleId="RegularForaChar">
    <w:name w:val="RegularForaChar"/>
    <w:basedOn w:val="Standardstycketeckensnitt"/>
    <w:uiPriority w:val="1"/>
    <w:qFormat/>
    <w:rsid w:val="00BE20D4"/>
    <w:rPr>
      <w:rFonts w:ascii="Arial" w:hAnsi="Arial"/>
      <w:color w:val="003399"/>
      <w:sz w:val="15"/>
    </w:rPr>
  </w:style>
  <w:style w:type="table" w:customStyle="1" w:styleId="ForaSignaturTabell">
    <w:name w:val="ForaSignaturTabell"/>
    <w:basedOn w:val="Normaltabell"/>
    <w:uiPriority w:val="99"/>
    <w:rsid w:val="00BE20D4"/>
    <w:rPr>
      <w:rFonts w:asciiTheme="majorHAnsi" w:eastAsiaTheme="minorHAnsi" w:hAnsiTheme="majorHAnsi"/>
      <w:lang w:eastAsia="en-US"/>
    </w:rPr>
    <w:tblPr/>
    <w:tcPr>
      <w:tcMar>
        <w:left w:w="0" w:type="dxa"/>
        <w:right w:w="0" w:type="dxa"/>
      </w:tcMar>
    </w:tcPr>
  </w:style>
  <w:style w:type="character" w:customStyle="1" w:styleId="Rubrik1Char">
    <w:name w:val="Rubrik 1 Char"/>
    <w:basedOn w:val="Standardstycketeckensnitt"/>
    <w:link w:val="Rubrik1"/>
    <w:uiPriority w:val="9"/>
    <w:rsid w:val="00BE20D4"/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92832"/>
  </w:style>
  <w:style w:type="paragraph" w:styleId="Liststycke">
    <w:name w:val="List Paragraph"/>
    <w:basedOn w:val="Normal"/>
    <w:uiPriority w:val="34"/>
    <w:rsid w:val="00807830"/>
    <w:pPr>
      <w:ind w:left="720"/>
      <w:contextualSpacing/>
    </w:pPr>
  </w:style>
  <w:style w:type="table" w:styleId="Ljusskuggning">
    <w:name w:val="Light Shading"/>
    <w:basedOn w:val="Normaltabell"/>
    <w:uiPriority w:val="60"/>
    <w:rsid w:val="00D106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o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1DE"/>
      </a:accent1>
      <a:accent2>
        <a:srgbClr val="DD4814"/>
      </a:accent2>
      <a:accent3>
        <a:srgbClr val="F0AB00"/>
      </a:accent3>
      <a:accent4>
        <a:srgbClr val="009B3A"/>
      </a:accent4>
      <a:accent5>
        <a:srgbClr val="8996A0"/>
      </a:accent5>
      <a:accent6>
        <a:srgbClr val="92D400"/>
      </a:accent6>
      <a:hlink>
        <a:srgbClr val="0000FF"/>
      </a:hlink>
      <a:folHlink>
        <a:srgbClr val="800080"/>
      </a:folHlink>
    </a:clrScheme>
    <a:fontScheme name="Fora">
      <a:majorFont>
        <a:latin typeface="Arial Black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6031-A4F7-4D4F-A354-7470D79C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Fora AB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Westerdahl</dc:creator>
  <cp:lastModifiedBy>Louise Westerdahl</cp:lastModifiedBy>
  <cp:revision>2</cp:revision>
  <cp:lastPrinted>2010-11-12T14:08:00Z</cp:lastPrinted>
  <dcterms:created xsi:type="dcterms:W3CDTF">2015-09-23T11:42:00Z</dcterms:created>
  <dcterms:modified xsi:type="dcterms:W3CDTF">2015-09-23T11:42:00Z</dcterms:modified>
</cp:coreProperties>
</file>