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5F" w:rsidRDefault="00F52D5F">
      <w:pPr>
        <w:contextualSpacing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PRESSEMEDDELELSE</w:t>
      </w:r>
    </w:p>
    <w:p w:rsidR="00F52D5F" w:rsidRDefault="00F52D5F">
      <w:pPr>
        <w:contextualSpacing/>
        <w:rPr>
          <w:rFonts w:ascii="Verdana" w:hAnsi="Verdana"/>
          <w:sz w:val="18"/>
          <w:szCs w:val="18"/>
        </w:rPr>
      </w:pPr>
    </w:p>
    <w:p w:rsidR="00E92FD1" w:rsidRPr="00F52D5F" w:rsidRDefault="00E71FA9">
      <w:pPr>
        <w:contextualSpacing/>
        <w:rPr>
          <w:rFonts w:ascii="Verdana" w:hAnsi="Verdana"/>
          <w:b/>
          <w:sz w:val="32"/>
          <w:szCs w:val="32"/>
        </w:rPr>
      </w:pPr>
      <w:r w:rsidRPr="00F52D5F">
        <w:rPr>
          <w:rFonts w:ascii="Verdana" w:hAnsi="Verdana"/>
          <w:b/>
          <w:sz w:val="32"/>
          <w:szCs w:val="32"/>
        </w:rPr>
        <w:t>Socialt udsatte går glip af</w:t>
      </w:r>
    </w:p>
    <w:p w:rsidR="00E71FA9" w:rsidRPr="00F52D5F" w:rsidRDefault="00E71FA9">
      <w:pPr>
        <w:contextualSpacing/>
        <w:rPr>
          <w:rFonts w:ascii="Verdana" w:hAnsi="Verdana"/>
          <w:b/>
          <w:sz w:val="32"/>
          <w:szCs w:val="32"/>
        </w:rPr>
      </w:pPr>
      <w:r w:rsidRPr="00F52D5F">
        <w:rPr>
          <w:rFonts w:ascii="Verdana" w:hAnsi="Verdana"/>
          <w:b/>
          <w:sz w:val="32"/>
          <w:szCs w:val="32"/>
        </w:rPr>
        <w:t>100 mio. kr. til tandpleje</w:t>
      </w:r>
    </w:p>
    <w:p w:rsidR="00E71FA9" w:rsidRDefault="00E71FA9">
      <w:pPr>
        <w:contextualSpacing/>
        <w:rPr>
          <w:rFonts w:ascii="Verdana" w:hAnsi="Verdana"/>
          <w:sz w:val="18"/>
          <w:szCs w:val="18"/>
        </w:rPr>
      </w:pPr>
    </w:p>
    <w:p w:rsidR="00E71FA9" w:rsidRDefault="00B96453" w:rsidP="00F52D5F">
      <w:pPr>
        <w:spacing w:line="288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E71FA9">
        <w:rPr>
          <w:rFonts w:ascii="Verdana" w:hAnsi="Verdana"/>
          <w:sz w:val="18"/>
          <w:szCs w:val="18"/>
        </w:rPr>
        <w:t xml:space="preserve">egeringen </w:t>
      </w:r>
      <w:r>
        <w:rPr>
          <w:rFonts w:ascii="Verdana" w:hAnsi="Verdana"/>
          <w:sz w:val="18"/>
          <w:szCs w:val="18"/>
        </w:rPr>
        <w:t xml:space="preserve">og Enhedslisten besluttede </w:t>
      </w:r>
      <w:r w:rsidR="00E71FA9">
        <w:rPr>
          <w:rFonts w:ascii="Verdana" w:hAnsi="Verdana"/>
          <w:sz w:val="18"/>
          <w:szCs w:val="18"/>
        </w:rPr>
        <w:t>i 2012</w:t>
      </w:r>
      <w:r w:rsidR="00F52D5F">
        <w:rPr>
          <w:rFonts w:ascii="Verdana" w:hAnsi="Verdana"/>
          <w:sz w:val="18"/>
          <w:szCs w:val="18"/>
        </w:rPr>
        <w:t xml:space="preserve"> at indføre</w:t>
      </w:r>
      <w:r w:rsidR="00E71FA9">
        <w:rPr>
          <w:rFonts w:ascii="Verdana" w:hAnsi="Verdana"/>
          <w:sz w:val="18"/>
          <w:szCs w:val="18"/>
        </w:rPr>
        <w:t xml:space="preserve"> et særligt tilskud til tandpleje til socialt udsatte. </w:t>
      </w:r>
      <w:r w:rsidR="001E611F">
        <w:rPr>
          <w:rFonts w:ascii="Verdana" w:hAnsi="Verdana"/>
          <w:sz w:val="18"/>
          <w:szCs w:val="18"/>
        </w:rPr>
        <w:t xml:space="preserve">Den daværende sundhedsminister var stolt af at kunne </w:t>
      </w:r>
      <w:r w:rsidR="00F52D5F">
        <w:rPr>
          <w:rFonts w:ascii="Verdana" w:hAnsi="Verdana"/>
          <w:sz w:val="18"/>
          <w:szCs w:val="18"/>
        </w:rPr>
        <w:t xml:space="preserve">give en hjælpende hånd til </w:t>
      </w:r>
      <w:r>
        <w:rPr>
          <w:rFonts w:ascii="Verdana" w:hAnsi="Verdana"/>
          <w:sz w:val="18"/>
          <w:szCs w:val="18"/>
        </w:rPr>
        <w:t xml:space="preserve">nogle af </w:t>
      </w:r>
      <w:r w:rsidR="00F52D5F">
        <w:rPr>
          <w:rFonts w:ascii="Verdana" w:hAnsi="Verdana"/>
          <w:sz w:val="18"/>
          <w:szCs w:val="18"/>
        </w:rPr>
        <w:t xml:space="preserve">de danskere, der </w:t>
      </w:r>
      <w:r w:rsidR="001E611F">
        <w:rPr>
          <w:rFonts w:ascii="Verdana" w:hAnsi="Verdana"/>
          <w:sz w:val="18"/>
          <w:szCs w:val="18"/>
        </w:rPr>
        <w:t xml:space="preserve">både </w:t>
      </w:r>
      <w:r w:rsidR="00F52D5F">
        <w:rPr>
          <w:rFonts w:ascii="Verdana" w:hAnsi="Verdana"/>
          <w:sz w:val="18"/>
          <w:szCs w:val="18"/>
        </w:rPr>
        <w:t xml:space="preserve">har færrest penge og størst tandproblemer. </w:t>
      </w:r>
      <w:r w:rsidR="00E71FA9">
        <w:rPr>
          <w:rFonts w:ascii="Verdana" w:hAnsi="Verdana"/>
          <w:sz w:val="18"/>
          <w:szCs w:val="18"/>
        </w:rPr>
        <w:t xml:space="preserve">Men </w:t>
      </w:r>
      <w:r w:rsidR="001E611F">
        <w:rPr>
          <w:rFonts w:ascii="Verdana" w:hAnsi="Verdana"/>
          <w:sz w:val="18"/>
          <w:szCs w:val="18"/>
        </w:rPr>
        <w:t>hovedparten</w:t>
      </w:r>
      <w:r w:rsidR="00E71FA9">
        <w:rPr>
          <w:rFonts w:ascii="Verdana" w:hAnsi="Verdana"/>
          <w:sz w:val="18"/>
          <w:szCs w:val="18"/>
        </w:rPr>
        <w:t xml:space="preserve"> af de </w:t>
      </w:r>
      <w:r>
        <w:rPr>
          <w:rFonts w:ascii="Verdana" w:hAnsi="Verdana"/>
          <w:sz w:val="18"/>
          <w:szCs w:val="18"/>
        </w:rPr>
        <w:t>tilskudskroner</w:t>
      </w:r>
      <w:r w:rsidR="00E71FA9">
        <w:rPr>
          <w:rFonts w:ascii="Verdana" w:hAnsi="Verdana"/>
          <w:sz w:val="18"/>
          <w:szCs w:val="18"/>
        </w:rPr>
        <w:t>, som skulle hjælpe kontanthjælpsmodtagere mv. med tandlægeregningen, kommer slet ikke de socialt udsatte til gode.</w:t>
      </w:r>
    </w:p>
    <w:p w:rsidR="00E71FA9" w:rsidRDefault="00E71FA9" w:rsidP="00F52D5F">
      <w:pPr>
        <w:spacing w:line="288" w:lineRule="auto"/>
        <w:contextualSpacing/>
        <w:rPr>
          <w:rFonts w:ascii="Verdana" w:hAnsi="Verdana"/>
          <w:sz w:val="18"/>
          <w:szCs w:val="18"/>
        </w:rPr>
      </w:pPr>
    </w:p>
    <w:p w:rsidR="00E71FA9" w:rsidRDefault="001C3FB7" w:rsidP="00F52D5F">
      <w:pPr>
        <w:spacing w:line="288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Nye tal fra Danmarks Statistik viser, at der i 2014 kun blev brugt 85 mio. kr. ud af den årlige </w:t>
      </w:r>
      <w:r w:rsidR="00E71FA9">
        <w:rPr>
          <w:rFonts w:ascii="Verdana" w:hAnsi="Verdana"/>
          <w:sz w:val="18"/>
          <w:szCs w:val="18"/>
        </w:rPr>
        <w:t xml:space="preserve">bevilling på 180 mio. kr. Det vil sige, at næsten 100 mio. kr., som skulle have </w:t>
      </w:r>
      <w:r w:rsidR="00B96453">
        <w:rPr>
          <w:rFonts w:ascii="Verdana" w:hAnsi="Verdana"/>
          <w:sz w:val="18"/>
          <w:szCs w:val="18"/>
        </w:rPr>
        <w:t>udgjort</w:t>
      </w:r>
      <w:r w:rsidR="00E71FA9">
        <w:rPr>
          <w:rFonts w:ascii="Verdana" w:hAnsi="Verdana"/>
          <w:sz w:val="18"/>
          <w:szCs w:val="18"/>
        </w:rPr>
        <w:t xml:space="preserve"> en tiltrængt håndsrækning til nogle af samfundets svageste, </w:t>
      </w:r>
      <w:r>
        <w:rPr>
          <w:rFonts w:ascii="Verdana" w:hAnsi="Verdana"/>
          <w:sz w:val="18"/>
          <w:szCs w:val="18"/>
        </w:rPr>
        <w:t xml:space="preserve">blot </w:t>
      </w:r>
      <w:r w:rsidR="00E71FA9">
        <w:rPr>
          <w:rFonts w:ascii="Verdana" w:hAnsi="Verdana"/>
          <w:sz w:val="18"/>
          <w:szCs w:val="18"/>
        </w:rPr>
        <w:t>er ført tilbage til finansministeren.</w:t>
      </w:r>
    </w:p>
    <w:p w:rsidR="00E71FA9" w:rsidRDefault="00E71FA9" w:rsidP="00F52D5F">
      <w:pPr>
        <w:spacing w:line="288" w:lineRule="auto"/>
        <w:contextualSpacing/>
        <w:rPr>
          <w:rFonts w:ascii="Verdana" w:hAnsi="Verdana"/>
          <w:sz w:val="18"/>
          <w:szCs w:val="18"/>
        </w:rPr>
      </w:pPr>
    </w:p>
    <w:p w:rsidR="00E71FA9" w:rsidRP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E71FA9" w:rsidRPr="00F52D5F">
        <w:rPr>
          <w:rFonts w:ascii="Verdana" w:hAnsi="Verdana"/>
          <w:sz w:val="18"/>
          <w:szCs w:val="18"/>
        </w:rPr>
        <w:t>Problemet var en</w:t>
      </w:r>
      <w:r w:rsidR="001C3FB7" w:rsidRPr="00F52D5F">
        <w:rPr>
          <w:rFonts w:ascii="Verdana" w:hAnsi="Verdana"/>
          <w:sz w:val="18"/>
          <w:szCs w:val="18"/>
        </w:rPr>
        <w:t>dnu større i 2013, hvor kun 48</w:t>
      </w:r>
      <w:r w:rsidR="00E71FA9" w:rsidRPr="00F52D5F">
        <w:rPr>
          <w:rFonts w:ascii="Verdana" w:hAnsi="Verdana"/>
          <w:sz w:val="18"/>
          <w:szCs w:val="18"/>
        </w:rPr>
        <w:t xml:space="preserve"> af de 180 mio. kr. blev brugt til støtte til de socialt udsatte. Men dengang kunne regeringen delvis</w:t>
      </w:r>
      <w:r w:rsidR="00B96453">
        <w:rPr>
          <w:rFonts w:ascii="Verdana" w:hAnsi="Verdana"/>
          <w:sz w:val="18"/>
          <w:szCs w:val="18"/>
        </w:rPr>
        <w:t>t</w:t>
      </w:r>
      <w:r w:rsidR="00E71FA9" w:rsidRPr="00F52D5F">
        <w:rPr>
          <w:rFonts w:ascii="Verdana" w:hAnsi="Verdana"/>
          <w:sz w:val="18"/>
          <w:szCs w:val="18"/>
        </w:rPr>
        <w:t xml:space="preserve"> undskylde sig med, at ordningen var ny. Det er den ikke mere. </w:t>
      </w:r>
      <w:r w:rsidR="000C0F65" w:rsidRPr="00F52D5F">
        <w:rPr>
          <w:rFonts w:ascii="Verdana" w:hAnsi="Verdana"/>
          <w:sz w:val="18"/>
          <w:szCs w:val="18"/>
        </w:rPr>
        <w:t>Alle kender til den – både de socialt udsatte selv, tandlægerne og kommunerne, siger Tandlægeforeningens formand Freddie Sloth-Lisbjerg.</w:t>
      </w:r>
    </w:p>
    <w:p w:rsidR="000C0F65" w:rsidRDefault="000C0F65" w:rsidP="00F52D5F">
      <w:pPr>
        <w:spacing w:line="288" w:lineRule="auto"/>
        <w:rPr>
          <w:rFonts w:ascii="Verdana" w:hAnsi="Verdana"/>
          <w:sz w:val="18"/>
          <w:szCs w:val="18"/>
        </w:rPr>
      </w:pPr>
    </w:p>
    <w:p w:rsidR="001E611F" w:rsidRPr="001E611F" w:rsidRDefault="001E611F" w:rsidP="00F52D5F">
      <w:pPr>
        <w:spacing w:line="288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Kommuner passer på pengene</w:t>
      </w:r>
    </w:p>
    <w:p w:rsidR="000C0F65" w:rsidRDefault="001C3FB7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Det er kommunerne, der administrerer tilskudsordningen. Ifølge en opgørelse fra Danmarks Statistik er der meget store forskelle på, hvor mange penge hver enkelt kommune yder i tilskud til tandpleje i snit pr. kontanthjælpsmodtager.</w:t>
      </w:r>
    </w:p>
    <w:p w:rsidR="001C3FB7" w:rsidRDefault="001C3FB7" w:rsidP="00F52D5F">
      <w:pPr>
        <w:spacing w:line="288" w:lineRule="auto"/>
        <w:rPr>
          <w:rFonts w:ascii="Verdana" w:hAnsi="Verdana"/>
          <w:sz w:val="18"/>
          <w:szCs w:val="18"/>
        </w:rPr>
      </w:pPr>
    </w:p>
    <w:p w:rsidR="001C3FB7" w:rsidRP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1C3FB7" w:rsidRPr="00F52D5F">
        <w:rPr>
          <w:rFonts w:ascii="Verdana" w:hAnsi="Verdana"/>
          <w:sz w:val="18"/>
          <w:szCs w:val="18"/>
        </w:rPr>
        <w:t>Tallene viser, at man i nogle kommuner sidder endog meget tungt på låget til pengekassen. Og jeg hører desværre om kommuner, der er ganske kreative i deres bestræbelser på at undgå at udbetale det tilskud, som kontanthjælpsmodtagerne har krav på, siger Freddie Sloth-Lisbjerg.</w:t>
      </w:r>
    </w:p>
    <w:p w:rsidR="001C3FB7" w:rsidRDefault="001C3FB7" w:rsidP="00F52D5F">
      <w:pPr>
        <w:spacing w:line="288" w:lineRule="auto"/>
        <w:rPr>
          <w:rFonts w:ascii="Verdana" w:hAnsi="Verdana"/>
          <w:sz w:val="18"/>
          <w:szCs w:val="18"/>
        </w:rPr>
      </w:pPr>
    </w:p>
    <w:p w:rsidR="001C3FB7" w:rsidRPr="001E611F" w:rsidRDefault="001C3FB7" w:rsidP="00F52D5F">
      <w:pPr>
        <w:spacing w:line="288" w:lineRule="auto"/>
        <w:rPr>
          <w:rFonts w:ascii="Verdana" w:hAnsi="Verdana"/>
          <w:b/>
          <w:sz w:val="18"/>
          <w:szCs w:val="18"/>
        </w:rPr>
      </w:pPr>
      <w:r w:rsidRPr="001E611F">
        <w:rPr>
          <w:rFonts w:ascii="Verdana" w:hAnsi="Verdana"/>
          <w:b/>
          <w:sz w:val="18"/>
          <w:szCs w:val="18"/>
        </w:rPr>
        <w:t>Lovændring er kun kosmetik</w:t>
      </w:r>
    </w:p>
    <w:p w:rsidR="001C3FB7" w:rsidRDefault="001C3FB7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Tirsdag den 19. maj vedtog Folketinget nogle ændringer af reglerne for den særlige tilskudsordning vedr. tandpleje til kontanthjælpsmodtagere mv. Men ændringerne vil kun få kosmetisk betydning, vurderer Freddie Sloth-Lisbjerg.</w:t>
      </w:r>
    </w:p>
    <w:p w:rsidR="001C3FB7" w:rsidRDefault="001C3FB7" w:rsidP="00F52D5F">
      <w:pPr>
        <w:spacing w:line="288" w:lineRule="auto"/>
        <w:rPr>
          <w:rFonts w:ascii="Verdana" w:hAnsi="Verdana"/>
          <w:sz w:val="18"/>
          <w:szCs w:val="18"/>
        </w:rPr>
      </w:pPr>
    </w:p>
    <w:p w:rsidR="001C3FB7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1C3FB7" w:rsidRPr="00F52D5F">
        <w:rPr>
          <w:rFonts w:ascii="Verdana" w:hAnsi="Verdana"/>
          <w:sz w:val="18"/>
          <w:szCs w:val="18"/>
        </w:rPr>
        <w:t>Man har sagt til kommunerne, at de skal være mere opsøgende, og det er i princippet fint nok. Men s</w:t>
      </w:r>
      <w:r w:rsidR="001E611F">
        <w:rPr>
          <w:rFonts w:ascii="Verdana" w:hAnsi="Verdana"/>
          <w:sz w:val="18"/>
          <w:szCs w:val="18"/>
        </w:rPr>
        <w:t>elv om loven er ændret, skal</w:t>
      </w:r>
      <w:r w:rsidR="001C3FB7" w:rsidRPr="00F52D5F">
        <w:rPr>
          <w:rFonts w:ascii="Verdana" w:hAnsi="Verdana"/>
          <w:sz w:val="18"/>
          <w:szCs w:val="18"/>
        </w:rPr>
        <w:t xml:space="preserve"> kontanthjælpsmodtagere, der er fyldt 2</w:t>
      </w:r>
      <w:r w:rsidR="00BA358D">
        <w:rPr>
          <w:rFonts w:ascii="Verdana" w:hAnsi="Verdana"/>
          <w:sz w:val="18"/>
          <w:szCs w:val="18"/>
        </w:rPr>
        <w:t>5</w:t>
      </w:r>
      <w:r w:rsidR="001C3FB7" w:rsidRPr="00F52D5F">
        <w:rPr>
          <w:rFonts w:ascii="Verdana" w:hAnsi="Verdana"/>
          <w:sz w:val="18"/>
          <w:szCs w:val="18"/>
        </w:rPr>
        <w:t xml:space="preserve"> år, </w:t>
      </w:r>
      <w:r w:rsidR="001E611F">
        <w:rPr>
          <w:rFonts w:ascii="Verdana" w:hAnsi="Verdana"/>
          <w:sz w:val="18"/>
          <w:szCs w:val="18"/>
        </w:rPr>
        <w:t xml:space="preserve">stadig </w:t>
      </w:r>
      <w:r w:rsidR="001C3FB7" w:rsidRPr="00F52D5F">
        <w:rPr>
          <w:rFonts w:ascii="Verdana" w:hAnsi="Verdana"/>
          <w:sz w:val="18"/>
          <w:szCs w:val="18"/>
        </w:rPr>
        <w:t xml:space="preserve">selv betale dels de første 600 kr., dels 35 % af resten. Det siger sig selv, at en kontanthjælpsmodtager, der får en tandlægeregning på </w:t>
      </w:r>
      <w:r w:rsidR="001E611F">
        <w:rPr>
          <w:rFonts w:ascii="Verdana" w:hAnsi="Verdana"/>
          <w:sz w:val="18"/>
          <w:szCs w:val="18"/>
        </w:rPr>
        <w:t>fx</w:t>
      </w:r>
      <w:r w:rsidR="001C3FB7" w:rsidRPr="00F52D5F">
        <w:rPr>
          <w:rFonts w:ascii="Verdana" w:hAnsi="Verdana"/>
          <w:sz w:val="18"/>
          <w:szCs w:val="18"/>
        </w:rPr>
        <w:t xml:space="preserve"> 10.000 kr., ikke har luft i budgettet til at betale et godt stykke over en tredjedel af regningen selv. Hvis regeringen virkelig ønsker at hjælpe de socialt udsatte, så må </w:t>
      </w:r>
      <w:r w:rsidR="001E611F">
        <w:rPr>
          <w:rFonts w:ascii="Verdana" w:hAnsi="Verdana"/>
          <w:sz w:val="18"/>
          <w:szCs w:val="18"/>
        </w:rPr>
        <w:t xml:space="preserve">man </w:t>
      </w:r>
      <w:r w:rsidR="001C3FB7" w:rsidRPr="00F52D5F">
        <w:rPr>
          <w:rFonts w:ascii="Verdana" w:hAnsi="Verdana"/>
          <w:sz w:val="18"/>
          <w:szCs w:val="18"/>
        </w:rPr>
        <w:t>foretage en betydelig reduktion af egenbetalingen på 35 %, siger Fred</w:t>
      </w:r>
      <w:r w:rsidR="001E611F">
        <w:rPr>
          <w:rFonts w:ascii="Verdana" w:hAnsi="Verdana"/>
          <w:sz w:val="18"/>
          <w:szCs w:val="18"/>
        </w:rPr>
        <w:t>die Sloth-Lisbjerg og tilføjer:</w:t>
      </w:r>
    </w:p>
    <w:p w:rsidR="001E611F" w:rsidRDefault="001E611F" w:rsidP="00F52D5F">
      <w:pPr>
        <w:spacing w:line="288" w:lineRule="auto"/>
        <w:rPr>
          <w:rFonts w:ascii="Verdana" w:hAnsi="Verdana"/>
          <w:sz w:val="18"/>
          <w:szCs w:val="18"/>
        </w:rPr>
      </w:pPr>
    </w:p>
    <w:p w:rsidR="001E611F" w:rsidRPr="001E611F" w:rsidRDefault="001E611F" w:rsidP="001E611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1E611F">
        <w:rPr>
          <w:rFonts w:ascii="Verdana" w:hAnsi="Verdana"/>
          <w:sz w:val="18"/>
          <w:szCs w:val="18"/>
        </w:rPr>
        <w:t xml:space="preserve">Over en </w:t>
      </w:r>
      <w:proofErr w:type="spellStart"/>
      <w:r w:rsidRPr="001E611F">
        <w:rPr>
          <w:rFonts w:ascii="Verdana" w:hAnsi="Verdana"/>
          <w:sz w:val="18"/>
          <w:szCs w:val="18"/>
        </w:rPr>
        <w:t>to-årig</w:t>
      </w:r>
      <w:proofErr w:type="spellEnd"/>
      <w:r w:rsidRPr="001E611F">
        <w:rPr>
          <w:rFonts w:ascii="Verdana" w:hAnsi="Verdana"/>
          <w:sz w:val="18"/>
          <w:szCs w:val="18"/>
        </w:rPr>
        <w:t xml:space="preserve"> periode er 227 mio. kr., som skulle have været brugt til at give bedre sundhed til nogle af samfundets svageste, blevet liggende hos </w:t>
      </w:r>
      <w:r w:rsidR="00174BD4">
        <w:rPr>
          <w:rFonts w:ascii="Verdana" w:hAnsi="Verdana"/>
          <w:sz w:val="18"/>
          <w:szCs w:val="18"/>
        </w:rPr>
        <w:t>finansministeren</w:t>
      </w:r>
      <w:r w:rsidRPr="001E611F">
        <w:rPr>
          <w:rFonts w:ascii="Verdana" w:hAnsi="Verdana"/>
          <w:sz w:val="18"/>
          <w:szCs w:val="18"/>
        </w:rPr>
        <w:t xml:space="preserve">. Det kan vi ikke være bekendt i et velfærdssamfund, hvor vi </w:t>
      </w:r>
      <w:r w:rsidR="00705DDF">
        <w:rPr>
          <w:rFonts w:ascii="Verdana" w:hAnsi="Verdana"/>
          <w:sz w:val="18"/>
          <w:szCs w:val="18"/>
        </w:rPr>
        <w:t>taler så meget om</w:t>
      </w:r>
      <w:r w:rsidRPr="001E611F">
        <w:rPr>
          <w:rFonts w:ascii="Verdana" w:hAnsi="Verdana"/>
          <w:sz w:val="18"/>
          <w:szCs w:val="18"/>
        </w:rPr>
        <w:t xml:space="preserve"> den fri og lige adgang til sundhedsvæsenet.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</w:p>
    <w:p w:rsidR="00B96453" w:rsidRDefault="00B96453" w:rsidP="00F52D5F">
      <w:pPr>
        <w:spacing w:line="288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Er din kommune i top eller bund?</w:t>
      </w:r>
    </w:p>
    <w:p w:rsidR="00B96453" w:rsidRPr="00B96453" w:rsidRDefault="00B96453" w:rsidP="00F52D5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F52D5F" w:rsidRPr="001E611F" w:rsidRDefault="00F52D5F" w:rsidP="00F52D5F">
      <w:pPr>
        <w:spacing w:line="288" w:lineRule="auto"/>
        <w:rPr>
          <w:rFonts w:ascii="Verdana" w:hAnsi="Verdana"/>
          <w:b/>
          <w:sz w:val="18"/>
          <w:szCs w:val="18"/>
        </w:rPr>
      </w:pPr>
      <w:r w:rsidRPr="001E611F">
        <w:rPr>
          <w:rFonts w:ascii="Verdana" w:hAnsi="Verdana"/>
          <w:b/>
          <w:sz w:val="18"/>
          <w:szCs w:val="18"/>
        </w:rPr>
        <w:t>B</w:t>
      </w:r>
      <w:r w:rsidR="00705DDF">
        <w:rPr>
          <w:rFonts w:ascii="Verdana" w:hAnsi="Verdana"/>
          <w:b/>
          <w:sz w:val="18"/>
          <w:szCs w:val="18"/>
        </w:rPr>
        <w:t>und</w:t>
      </w:r>
      <w:r w:rsidRPr="001E611F">
        <w:rPr>
          <w:rFonts w:ascii="Verdana" w:hAnsi="Verdana"/>
          <w:b/>
          <w:sz w:val="18"/>
          <w:szCs w:val="18"/>
        </w:rPr>
        <w:t xml:space="preserve"> 10:</w:t>
      </w:r>
    </w:p>
    <w:p w:rsidR="00F52D5F" w:rsidRPr="00705DDF" w:rsidRDefault="00F52D5F" w:rsidP="00F52D5F">
      <w:pPr>
        <w:spacing w:line="288" w:lineRule="auto"/>
        <w:rPr>
          <w:rFonts w:ascii="Verdana" w:hAnsi="Verdana"/>
          <w:i/>
          <w:sz w:val="18"/>
          <w:szCs w:val="18"/>
        </w:rPr>
      </w:pPr>
      <w:r w:rsidRPr="00705DDF">
        <w:rPr>
          <w:rFonts w:ascii="Verdana" w:hAnsi="Verdana"/>
          <w:i/>
          <w:sz w:val="18"/>
          <w:szCs w:val="18"/>
        </w:rPr>
        <w:t xml:space="preserve">Disse kommuner giver mindst i gennemsnitligt tilskud til tandpleje til kontanthjælpsmodtagere via lov om aktiv socialpolitik § 82 a. </w:t>
      </w:r>
      <w:r w:rsidR="00705DDF">
        <w:rPr>
          <w:rFonts w:ascii="Verdana" w:hAnsi="Verdana"/>
          <w:i/>
          <w:sz w:val="18"/>
          <w:szCs w:val="18"/>
        </w:rPr>
        <w:t xml:space="preserve">Tal fra Danmarks Statistik </w:t>
      </w:r>
      <w:r w:rsidR="00B96453">
        <w:rPr>
          <w:rFonts w:ascii="Verdana" w:hAnsi="Verdana"/>
          <w:i/>
          <w:sz w:val="18"/>
          <w:szCs w:val="18"/>
        </w:rPr>
        <w:t xml:space="preserve">for </w:t>
      </w:r>
      <w:r w:rsidR="00705DDF">
        <w:rPr>
          <w:rFonts w:ascii="Verdana" w:hAnsi="Verdana"/>
          <w:i/>
          <w:sz w:val="18"/>
          <w:szCs w:val="18"/>
        </w:rPr>
        <w:t>2014:</w:t>
      </w:r>
    </w:p>
    <w:p w:rsidR="00F52D5F" w:rsidRPr="00705DDF" w:rsidRDefault="00F52D5F" w:rsidP="00F52D5F">
      <w:pPr>
        <w:spacing w:line="288" w:lineRule="auto"/>
        <w:rPr>
          <w:rFonts w:ascii="Verdana" w:hAnsi="Verdana"/>
          <w:b/>
          <w:i/>
          <w:sz w:val="18"/>
          <w:szCs w:val="18"/>
        </w:rPr>
      </w:pPr>
      <w:r w:rsidRPr="00705DDF">
        <w:rPr>
          <w:rFonts w:ascii="Verdana" w:hAnsi="Verdana"/>
          <w:b/>
          <w:i/>
          <w:sz w:val="18"/>
          <w:szCs w:val="18"/>
        </w:rPr>
        <w:lastRenderedPageBreak/>
        <w:t>Kommune</w:t>
      </w:r>
      <w:r w:rsidRPr="00705DDF">
        <w:rPr>
          <w:rFonts w:ascii="Verdana" w:hAnsi="Verdana"/>
          <w:b/>
          <w:i/>
          <w:sz w:val="18"/>
          <w:szCs w:val="18"/>
        </w:rPr>
        <w:tab/>
      </w:r>
      <w:r w:rsidRPr="00705DDF">
        <w:rPr>
          <w:rFonts w:ascii="Verdana" w:hAnsi="Verdana"/>
          <w:b/>
          <w:i/>
          <w:sz w:val="18"/>
          <w:szCs w:val="18"/>
        </w:rPr>
        <w:tab/>
        <w:t>Kr. pr. kontanthjælpsmodtager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Lejre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191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Læsø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Tårnby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205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Aarhus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212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Albertslund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229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Stevns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256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Langeland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259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Dragør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283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Gentofte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296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Glostrup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302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</w:p>
    <w:p w:rsidR="00F52D5F" w:rsidRPr="001E611F" w:rsidRDefault="00F52D5F" w:rsidP="00F52D5F">
      <w:pPr>
        <w:spacing w:line="288" w:lineRule="auto"/>
        <w:rPr>
          <w:rFonts w:ascii="Verdana" w:hAnsi="Verdana"/>
          <w:b/>
          <w:sz w:val="18"/>
          <w:szCs w:val="18"/>
        </w:rPr>
      </w:pPr>
      <w:r w:rsidRPr="001E611F">
        <w:rPr>
          <w:rFonts w:ascii="Verdana" w:hAnsi="Verdana"/>
          <w:b/>
          <w:sz w:val="18"/>
          <w:szCs w:val="18"/>
        </w:rPr>
        <w:t>T</w:t>
      </w:r>
      <w:r w:rsidR="00705DDF">
        <w:rPr>
          <w:rFonts w:ascii="Verdana" w:hAnsi="Verdana"/>
          <w:b/>
          <w:sz w:val="18"/>
          <w:szCs w:val="18"/>
        </w:rPr>
        <w:t>op</w:t>
      </w:r>
      <w:r w:rsidRPr="001E611F">
        <w:rPr>
          <w:rFonts w:ascii="Verdana" w:hAnsi="Verdana"/>
          <w:b/>
          <w:sz w:val="18"/>
          <w:szCs w:val="18"/>
        </w:rPr>
        <w:t xml:space="preserve"> 10:</w:t>
      </w:r>
    </w:p>
    <w:p w:rsidR="00F52D5F" w:rsidRPr="00705DDF" w:rsidRDefault="00F52D5F" w:rsidP="00F52D5F">
      <w:pPr>
        <w:spacing w:line="288" w:lineRule="auto"/>
        <w:rPr>
          <w:rFonts w:ascii="Verdana" w:hAnsi="Verdana"/>
          <w:i/>
          <w:sz w:val="18"/>
          <w:szCs w:val="18"/>
        </w:rPr>
      </w:pPr>
      <w:r w:rsidRPr="00705DDF">
        <w:rPr>
          <w:rFonts w:ascii="Verdana" w:hAnsi="Verdana"/>
          <w:i/>
          <w:sz w:val="18"/>
          <w:szCs w:val="18"/>
        </w:rPr>
        <w:t>Disse kommuner giver m</w:t>
      </w:r>
      <w:r w:rsidR="00705DDF">
        <w:rPr>
          <w:rFonts w:ascii="Verdana" w:hAnsi="Verdana"/>
          <w:i/>
          <w:sz w:val="18"/>
          <w:szCs w:val="18"/>
        </w:rPr>
        <w:t>est</w:t>
      </w:r>
      <w:r w:rsidRPr="00705DDF">
        <w:rPr>
          <w:rFonts w:ascii="Verdana" w:hAnsi="Verdana"/>
          <w:i/>
          <w:sz w:val="18"/>
          <w:szCs w:val="18"/>
        </w:rPr>
        <w:t xml:space="preserve"> i gennemsnitligt tilskud til tandpleje til kontanthjælpsmodtagere via lov om aktiv socialpolitik § 82 a. </w:t>
      </w:r>
      <w:r w:rsidR="00705DDF">
        <w:rPr>
          <w:rFonts w:ascii="Verdana" w:hAnsi="Verdana"/>
          <w:i/>
          <w:sz w:val="18"/>
          <w:szCs w:val="18"/>
        </w:rPr>
        <w:t xml:space="preserve">Tal fra Danmarks Statistik </w:t>
      </w:r>
      <w:r w:rsidR="00B96453">
        <w:rPr>
          <w:rFonts w:ascii="Verdana" w:hAnsi="Verdana"/>
          <w:i/>
          <w:sz w:val="18"/>
          <w:szCs w:val="18"/>
        </w:rPr>
        <w:t xml:space="preserve">for </w:t>
      </w:r>
      <w:r w:rsidR="00705DDF">
        <w:rPr>
          <w:rFonts w:ascii="Verdana" w:hAnsi="Verdana"/>
          <w:i/>
          <w:sz w:val="18"/>
          <w:szCs w:val="18"/>
        </w:rPr>
        <w:t>2014:</w:t>
      </w:r>
    </w:p>
    <w:p w:rsidR="00D847FA" w:rsidRPr="00705DDF" w:rsidRDefault="00D847FA" w:rsidP="00F52D5F">
      <w:pPr>
        <w:spacing w:line="288" w:lineRule="auto"/>
        <w:rPr>
          <w:rFonts w:ascii="Verdana" w:hAnsi="Verdana"/>
          <w:b/>
          <w:i/>
          <w:sz w:val="18"/>
          <w:szCs w:val="18"/>
        </w:rPr>
      </w:pPr>
      <w:r w:rsidRPr="00705DDF">
        <w:rPr>
          <w:rFonts w:ascii="Verdana" w:hAnsi="Verdana"/>
          <w:b/>
          <w:i/>
          <w:sz w:val="18"/>
          <w:szCs w:val="18"/>
        </w:rPr>
        <w:t>Kommune</w:t>
      </w:r>
      <w:r w:rsidRPr="00705DDF">
        <w:rPr>
          <w:rFonts w:ascii="Verdana" w:hAnsi="Verdana"/>
          <w:b/>
          <w:i/>
          <w:sz w:val="18"/>
          <w:szCs w:val="18"/>
        </w:rPr>
        <w:tab/>
      </w:r>
      <w:r w:rsidRPr="00705DDF">
        <w:rPr>
          <w:rFonts w:ascii="Verdana" w:hAnsi="Verdana"/>
          <w:b/>
          <w:i/>
          <w:sz w:val="18"/>
          <w:szCs w:val="18"/>
        </w:rPr>
        <w:tab/>
        <w:t>Kr. pr. kontanthjælpsmodtager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Billund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1002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Rødovre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929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Ærø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908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Vejen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893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Greve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886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Holstebro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869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Rebild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866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Ikast-Brande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841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Silkeborg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819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Ballerup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799</w:t>
      </w:r>
    </w:p>
    <w:p w:rsid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</w:p>
    <w:p w:rsidR="00705DDF" w:rsidRPr="00702F93" w:rsidRDefault="00705DDF" w:rsidP="00705DDF">
      <w:pPr>
        <w:spacing w:line="288" w:lineRule="auto"/>
        <w:rPr>
          <w:rFonts w:ascii="Verdana" w:hAnsi="Verdana"/>
          <w:b/>
          <w:sz w:val="18"/>
          <w:szCs w:val="18"/>
        </w:rPr>
      </w:pPr>
      <w:r w:rsidRPr="00702F93">
        <w:rPr>
          <w:rFonts w:ascii="Verdana" w:hAnsi="Verdana"/>
          <w:b/>
          <w:sz w:val="18"/>
          <w:szCs w:val="18"/>
        </w:rPr>
        <w:t>F</w:t>
      </w:r>
      <w:r>
        <w:rPr>
          <w:rFonts w:ascii="Verdana" w:hAnsi="Verdana"/>
          <w:b/>
          <w:sz w:val="18"/>
          <w:szCs w:val="18"/>
        </w:rPr>
        <w:t>akta</w:t>
      </w:r>
      <w:r w:rsidRPr="00702F93">
        <w:rPr>
          <w:rFonts w:ascii="Verdana" w:hAnsi="Verdana"/>
          <w:b/>
          <w:sz w:val="18"/>
          <w:szCs w:val="18"/>
        </w:rPr>
        <w:t>:</w:t>
      </w:r>
    </w:p>
    <w:p w:rsidR="00705DDF" w:rsidRPr="00705DDF" w:rsidRDefault="00705DDF" w:rsidP="00705DDF">
      <w:pPr>
        <w:pStyle w:val="Default"/>
        <w:spacing w:line="288" w:lineRule="auto"/>
        <w:rPr>
          <w:rFonts w:ascii="Verdana" w:hAnsi="Verdana"/>
          <w:sz w:val="18"/>
          <w:szCs w:val="18"/>
        </w:rPr>
      </w:pPr>
      <w:r w:rsidRPr="00705DDF">
        <w:rPr>
          <w:rFonts w:ascii="Verdana" w:hAnsi="Verdana"/>
          <w:sz w:val="18"/>
          <w:szCs w:val="18"/>
        </w:rPr>
        <w:t>Man har siden 1. januar 2013 kunnet få tilskud til tandbehandling på op til 10.000 kr., hvis man modtager en af følgende ydelser: Uddannelseshjælp, kontanthjælp, revalideringsydelse, ressourceforløbsydelse eller ledighedsydelse</w:t>
      </w:r>
      <w:r w:rsidRPr="00705DDF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- </w:t>
      </w:r>
      <w:r w:rsidRPr="00705DDF">
        <w:rPr>
          <w:rFonts w:ascii="Verdana" w:hAnsi="Verdana"/>
          <w:sz w:val="18"/>
          <w:szCs w:val="18"/>
        </w:rPr>
        <w:t xml:space="preserve">forudsat ydelsen svarer til kontanthjælpsniveau. SU-modtagere er ikke omfattet. </w:t>
      </w:r>
    </w:p>
    <w:p w:rsidR="00705DDF" w:rsidRPr="00705DDF" w:rsidRDefault="00705DDF" w:rsidP="00705DDF">
      <w:pPr>
        <w:pStyle w:val="Default"/>
        <w:spacing w:line="288" w:lineRule="auto"/>
        <w:rPr>
          <w:rFonts w:ascii="Verdana" w:hAnsi="Verdana"/>
          <w:sz w:val="18"/>
          <w:szCs w:val="18"/>
        </w:rPr>
      </w:pPr>
      <w:r w:rsidRPr="00705DDF">
        <w:rPr>
          <w:rFonts w:ascii="Verdana" w:hAnsi="Verdana"/>
          <w:sz w:val="18"/>
          <w:szCs w:val="18"/>
        </w:rPr>
        <w:t>Tilskuddet fremgår af § 82 a i lov om aktiv socialpolitik. Hvis man er 25 år eller derover</w:t>
      </w:r>
      <w:r w:rsidR="00B96453">
        <w:rPr>
          <w:rFonts w:ascii="Verdana" w:hAnsi="Verdana"/>
          <w:sz w:val="18"/>
          <w:szCs w:val="18"/>
        </w:rPr>
        <w:t>,</w:t>
      </w:r>
      <w:r w:rsidRPr="00705DDF">
        <w:rPr>
          <w:rFonts w:ascii="Verdana" w:hAnsi="Verdana"/>
          <w:sz w:val="18"/>
          <w:szCs w:val="18"/>
        </w:rPr>
        <w:t xml:space="preserve"> skal man årligt betale 600 kr. og 35 % af regningen op til 10.000 kr. 18-24-årige skal selv betale 600 kr. om året.</w:t>
      </w:r>
    </w:p>
    <w:p w:rsidR="00705DDF" w:rsidRDefault="00705DDF" w:rsidP="00705DDF">
      <w:pPr>
        <w:spacing w:line="288" w:lineRule="auto"/>
        <w:rPr>
          <w:rFonts w:ascii="Verdana" w:hAnsi="Verdana"/>
          <w:sz w:val="18"/>
          <w:szCs w:val="18"/>
        </w:rPr>
      </w:pPr>
    </w:p>
    <w:p w:rsidR="00702F93" w:rsidRDefault="00702F93" w:rsidP="00F52D5F">
      <w:pPr>
        <w:spacing w:line="288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Nærmere oplysninger kan fås hos Tandlægeforeningen. Kontakt kommunikationschef Claus Jørgensen på tlf. 21 26 56 98 eller mail </w:t>
      </w:r>
      <w:hyperlink r:id="rId8" w:history="1">
        <w:r w:rsidRPr="00886E98">
          <w:rPr>
            <w:rStyle w:val="Llink"/>
            <w:rFonts w:ascii="Verdana" w:hAnsi="Verdana"/>
            <w:i/>
            <w:sz w:val="18"/>
            <w:szCs w:val="18"/>
          </w:rPr>
          <w:t>cj@tdl.dk</w:t>
        </w:r>
      </w:hyperlink>
      <w:r>
        <w:rPr>
          <w:rFonts w:ascii="Verdana" w:hAnsi="Verdana"/>
          <w:i/>
          <w:sz w:val="18"/>
          <w:szCs w:val="18"/>
        </w:rPr>
        <w:t xml:space="preserve"> eller kommunikationsmedarbejder Charlotte Holst på tlf. 70 25 77 11 eller mail </w:t>
      </w:r>
      <w:hyperlink r:id="rId9" w:history="1">
        <w:r w:rsidRPr="00886E98">
          <w:rPr>
            <w:rStyle w:val="Llink"/>
            <w:rFonts w:ascii="Verdana" w:hAnsi="Verdana"/>
            <w:i/>
            <w:sz w:val="18"/>
            <w:szCs w:val="18"/>
          </w:rPr>
          <w:t>chh@tdl.dk</w:t>
        </w:r>
      </w:hyperlink>
      <w:r>
        <w:rPr>
          <w:rFonts w:ascii="Verdana" w:hAnsi="Verdana"/>
          <w:i/>
          <w:sz w:val="18"/>
          <w:szCs w:val="18"/>
        </w:rPr>
        <w:t>.</w:t>
      </w:r>
    </w:p>
    <w:p w:rsidR="00F52D5F" w:rsidRPr="00F52D5F" w:rsidRDefault="00F52D5F" w:rsidP="00F52D5F">
      <w:pPr>
        <w:spacing w:line="288" w:lineRule="auto"/>
        <w:rPr>
          <w:rFonts w:ascii="Verdana" w:hAnsi="Verdana"/>
          <w:sz w:val="18"/>
          <w:szCs w:val="18"/>
        </w:rPr>
      </w:pPr>
    </w:p>
    <w:sectPr w:rsidR="00F52D5F" w:rsidRPr="00F52D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2B" w:rsidRDefault="001B0D2B" w:rsidP="00C75B2B">
      <w:r>
        <w:separator/>
      </w:r>
    </w:p>
  </w:endnote>
  <w:endnote w:type="continuationSeparator" w:id="0">
    <w:p w:rsidR="001B0D2B" w:rsidRDefault="001B0D2B" w:rsidP="00C7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2B" w:rsidRDefault="00C75B2B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2B" w:rsidRDefault="00C75B2B">
    <w:pPr>
      <w:pStyle w:val="Sidefod"/>
    </w:pPr>
    <w:r w:rsidRPr="00972E1D">
      <w:rPr>
        <w:b/>
        <w:i/>
        <w:sz w:val="16"/>
        <w:szCs w:val="16"/>
      </w:rPr>
      <w:t>Tandlægeforeningen åbner munden for et sundere Danmark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2B" w:rsidRDefault="00C75B2B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2B" w:rsidRDefault="001B0D2B" w:rsidP="00C75B2B">
      <w:r>
        <w:separator/>
      </w:r>
    </w:p>
  </w:footnote>
  <w:footnote w:type="continuationSeparator" w:id="0">
    <w:p w:rsidR="001B0D2B" w:rsidRDefault="001B0D2B" w:rsidP="00C75B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2B" w:rsidRDefault="00C75B2B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2B" w:rsidRDefault="00C75B2B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2B" w:rsidRDefault="00C75B2B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2BEF"/>
    <w:multiLevelType w:val="hybridMultilevel"/>
    <w:tmpl w:val="F8880976"/>
    <w:lvl w:ilvl="0" w:tplc="73761166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92B8C"/>
    <w:multiLevelType w:val="hybridMultilevel"/>
    <w:tmpl w:val="B6709884"/>
    <w:lvl w:ilvl="0" w:tplc="03DE96C0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A9"/>
    <w:rsid w:val="000C0F65"/>
    <w:rsid w:val="00174BD4"/>
    <w:rsid w:val="001B0D2B"/>
    <w:rsid w:val="001C3FB7"/>
    <w:rsid w:val="001E611F"/>
    <w:rsid w:val="00310CFA"/>
    <w:rsid w:val="0041540E"/>
    <w:rsid w:val="00611FF3"/>
    <w:rsid w:val="00702F93"/>
    <w:rsid w:val="00705DDF"/>
    <w:rsid w:val="00714B09"/>
    <w:rsid w:val="00AE4D49"/>
    <w:rsid w:val="00B96453"/>
    <w:rsid w:val="00BA358D"/>
    <w:rsid w:val="00BC26BF"/>
    <w:rsid w:val="00C75B2B"/>
    <w:rsid w:val="00D847FA"/>
    <w:rsid w:val="00E250ED"/>
    <w:rsid w:val="00E71FA9"/>
    <w:rsid w:val="00E92FD1"/>
    <w:rsid w:val="00F52D5F"/>
    <w:rsid w:val="00F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75B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C75B2B"/>
    <w:rPr>
      <w:sz w:val="24"/>
      <w:szCs w:val="24"/>
    </w:rPr>
  </w:style>
  <w:style w:type="paragraph" w:styleId="Sidefod">
    <w:name w:val="footer"/>
    <w:basedOn w:val="Normal"/>
    <w:link w:val="SidefodTegn"/>
    <w:rsid w:val="00C75B2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C75B2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E71FA9"/>
    <w:pPr>
      <w:ind w:left="720"/>
      <w:contextualSpacing/>
    </w:pPr>
  </w:style>
  <w:style w:type="character" w:styleId="Llink">
    <w:name w:val="Hyperlink"/>
    <w:basedOn w:val="Standardskrifttypeiafsnit"/>
    <w:rsid w:val="00702F93"/>
    <w:rPr>
      <w:color w:val="0000FF" w:themeColor="hyperlink"/>
      <w:u w:val="single"/>
    </w:rPr>
  </w:style>
  <w:style w:type="paragraph" w:customStyle="1" w:styleId="Default">
    <w:name w:val="Default"/>
    <w:rsid w:val="00705D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75B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C75B2B"/>
    <w:rPr>
      <w:sz w:val="24"/>
      <w:szCs w:val="24"/>
    </w:rPr>
  </w:style>
  <w:style w:type="paragraph" w:styleId="Sidefod">
    <w:name w:val="footer"/>
    <w:basedOn w:val="Normal"/>
    <w:link w:val="SidefodTegn"/>
    <w:rsid w:val="00C75B2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C75B2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E71FA9"/>
    <w:pPr>
      <w:ind w:left="720"/>
      <w:contextualSpacing/>
    </w:pPr>
  </w:style>
  <w:style w:type="character" w:styleId="Llink">
    <w:name w:val="Hyperlink"/>
    <w:basedOn w:val="Standardskrifttypeiafsnit"/>
    <w:rsid w:val="00702F93"/>
    <w:rPr>
      <w:color w:val="0000FF" w:themeColor="hyperlink"/>
      <w:u w:val="single"/>
    </w:rPr>
  </w:style>
  <w:style w:type="paragraph" w:customStyle="1" w:styleId="Default">
    <w:name w:val="Default"/>
    <w:rsid w:val="00705D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j@tdl.dk" TargetMode="External"/><Relationship Id="rId9" Type="http://schemas.openxmlformats.org/officeDocument/2006/relationships/hyperlink" Target="mailto:chh@tdl.d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3752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TandlægeForeningen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Claus Jørgensen</dc:creator>
  <cp:lastModifiedBy>Claus Jørgensen</cp:lastModifiedBy>
  <cp:revision>2</cp:revision>
  <dcterms:created xsi:type="dcterms:W3CDTF">2015-05-21T06:27:00Z</dcterms:created>
  <dcterms:modified xsi:type="dcterms:W3CDTF">2015-05-21T06:27:00Z</dcterms:modified>
</cp:coreProperties>
</file>