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94A12" w14:textId="77777777" w:rsidR="004530E1" w:rsidRDefault="004530E1" w:rsidP="00676F9A">
      <w:pPr>
        <w:rPr>
          <w:rFonts w:ascii="Arial" w:hAnsi="Arial" w:cs="Arial"/>
          <w:b/>
        </w:rPr>
      </w:pPr>
    </w:p>
    <w:p w14:paraId="559B8814" w14:textId="77777777" w:rsidR="004530E1" w:rsidRDefault="004530E1" w:rsidP="00676F9A">
      <w:pPr>
        <w:rPr>
          <w:rFonts w:ascii="Arial" w:hAnsi="Arial" w:cs="Arial"/>
          <w:b/>
        </w:rPr>
      </w:pPr>
    </w:p>
    <w:p w14:paraId="3A02D504" w14:textId="1D394F57" w:rsidR="00937BC4" w:rsidRPr="005107A8" w:rsidRDefault="008507C9" w:rsidP="00676F9A">
      <w:pPr>
        <w:rPr>
          <w:rFonts w:ascii="Arial" w:hAnsi="Arial" w:cs="Arial"/>
          <w:b/>
        </w:rPr>
      </w:pPr>
      <w:r>
        <w:rPr>
          <w:rFonts w:ascii="Arial" w:hAnsi="Arial"/>
          <w:b/>
        </w:rPr>
        <w:t>Blogg om tankelederskap</w:t>
      </w:r>
    </w:p>
    <w:p w14:paraId="19B2D8DE" w14:textId="1CF320BF" w:rsidR="002B551E" w:rsidRPr="00183ABC" w:rsidRDefault="00183ABC" w:rsidP="00676F9A">
      <w:pPr>
        <w:rPr>
          <w:rFonts w:ascii="Arial" w:hAnsi="Arial" w:cs="Arial"/>
        </w:rPr>
      </w:pPr>
      <w:r>
        <w:rPr>
          <w:rFonts w:ascii="Arial" w:hAnsi="Arial"/>
        </w:rPr>
        <w:t xml:space="preserve">19. </w:t>
      </w:r>
      <w:r w:rsidRPr="00183ABC">
        <w:rPr>
          <w:rFonts w:ascii="Arial" w:hAnsi="Arial"/>
        </w:rPr>
        <w:t>Juni</w:t>
      </w:r>
      <w:r w:rsidR="002B551E" w:rsidRPr="00183ABC">
        <w:rPr>
          <w:rFonts w:ascii="Arial" w:hAnsi="Arial"/>
        </w:rPr>
        <w:t xml:space="preserve"> 2018</w:t>
      </w:r>
    </w:p>
    <w:p w14:paraId="7C3F52D3" w14:textId="4F01E394" w:rsidR="008507C9" w:rsidRDefault="00AC6C7F" w:rsidP="00676F9A">
      <w:pPr>
        <w:pStyle w:val="Merknadstekst"/>
        <w:jc w:val="left"/>
        <w:rPr>
          <w:rFonts w:eastAsiaTheme="minorHAnsi" w:cs="Arial"/>
          <w:b/>
          <w:kern w:val="0"/>
          <w:sz w:val="22"/>
          <w:szCs w:val="22"/>
        </w:rPr>
      </w:pPr>
      <w:bookmarkStart w:id="0" w:name="_Hlk500940796"/>
      <w:r>
        <w:rPr>
          <w:b/>
          <w:sz w:val="22"/>
          <w:szCs w:val="22"/>
        </w:rPr>
        <w:t xml:space="preserve">Fra blindsone til samsvar: </w:t>
      </w:r>
      <w:r w:rsidR="00DF45B6" w:rsidRPr="00DF45B6">
        <w:rPr>
          <w:b/>
          <w:sz w:val="22"/>
          <w:szCs w:val="22"/>
        </w:rPr>
        <w:t>grunner til at organisasjoner bør revidere utskriftsprosessene sine med tanke på GDPR</w:t>
      </w:r>
    </w:p>
    <w:p w14:paraId="121EADA8" w14:textId="77777777" w:rsidR="008507C9" w:rsidRPr="00DF2E35" w:rsidRDefault="008507C9" w:rsidP="00676F9A">
      <w:pPr>
        <w:pStyle w:val="Merknadstekst"/>
        <w:jc w:val="left"/>
        <w:rPr>
          <w:rFonts w:eastAsiaTheme="minorHAnsi" w:cs="Arial"/>
          <w:b/>
          <w:kern w:val="0"/>
          <w:sz w:val="22"/>
          <w:szCs w:val="22"/>
          <w:lang w:eastAsia="en-US"/>
        </w:rPr>
      </w:pPr>
    </w:p>
    <w:p w14:paraId="2A7E8F18" w14:textId="4273A1CE" w:rsidR="00CA5EC2" w:rsidRDefault="003D21B5" w:rsidP="00676F9A">
      <w:pPr>
        <w:rPr>
          <w:rFonts w:ascii="Arial" w:eastAsia="MS Gothic" w:hAnsi="Arial" w:cs="Arial"/>
          <w:kern w:val="2"/>
        </w:rPr>
      </w:pPr>
      <w:r>
        <w:rPr>
          <w:rFonts w:ascii="Arial" w:hAnsi="Arial"/>
        </w:rPr>
        <w:t>Mengden data som genereres verden over, vil øke eksponentielt, fra 16 zettabyte (ZB) i 2016 til anslagsvis 163 ZB – eller 163 billioner gigabyte – innen 2025.</w:t>
      </w:r>
      <w:r>
        <w:rPr>
          <w:rFonts w:ascii="Arial" w:hAnsi="Arial"/>
          <w:vertAlign w:val="superscript"/>
        </w:rPr>
        <w:t>1</w:t>
      </w:r>
    </w:p>
    <w:p w14:paraId="19855EEF" w14:textId="24E380EB" w:rsidR="001C47C0" w:rsidRDefault="00D71FD4" w:rsidP="00676F9A">
      <w:pPr>
        <w:rPr>
          <w:rFonts w:ascii="Arial" w:eastAsia="MS Gothic" w:hAnsi="Arial" w:cs="Arial"/>
          <w:kern w:val="2"/>
        </w:rPr>
      </w:pPr>
      <w:r>
        <w:rPr>
          <w:rFonts w:ascii="Arial" w:hAnsi="Arial"/>
        </w:rPr>
        <w:t>Denne "dataeksplosjonen", kombinert med nye måter å jobbe på, understreker behovet for ny lovgivning</w:t>
      </w:r>
      <w:r w:rsidR="002A64D7">
        <w:rPr>
          <w:rFonts w:ascii="Arial" w:hAnsi="Arial"/>
        </w:rPr>
        <w:t>.</w:t>
      </w:r>
      <w:r>
        <w:rPr>
          <w:rFonts w:ascii="Arial" w:hAnsi="Arial"/>
        </w:rPr>
        <w:t xml:space="preserve"> Derfor forbereder selskaper over hele Europa nå sine IT- og datarevisjonsprosesser på den nye personvernforordningen (GDPR). </w:t>
      </w:r>
    </w:p>
    <w:p w14:paraId="4DA4B8F7" w14:textId="5C0BC840" w:rsidR="00911D16" w:rsidRDefault="00972C51" w:rsidP="00676F9A">
      <w:pPr>
        <w:rPr>
          <w:rFonts w:ascii="Arial" w:eastAsia="MS Gothic" w:hAnsi="Arial" w:cs="Arial"/>
          <w:kern w:val="2"/>
        </w:rPr>
      </w:pPr>
      <w:r>
        <w:rPr>
          <w:rFonts w:ascii="Arial" w:hAnsi="Arial"/>
        </w:rPr>
        <w:t xml:space="preserve">Dette er ingen liten oppgave, og det finnes en enorm blindsone som mange organisasjoner glemmer å ta med i planene sine: utskrift. </w:t>
      </w:r>
    </w:p>
    <w:p w14:paraId="1EC43351" w14:textId="7AB3CD2F" w:rsidR="005E586B" w:rsidRDefault="002D22B5" w:rsidP="00676F9A">
      <w:pPr>
        <w:rPr>
          <w:rFonts w:ascii="Arial" w:eastAsia="MS Gothic" w:hAnsi="Arial" w:cs="Arial"/>
          <w:kern w:val="2"/>
        </w:rPr>
      </w:pPr>
      <w:r>
        <w:rPr>
          <w:rFonts w:ascii="Arial" w:hAnsi="Arial"/>
        </w:rPr>
        <w:t>Til tross for at saken har vært mye omtalt, var situasjonen tidlig i 2017 som følger: 40 % av kjøperne av trykksaker visste ikke hva GDPR var. Ytterligere 19 % visste hva det var, men ikke at 25. mai 2018 var en viktig frist.</w:t>
      </w:r>
      <w:r>
        <w:rPr>
          <w:rFonts w:ascii="Arial" w:hAnsi="Arial"/>
          <w:vertAlign w:val="superscript"/>
        </w:rPr>
        <w:t>2</w:t>
      </w:r>
      <w:r>
        <w:rPr>
          <w:rFonts w:ascii="Arial" w:hAnsi="Arial"/>
        </w:rPr>
        <w:t xml:space="preserve"> </w:t>
      </w:r>
    </w:p>
    <w:p w14:paraId="75B79680" w14:textId="5D17E209" w:rsidR="001C47C0" w:rsidRDefault="005E586B" w:rsidP="00676F9A">
      <w:pPr>
        <w:rPr>
          <w:rFonts w:ascii="Arial" w:eastAsia="MS Gothic" w:hAnsi="Arial" w:cs="Arial"/>
          <w:kern w:val="2"/>
        </w:rPr>
      </w:pPr>
      <w:r>
        <w:rPr>
          <w:rFonts w:ascii="Arial" w:hAnsi="Arial"/>
        </w:rPr>
        <w:t>Kanskje enda mer overraskende: 51 % av kjøperne av trykksaker som hadde kunnskap om GDPR, visste ikke at det hadde betydelige konsekvenser for utskrifter.</w:t>
      </w:r>
      <w:r>
        <w:rPr>
          <w:rFonts w:ascii="Arial" w:hAnsi="Arial"/>
          <w:vertAlign w:val="superscript"/>
        </w:rPr>
        <w:t>2</w:t>
      </w:r>
      <w:r>
        <w:rPr>
          <w:rFonts w:ascii="Arial" w:hAnsi="Arial"/>
        </w:rPr>
        <w:t xml:space="preserve"> </w:t>
      </w:r>
    </w:p>
    <w:p w14:paraId="49715EF3" w14:textId="73827863" w:rsidR="008507C9" w:rsidRDefault="005E586B" w:rsidP="00676F9A">
      <w:pPr>
        <w:rPr>
          <w:rFonts w:ascii="Arial" w:eastAsia="MS Gothic" w:hAnsi="Arial" w:cs="Arial"/>
          <w:kern w:val="2"/>
        </w:rPr>
      </w:pPr>
      <w:r>
        <w:rPr>
          <w:rFonts w:ascii="Arial" w:hAnsi="Arial"/>
        </w:rPr>
        <w:t xml:space="preserve">Nå som fristen for gjennomføring </w:t>
      </w:r>
      <w:r w:rsidR="00183ABC">
        <w:rPr>
          <w:rFonts w:ascii="Arial" w:hAnsi="Arial"/>
        </w:rPr>
        <w:t>er passer</w:t>
      </w:r>
      <w:r>
        <w:rPr>
          <w:rFonts w:ascii="Arial" w:hAnsi="Arial"/>
        </w:rPr>
        <w:t xml:space="preserve">, er enkelte selskaper fortsatt lykkelig uvitende om sårbarhetene som er knyttet til utskrift, og som omtales i rapporten </w:t>
      </w:r>
      <w:r>
        <w:rPr>
          <w:rFonts w:ascii="Arial" w:hAnsi="Arial"/>
          <w:i/>
        </w:rPr>
        <w:t>"</w:t>
      </w:r>
      <w:proofErr w:type="spellStart"/>
      <w:r>
        <w:rPr>
          <w:rFonts w:ascii="Arial" w:hAnsi="Arial"/>
          <w:i/>
        </w:rPr>
        <w:t>Ensuring</w:t>
      </w:r>
      <w:proofErr w:type="spellEnd"/>
      <w:r>
        <w:rPr>
          <w:rFonts w:ascii="Arial" w:hAnsi="Arial"/>
          <w:i/>
        </w:rPr>
        <w:t xml:space="preserve"> Data </w:t>
      </w:r>
      <w:proofErr w:type="spellStart"/>
      <w:r>
        <w:rPr>
          <w:rFonts w:ascii="Arial" w:hAnsi="Arial"/>
          <w:i/>
        </w:rPr>
        <w:t>Privacy</w:t>
      </w:r>
      <w:proofErr w:type="spellEnd"/>
      <w:r>
        <w:rPr>
          <w:rFonts w:ascii="Arial" w:hAnsi="Arial"/>
          <w:i/>
        </w:rPr>
        <w:t xml:space="preserve">: The Print and </w:t>
      </w:r>
      <w:proofErr w:type="spellStart"/>
      <w:r>
        <w:rPr>
          <w:rFonts w:ascii="Arial" w:hAnsi="Arial"/>
          <w:i/>
        </w:rPr>
        <w:t>Document</w:t>
      </w:r>
      <w:proofErr w:type="spellEnd"/>
      <w:r>
        <w:rPr>
          <w:rFonts w:ascii="Arial" w:hAnsi="Arial"/>
          <w:i/>
        </w:rPr>
        <w:t xml:space="preserve"> Management Challenge</w:t>
      </w:r>
      <w:r w:rsidR="00183ABC">
        <w:rPr>
          <w:rFonts w:ascii="Arial" w:hAnsi="Arial"/>
          <w:i/>
        </w:rPr>
        <w:t xml:space="preserve">" </w:t>
      </w:r>
      <w:hyperlink r:id="rId8" w:anchor="security" w:history="1">
        <w:r w:rsidR="00183ABC" w:rsidRPr="00183ABC">
          <w:rPr>
            <w:rStyle w:val="Hyperkobling"/>
            <w:rFonts w:ascii="Arial" w:hAnsi="Arial"/>
          </w:rPr>
          <w:t>Les her</w:t>
        </w:r>
      </w:hyperlink>
    </w:p>
    <w:p w14:paraId="1F46CBFF" w14:textId="202944E3" w:rsidR="008507C9" w:rsidRPr="00183ABC" w:rsidRDefault="00B1789D" w:rsidP="00676F9A">
      <w:pPr>
        <w:rPr>
          <w:rFonts w:ascii="Arial" w:eastAsia="MS Gothic" w:hAnsi="Arial" w:cs="Arial"/>
          <w:b/>
          <w:kern w:val="2"/>
        </w:rPr>
      </w:pPr>
      <w:r w:rsidRPr="00183ABC">
        <w:rPr>
          <w:rFonts w:ascii="Arial" w:hAnsi="Arial"/>
          <w:b/>
        </w:rPr>
        <w:t>GDPR – de nye reglene kort forklart</w:t>
      </w:r>
    </w:p>
    <w:p w14:paraId="358782A3" w14:textId="1D018498" w:rsidR="00972C51" w:rsidRDefault="0075666F" w:rsidP="00676F9A">
      <w:pPr>
        <w:rPr>
          <w:rFonts w:ascii="Arial" w:eastAsia="MS Gothic" w:hAnsi="Arial" w:cs="Arial"/>
          <w:kern w:val="2"/>
        </w:rPr>
      </w:pPr>
      <w:r>
        <w:rPr>
          <w:rFonts w:ascii="Arial" w:hAnsi="Arial"/>
        </w:rPr>
        <w:t xml:space="preserve">Å forstå GDPR er første steg på veien mot å følge reglene. Og det er spesielt to ting selskaper må forstå. </w:t>
      </w:r>
    </w:p>
    <w:p w14:paraId="2F157B15" w14:textId="0F56DA50" w:rsidR="00947F6C" w:rsidRPr="00947F6C" w:rsidRDefault="00972C51" w:rsidP="00676F9A">
      <w:pPr>
        <w:rPr>
          <w:rFonts w:ascii="Arial" w:eastAsia="MS Gothic" w:hAnsi="Arial" w:cs="Arial"/>
          <w:kern w:val="2"/>
        </w:rPr>
      </w:pPr>
      <w:r>
        <w:rPr>
          <w:rFonts w:ascii="Arial" w:hAnsi="Arial"/>
        </w:rPr>
        <w:t>For det første: Selskaper eier ikke folks opplysninger. I GDPR står det tydelig at selskaper må behandle personopplysninger korrekt og informere folk hvis opplysningene blir stjålet eller behandlet feil eller ved brudd på personvernet.</w:t>
      </w:r>
    </w:p>
    <w:p w14:paraId="51DB28B0" w14:textId="44ABAA1D" w:rsidR="009D0B6A" w:rsidRDefault="002208C8" w:rsidP="00676F9A">
      <w:pPr>
        <w:rPr>
          <w:rFonts w:ascii="Arial" w:eastAsia="MS Gothic" w:hAnsi="Arial" w:cs="Arial"/>
          <w:kern w:val="2"/>
        </w:rPr>
      </w:pPr>
      <w:r>
        <w:rPr>
          <w:rFonts w:ascii="Arial" w:hAnsi="Arial"/>
        </w:rPr>
        <w:t>For det andre: Selskaper må svare på henvendelser fra enkeltpersoner som utøver sine lovfestede rettigheter ifølge GDPR, blant annet retten til å få vite hvordan personopplysningene behandles, til å be om sletting av personopplysninger og til å be om begrensning av behandlingen.</w:t>
      </w:r>
    </w:p>
    <w:p w14:paraId="2FF2DAE5" w14:textId="0B23A5F9" w:rsidR="00AA1D62" w:rsidRPr="00183ABC" w:rsidRDefault="008507C9" w:rsidP="00676F9A">
      <w:pPr>
        <w:rPr>
          <w:rFonts w:ascii="Arial" w:eastAsia="MS Gothic" w:hAnsi="Arial" w:cs="Arial"/>
          <w:b/>
          <w:kern w:val="2"/>
        </w:rPr>
      </w:pPr>
      <w:r w:rsidRPr="00183ABC">
        <w:rPr>
          <w:rFonts w:ascii="Arial" w:hAnsi="Arial"/>
          <w:b/>
        </w:rPr>
        <w:t>Sårbarhet knyttet til utskrift</w:t>
      </w:r>
    </w:p>
    <w:p w14:paraId="423A5B43" w14:textId="39772986" w:rsidR="00567612" w:rsidRDefault="00086B33" w:rsidP="00676F9A">
      <w:pPr>
        <w:rPr>
          <w:rFonts w:ascii="Arial" w:eastAsia="MS Gothic" w:hAnsi="Arial" w:cs="Arial"/>
          <w:kern w:val="2"/>
        </w:rPr>
      </w:pPr>
      <w:r>
        <w:rPr>
          <w:rFonts w:ascii="Arial" w:hAnsi="Arial"/>
        </w:rPr>
        <w:t xml:space="preserve">Når GDPR trer i kraft, kan alle utskriftsenheter som ikke inngår i samsvarsplanene, medføre sårbarhet i systemet. </w:t>
      </w:r>
    </w:p>
    <w:p w14:paraId="22A55DE9" w14:textId="54CD9A71" w:rsidR="006C7E00" w:rsidRDefault="006C7E00" w:rsidP="00676F9A">
      <w:pPr>
        <w:rPr>
          <w:rFonts w:ascii="Arial" w:eastAsia="MS Gothic" w:hAnsi="Arial" w:cs="Arial"/>
          <w:kern w:val="2"/>
        </w:rPr>
      </w:pPr>
      <w:r>
        <w:rPr>
          <w:rFonts w:ascii="Arial" w:hAnsi="Arial"/>
        </w:rPr>
        <w:t xml:space="preserve">En usikret skriver kan brukes for å få tilgang til et nettverk, dvs. at den kan være en bakdør til systemdata. Denne risikoen kan bare reduseres ved at man finner ut om data lagres på den og hvor ofte minnet tømmes, og deretter sikrer enheten. </w:t>
      </w:r>
    </w:p>
    <w:p w14:paraId="5CCC5FB8" w14:textId="0F5C34C9" w:rsidR="00BD0D93" w:rsidRDefault="00D71A8F" w:rsidP="00676F9A">
      <w:pPr>
        <w:rPr>
          <w:rFonts w:ascii="Arial" w:eastAsia="MS Gothic" w:hAnsi="Arial" w:cs="Arial"/>
          <w:kern w:val="2"/>
        </w:rPr>
      </w:pPr>
      <w:r>
        <w:rPr>
          <w:rFonts w:ascii="Arial" w:hAnsi="Arial"/>
        </w:rPr>
        <w:t>I tillegg må utskrift og skanning av sensitive opplysninger kunne spores. Selskaper må ha fullt innsyn i revisjonssporet for raskt å kunne identifisere hvilke opplysninger som behandles, hvor det skjer, hvem som gjør det, og om formålet er legitimt.</w:t>
      </w:r>
    </w:p>
    <w:p w14:paraId="0DA4AF6A" w14:textId="2780EFD6" w:rsidR="008507C9" w:rsidRPr="00676F9A" w:rsidRDefault="008507C9" w:rsidP="00676F9A">
      <w:pPr>
        <w:rPr>
          <w:rFonts w:ascii="Arial" w:eastAsia="MS Gothic" w:hAnsi="Arial" w:cs="Arial"/>
          <w:b/>
          <w:kern w:val="2"/>
        </w:rPr>
      </w:pPr>
      <w:r w:rsidRPr="00676F9A">
        <w:rPr>
          <w:rFonts w:ascii="Arial" w:hAnsi="Arial"/>
          <w:b/>
        </w:rPr>
        <w:lastRenderedPageBreak/>
        <w:t xml:space="preserve">Lykkelig uvitenhet ingen unnskyldning </w:t>
      </w:r>
    </w:p>
    <w:p w14:paraId="23DBD5BB" w14:textId="75F8291E" w:rsidR="00B36158" w:rsidRDefault="00E2413A" w:rsidP="00676F9A">
      <w:pPr>
        <w:rPr>
          <w:rFonts w:ascii="Arial" w:eastAsia="MS Gothic" w:hAnsi="Arial" w:cs="Arial"/>
          <w:kern w:val="2"/>
        </w:rPr>
      </w:pPr>
      <w:r>
        <w:rPr>
          <w:rFonts w:ascii="Arial" w:hAnsi="Arial"/>
        </w:rPr>
        <w:t xml:space="preserve">Bøter for manglende samsvar er med overlegg høye og kan utgjøre 20 millioner euro eller 4 % av årsomsetningen på verdensbasis, avhengig av hvilket beløp som er høyest. Faktisk bruker GDPR-loven selv – </w:t>
      </w:r>
      <w:hyperlink r:id="rId9" w:history="1">
        <w:r>
          <w:rPr>
            <w:rStyle w:val="Hyperkobling"/>
            <w:rFonts w:ascii="Arial" w:hAnsi="Arial"/>
          </w:rPr>
          <w:t>www.eugdpr.org</w:t>
        </w:r>
      </w:hyperlink>
      <w:r>
        <w:rPr>
          <w:rFonts w:ascii="Arial" w:hAnsi="Arial"/>
        </w:rPr>
        <w:t xml:space="preserve"> – følgende ord: "effektive, forholdsmessige og avskrekkende sanksjoner".</w:t>
      </w:r>
    </w:p>
    <w:p w14:paraId="2D3318E0" w14:textId="4039FAD8" w:rsidR="002315C6" w:rsidRDefault="00C850DA" w:rsidP="00676F9A">
      <w:pPr>
        <w:rPr>
          <w:rFonts w:ascii="Arial" w:eastAsia="MS Gothic" w:hAnsi="Arial" w:cs="Arial"/>
          <w:kern w:val="2"/>
        </w:rPr>
      </w:pPr>
      <w:r>
        <w:rPr>
          <w:rFonts w:ascii="Arial" w:hAnsi="Arial"/>
        </w:rPr>
        <w:t xml:space="preserve">Å unngå saftige bøter er selvsagt en god grunn, men manglende samsvar kan også skade selskapets omdømme. </w:t>
      </w:r>
    </w:p>
    <w:p w14:paraId="422E0FDB" w14:textId="5DCD6985" w:rsidR="007709FF" w:rsidRDefault="002D219E" w:rsidP="00676F9A">
      <w:pPr>
        <w:pStyle w:val="Merknadstekst"/>
        <w:jc w:val="left"/>
        <w:rPr>
          <w:rFonts w:cs="Arial"/>
          <w:sz w:val="22"/>
          <w:szCs w:val="22"/>
        </w:rPr>
      </w:pPr>
      <w:r>
        <w:rPr>
          <w:sz w:val="22"/>
          <w:szCs w:val="22"/>
        </w:rPr>
        <w:t xml:space="preserve">Godt dokumenterte prosesser vil bidra til å redusere sikkerhetsbrudd, forebygge bøter og verne om organisasjonens omdømme. Hvis det oppstår et brudd på personvernet, fungerer </w:t>
      </w:r>
      <w:r w:rsidR="00CF7589">
        <w:rPr>
          <w:sz w:val="22"/>
          <w:szCs w:val="22"/>
        </w:rPr>
        <w:t>d</w:t>
      </w:r>
      <w:r>
        <w:rPr>
          <w:sz w:val="22"/>
          <w:szCs w:val="22"/>
        </w:rPr>
        <w:t>e også som bevis på at tilstrekkelige personvernprosedyrer var på plass.</w:t>
      </w:r>
    </w:p>
    <w:p w14:paraId="28021FE4" w14:textId="77777777" w:rsidR="00463ED5" w:rsidRPr="00463ED5" w:rsidRDefault="00463ED5" w:rsidP="00676F9A">
      <w:pPr>
        <w:pStyle w:val="Merknadstekst"/>
        <w:jc w:val="left"/>
        <w:rPr>
          <w:rFonts w:cs="Arial"/>
          <w:sz w:val="22"/>
          <w:szCs w:val="22"/>
        </w:rPr>
      </w:pPr>
    </w:p>
    <w:p w14:paraId="01EA3E6B" w14:textId="7398D237" w:rsidR="008507C9" w:rsidRPr="00676F9A" w:rsidRDefault="00611842" w:rsidP="00676F9A">
      <w:pPr>
        <w:rPr>
          <w:rFonts w:ascii="Arial" w:eastAsia="MS Gothic" w:hAnsi="Arial" w:cs="Arial"/>
          <w:b/>
          <w:kern w:val="2"/>
        </w:rPr>
      </w:pPr>
      <w:r w:rsidRPr="00676F9A">
        <w:rPr>
          <w:rFonts w:ascii="Arial" w:hAnsi="Arial"/>
          <w:b/>
        </w:rPr>
        <w:t>Tre trinn fra blindsone til samsvar</w:t>
      </w:r>
    </w:p>
    <w:p w14:paraId="6AA75C68" w14:textId="7004B24F" w:rsidR="00463ED5" w:rsidRDefault="002D219E" w:rsidP="00676F9A">
      <w:pPr>
        <w:pStyle w:val="Merknadstekst"/>
        <w:jc w:val="left"/>
        <w:rPr>
          <w:rFonts w:cs="Arial"/>
          <w:sz w:val="22"/>
          <w:szCs w:val="22"/>
        </w:rPr>
      </w:pPr>
      <w:r>
        <w:rPr>
          <w:sz w:val="22"/>
          <w:szCs w:val="22"/>
        </w:rPr>
        <w:t>Å ta utskrifter med i planene er en god start, men GDPR-samsvar kan bare sikres gjennom aktiv ledelse med fokus på følgende områder:</w:t>
      </w:r>
    </w:p>
    <w:p w14:paraId="0C135CC1" w14:textId="77777777" w:rsidR="002D219E" w:rsidRDefault="002D219E" w:rsidP="00676F9A">
      <w:pPr>
        <w:pStyle w:val="Merknadstekst"/>
        <w:jc w:val="left"/>
        <w:rPr>
          <w:rFonts w:cs="Arial"/>
          <w:sz w:val="22"/>
          <w:szCs w:val="22"/>
        </w:rPr>
      </w:pPr>
    </w:p>
    <w:p w14:paraId="63049D83" w14:textId="35C0D175" w:rsidR="00B36158" w:rsidRDefault="00D71A8F" w:rsidP="00676F9A">
      <w:pPr>
        <w:pStyle w:val="Merknadstekst"/>
        <w:jc w:val="left"/>
        <w:rPr>
          <w:rFonts w:cs="Arial"/>
          <w:sz w:val="22"/>
          <w:szCs w:val="22"/>
        </w:rPr>
      </w:pPr>
      <w:r w:rsidRPr="004C1F4E">
        <w:rPr>
          <w:sz w:val="22"/>
          <w:szCs w:val="22"/>
        </w:rPr>
        <w:t>Prosessrevisjon</w:t>
      </w:r>
      <w:r>
        <w:rPr>
          <w:sz w:val="22"/>
          <w:szCs w:val="22"/>
        </w:rPr>
        <w:t>: Organisasjoner bør finne dyktige ansatte til å revidere retningslinjene for sikkerhet og personvern samt oppdatere dem i henhold til de nye kravene. Deretter bør man utarbeide en plan for kontinuerlig overvåking, opptrapping, oppdatering og håndheving av retningslinjene.</w:t>
      </w:r>
    </w:p>
    <w:p w14:paraId="6487C202" w14:textId="1C9C6095" w:rsidR="00B36158" w:rsidRPr="00DF2E35" w:rsidRDefault="00B36158" w:rsidP="00676F9A">
      <w:pPr>
        <w:pStyle w:val="Merknadstekst"/>
        <w:jc w:val="left"/>
        <w:rPr>
          <w:rFonts w:cs="Arial"/>
          <w:sz w:val="22"/>
          <w:szCs w:val="22"/>
        </w:rPr>
      </w:pPr>
    </w:p>
    <w:p w14:paraId="48B5E7AE" w14:textId="14763E39" w:rsidR="00D62CDE" w:rsidRDefault="00D71A8F" w:rsidP="00676F9A">
      <w:pPr>
        <w:pStyle w:val="Merknadstekst"/>
        <w:jc w:val="left"/>
        <w:rPr>
          <w:rFonts w:cs="Arial"/>
          <w:sz w:val="22"/>
          <w:szCs w:val="22"/>
        </w:rPr>
      </w:pPr>
      <w:r w:rsidRPr="004C1F4E">
        <w:rPr>
          <w:sz w:val="22"/>
          <w:szCs w:val="22"/>
        </w:rPr>
        <w:t>Sikre utskriftsenheter</w:t>
      </w:r>
      <w:r>
        <w:rPr>
          <w:sz w:val="22"/>
          <w:szCs w:val="22"/>
        </w:rPr>
        <w:t xml:space="preserve">: Intern lagring bør sikres, og det bør foretas kontroller for å identifisere og rette opp sårbarheter for skadelig programvare og andre nettangrep. </w:t>
      </w:r>
    </w:p>
    <w:p w14:paraId="2AF01951" w14:textId="77777777" w:rsidR="002D219E" w:rsidRDefault="002D219E" w:rsidP="00676F9A">
      <w:pPr>
        <w:pStyle w:val="Merknadstekst"/>
        <w:jc w:val="left"/>
        <w:rPr>
          <w:rFonts w:cs="Arial"/>
          <w:sz w:val="22"/>
          <w:szCs w:val="22"/>
        </w:rPr>
      </w:pPr>
    </w:p>
    <w:p w14:paraId="0177C43A" w14:textId="7A9463EA" w:rsidR="00947F6C" w:rsidRPr="00947F6C" w:rsidRDefault="00D71A8F" w:rsidP="00676F9A">
      <w:pPr>
        <w:pStyle w:val="Merknadstekst"/>
        <w:jc w:val="left"/>
        <w:rPr>
          <w:rFonts w:cs="Arial"/>
          <w:sz w:val="22"/>
          <w:szCs w:val="22"/>
        </w:rPr>
      </w:pPr>
      <w:bookmarkStart w:id="1" w:name="_GoBack"/>
      <w:r w:rsidRPr="004C1F4E">
        <w:rPr>
          <w:sz w:val="22"/>
          <w:szCs w:val="22"/>
        </w:rPr>
        <w:t>Dokumentgjenfinning</w:t>
      </w:r>
      <w:bookmarkEnd w:id="1"/>
      <w:r>
        <w:rPr>
          <w:sz w:val="22"/>
          <w:szCs w:val="22"/>
        </w:rPr>
        <w:t xml:space="preserve">: Teknologi for brukerautentisering, for eksempel pull-utskrift og autorisering av enheter brukes for å sikre fortrolighet og garantere dokumentgjenfinning. </w:t>
      </w:r>
    </w:p>
    <w:p w14:paraId="11D1FA78" w14:textId="77777777" w:rsidR="006E0FF0" w:rsidRDefault="006E0FF0" w:rsidP="00676F9A">
      <w:pPr>
        <w:pStyle w:val="Merknadstekst"/>
        <w:jc w:val="left"/>
        <w:rPr>
          <w:rFonts w:cs="Arial"/>
          <w:sz w:val="22"/>
          <w:szCs w:val="22"/>
        </w:rPr>
      </w:pPr>
    </w:p>
    <w:p w14:paraId="3F828DE2" w14:textId="77777777" w:rsidR="006E0FF0" w:rsidRDefault="006E0FF0" w:rsidP="00676F9A">
      <w:pPr>
        <w:pStyle w:val="Merknadstekst"/>
        <w:jc w:val="left"/>
        <w:rPr>
          <w:rFonts w:cs="Arial"/>
          <w:sz w:val="22"/>
          <w:szCs w:val="22"/>
        </w:rPr>
      </w:pPr>
      <w:r>
        <w:rPr>
          <w:sz w:val="22"/>
          <w:szCs w:val="22"/>
        </w:rPr>
        <w:t xml:space="preserve">Selv om GDPR medfører store endringer for alle organisasjoner, bør man se på det som en mulighet. Rene, forskriftsmessige data vil gi selskapene informasjon som kan brukes til å forbedre kundeopplevelsen og skape vekstmuligheter. </w:t>
      </w:r>
    </w:p>
    <w:p w14:paraId="3DFFAC2C" w14:textId="77777777" w:rsidR="00372878" w:rsidRPr="00947F6C" w:rsidRDefault="00372878" w:rsidP="00676F9A">
      <w:pPr>
        <w:pStyle w:val="Merknadstekst"/>
        <w:jc w:val="left"/>
        <w:rPr>
          <w:rFonts w:cs="Arial"/>
          <w:sz w:val="22"/>
          <w:szCs w:val="22"/>
        </w:rPr>
      </w:pPr>
    </w:p>
    <w:p w14:paraId="3314AFC6" w14:textId="0C744005" w:rsidR="00F80F71" w:rsidRPr="00DF2E35" w:rsidRDefault="00F80F71" w:rsidP="00676F9A">
      <w:pPr>
        <w:pStyle w:val="Listeavsnitt"/>
        <w:numPr>
          <w:ilvl w:val="0"/>
          <w:numId w:val="22"/>
        </w:numPr>
        <w:spacing w:line="256" w:lineRule="auto"/>
        <w:rPr>
          <w:rFonts w:ascii="Arial" w:hAnsi="Arial" w:cs="Arial"/>
          <w:sz w:val="18"/>
          <w:szCs w:val="18"/>
          <w:lang w:val="en-US"/>
        </w:rPr>
      </w:pPr>
      <w:r w:rsidRPr="00DF2E35">
        <w:rPr>
          <w:rFonts w:ascii="Arial" w:hAnsi="Arial"/>
          <w:i/>
          <w:sz w:val="18"/>
          <w:szCs w:val="18"/>
          <w:lang w:val="en-US"/>
        </w:rPr>
        <w:t>Data Age 2025: The Evolution of Data to Life-Critical, Don’t Focus on Big Data; Focus on the Data That's Big</w:t>
      </w:r>
      <w:r w:rsidRPr="00DF2E35">
        <w:rPr>
          <w:rFonts w:ascii="Arial" w:hAnsi="Arial"/>
          <w:sz w:val="18"/>
          <w:szCs w:val="18"/>
          <w:lang w:val="en-US"/>
        </w:rPr>
        <w:t>, IDC White Paper, april 2017.</w:t>
      </w:r>
    </w:p>
    <w:p w14:paraId="68833711" w14:textId="07009484" w:rsidR="005E586B" w:rsidRPr="00DF2E35" w:rsidRDefault="00803EA5" w:rsidP="00676F9A">
      <w:pPr>
        <w:pStyle w:val="Listeavsnitt"/>
        <w:numPr>
          <w:ilvl w:val="0"/>
          <w:numId w:val="22"/>
        </w:numPr>
        <w:spacing w:line="256" w:lineRule="auto"/>
        <w:rPr>
          <w:rFonts w:ascii="Arial" w:hAnsi="Arial" w:cs="Arial"/>
          <w:sz w:val="18"/>
          <w:szCs w:val="18"/>
          <w:lang w:val="en-US"/>
        </w:rPr>
      </w:pPr>
      <w:r w:rsidRPr="00DF2E35">
        <w:rPr>
          <w:rFonts w:ascii="Arial" w:hAnsi="Arial"/>
          <w:i/>
          <w:sz w:val="18"/>
          <w:szCs w:val="18"/>
          <w:lang w:val="en-US"/>
        </w:rPr>
        <w:t>Low Investment in Print Security and Increasing Compliance Challenges Leave European Companies at Risk</w:t>
      </w:r>
      <w:r w:rsidRPr="00DF2E35">
        <w:rPr>
          <w:rFonts w:ascii="Arial" w:hAnsi="Arial"/>
          <w:sz w:val="18"/>
          <w:szCs w:val="18"/>
          <w:lang w:val="en-US"/>
        </w:rPr>
        <w:t>, IDC #EMEA42819617, juni 2017.</w:t>
      </w:r>
    </w:p>
    <w:p w14:paraId="26C0BCBE" w14:textId="2769416E" w:rsidR="00F80F71" w:rsidRPr="00DF2E35" w:rsidRDefault="00F80F71" w:rsidP="00676F9A">
      <w:pPr>
        <w:pStyle w:val="Merknadstekst"/>
        <w:jc w:val="left"/>
        <w:rPr>
          <w:rFonts w:cs="Arial"/>
          <w:sz w:val="22"/>
          <w:szCs w:val="22"/>
          <w:vertAlign w:val="superscript"/>
          <w:lang w:val="en-US"/>
        </w:rPr>
      </w:pPr>
    </w:p>
    <w:bookmarkEnd w:id="0"/>
    <w:p w14:paraId="37A4B532" w14:textId="5548D52A" w:rsidR="00226F52" w:rsidRPr="00DF2E35" w:rsidRDefault="00226F52" w:rsidP="00676F9A">
      <w:pPr>
        <w:rPr>
          <w:rFonts w:ascii="Arial" w:hAnsi="Arial" w:cs="Arial"/>
          <w:b/>
          <w:lang w:val="en-US"/>
        </w:rPr>
      </w:pPr>
    </w:p>
    <w:sectPr w:rsidR="00226F52" w:rsidRPr="00DF2E35">
      <w:headerReference w:type="default" r:id="rId10"/>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A5BD9" w14:textId="77777777" w:rsidR="00F42E11" w:rsidRDefault="00F42E11" w:rsidP="00C401C9">
      <w:pPr>
        <w:spacing w:after="0" w:line="240" w:lineRule="auto"/>
      </w:pPr>
      <w:r>
        <w:separator/>
      </w:r>
    </w:p>
  </w:endnote>
  <w:endnote w:type="continuationSeparator" w:id="0">
    <w:p w14:paraId="43100157" w14:textId="77777777" w:rsidR="00F42E11" w:rsidRDefault="00F42E11" w:rsidP="00C40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NeueLT Pro 45 Lt">
    <w:altName w:val="Calibri"/>
    <w:panose1 w:val="020B0403020202020204"/>
    <w:charset w:val="00"/>
    <w:family w:val="swiss"/>
    <w:notTrueType/>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DB317" w14:textId="77777777" w:rsidR="00A827CA" w:rsidRDefault="00A827CA" w:rsidP="006A1CC7">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03EE9E5B" w14:textId="77777777" w:rsidR="00A827CA" w:rsidRDefault="00A827CA" w:rsidP="006A1CC7">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878CE" w14:textId="08339D9A" w:rsidR="00A827CA" w:rsidRDefault="00A827CA" w:rsidP="006A1CC7">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760E3A">
      <w:rPr>
        <w:rStyle w:val="Sidetall"/>
        <w:noProof/>
      </w:rPr>
      <w:t>2</w:t>
    </w:r>
    <w:r>
      <w:rPr>
        <w:rStyle w:val="Sidetall"/>
      </w:rPr>
      <w:fldChar w:fldCharType="end"/>
    </w:r>
  </w:p>
  <w:p w14:paraId="3F0D9B38" w14:textId="77777777" w:rsidR="00A827CA" w:rsidRDefault="00A827CA" w:rsidP="006A1CC7">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CC632" w14:textId="77777777" w:rsidR="00F42E11" w:rsidRDefault="00F42E11" w:rsidP="00C401C9">
      <w:pPr>
        <w:spacing w:after="0" w:line="240" w:lineRule="auto"/>
      </w:pPr>
      <w:r>
        <w:separator/>
      </w:r>
    </w:p>
  </w:footnote>
  <w:footnote w:type="continuationSeparator" w:id="0">
    <w:p w14:paraId="146EDE77" w14:textId="77777777" w:rsidR="00F42E11" w:rsidRDefault="00F42E11" w:rsidP="00C40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6844F" w14:textId="77777777" w:rsidR="00A827CA" w:rsidRDefault="00A827CA">
    <w:pPr>
      <w:pStyle w:val="Topptekst"/>
    </w:pPr>
    <w:r>
      <w:rPr>
        <w:b/>
        <w:noProof/>
      </w:rPr>
      <w:drawing>
        <wp:anchor distT="0" distB="0" distL="114300" distR="114300" simplePos="0" relativeHeight="251659264" behindDoc="0" locked="0" layoutInCell="1" allowOverlap="1" wp14:anchorId="6D9A97D8" wp14:editId="5EC0376C">
          <wp:simplePos x="0" y="0"/>
          <wp:positionH relativeFrom="margin">
            <wp:posOffset>4543425</wp:posOffset>
          </wp:positionH>
          <wp:positionV relativeFrom="topMargin">
            <wp:posOffset>142875</wp:posOffset>
          </wp:positionV>
          <wp:extent cx="1738630" cy="6553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ther Logo Blue-small for press releases.jpg"/>
                  <pic:cNvPicPr/>
                </pic:nvPicPr>
                <pic:blipFill>
                  <a:blip r:embed="rId1">
                    <a:extLst>
                      <a:ext uri="{28A0092B-C50C-407E-A947-70E740481C1C}">
                        <a14:useLocalDpi xmlns:a14="http://schemas.microsoft.com/office/drawing/2010/main" val="0"/>
                      </a:ext>
                    </a:extLst>
                  </a:blip>
                  <a:stretch>
                    <a:fillRect/>
                  </a:stretch>
                </pic:blipFill>
                <pic:spPr>
                  <a:xfrm>
                    <a:off x="0" y="0"/>
                    <a:ext cx="1738630" cy="6553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6FED"/>
    <w:multiLevelType w:val="hybridMultilevel"/>
    <w:tmpl w:val="28B658E4"/>
    <w:lvl w:ilvl="0" w:tplc="C27EED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7168EB"/>
    <w:multiLevelType w:val="hybridMultilevel"/>
    <w:tmpl w:val="28B658E4"/>
    <w:lvl w:ilvl="0" w:tplc="C27EED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172E80"/>
    <w:multiLevelType w:val="hybridMultilevel"/>
    <w:tmpl w:val="32E85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2630186"/>
    <w:multiLevelType w:val="hybridMultilevel"/>
    <w:tmpl w:val="E0B0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97366"/>
    <w:multiLevelType w:val="hybridMultilevel"/>
    <w:tmpl w:val="CD746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8A59D2"/>
    <w:multiLevelType w:val="hybridMultilevel"/>
    <w:tmpl w:val="4EE89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72249A"/>
    <w:multiLevelType w:val="multilevel"/>
    <w:tmpl w:val="15C0C0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41D13AB"/>
    <w:multiLevelType w:val="hybridMultilevel"/>
    <w:tmpl w:val="81868F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DAB251F"/>
    <w:multiLevelType w:val="hybridMultilevel"/>
    <w:tmpl w:val="85EAE2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F016402"/>
    <w:multiLevelType w:val="hybridMultilevel"/>
    <w:tmpl w:val="1E04DFC0"/>
    <w:lvl w:ilvl="0" w:tplc="0C8CD500">
      <w:numFmt w:val="bullet"/>
      <w:lvlText w:val="-"/>
      <w:lvlJc w:val="left"/>
      <w:pPr>
        <w:ind w:left="720" w:hanging="360"/>
      </w:pPr>
      <w:rPr>
        <w:rFonts w:ascii="Arial" w:eastAsia="MS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7C4435"/>
    <w:multiLevelType w:val="hybridMultilevel"/>
    <w:tmpl w:val="9084831E"/>
    <w:lvl w:ilvl="0" w:tplc="956E16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7E53E3"/>
    <w:multiLevelType w:val="hybridMultilevel"/>
    <w:tmpl w:val="EECE0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9F2CB4"/>
    <w:multiLevelType w:val="hybridMultilevel"/>
    <w:tmpl w:val="C1F09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6F6875"/>
    <w:multiLevelType w:val="hybridMultilevel"/>
    <w:tmpl w:val="2CE23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D47088"/>
    <w:multiLevelType w:val="hybridMultilevel"/>
    <w:tmpl w:val="9D9CE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4E7519"/>
    <w:multiLevelType w:val="hybridMultilevel"/>
    <w:tmpl w:val="01D81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6165C3"/>
    <w:multiLevelType w:val="hybridMultilevel"/>
    <w:tmpl w:val="01E40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3D1DF3"/>
    <w:multiLevelType w:val="hybridMultilevel"/>
    <w:tmpl w:val="24E27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2E7468"/>
    <w:multiLevelType w:val="hybridMultilevel"/>
    <w:tmpl w:val="D9089B7E"/>
    <w:lvl w:ilvl="0" w:tplc="F14467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2D11563"/>
    <w:multiLevelType w:val="hybridMultilevel"/>
    <w:tmpl w:val="6B80A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BD85329"/>
    <w:multiLevelType w:val="hybridMultilevel"/>
    <w:tmpl w:val="9B8E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AE5120"/>
    <w:multiLevelType w:val="hybridMultilevel"/>
    <w:tmpl w:val="D856F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11"/>
  </w:num>
  <w:num w:numId="4">
    <w:abstractNumId w:val="17"/>
  </w:num>
  <w:num w:numId="5">
    <w:abstractNumId w:val="10"/>
  </w:num>
  <w:num w:numId="6">
    <w:abstractNumId w:val="16"/>
  </w:num>
  <w:num w:numId="7">
    <w:abstractNumId w:val="3"/>
  </w:num>
  <w:num w:numId="8">
    <w:abstractNumId w:val="14"/>
  </w:num>
  <w:num w:numId="9">
    <w:abstractNumId w:val="9"/>
  </w:num>
  <w:num w:numId="10">
    <w:abstractNumId w:val="2"/>
  </w:num>
  <w:num w:numId="11">
    <w:abstractNumId w:val="8"/>
  </w:num>
  <w:num w:numId="12">
    <w:abstractNumId w:val="21"/>
  </w:num>
  <w:num w:numId="13">
    <w:abstractNumId w:val="13"/>
  </w:num>
  <w:num w:numId="14">
    <w:abstractNumId w:val="18"/>
  </w:num>
  <w:num w:numId="15">
    <w:abstractNumId w:val="15"/>
  </w:num>
  <w:num w:numId="16">
    <w:abstractNumId w:val="1"/>
  </w:num>
  <w:num w:numId="17">
    <w:abstractNumId w:val="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5"/>
  </w:num>
  <w:num w:numId="21">
    <w:abstractNumId w:val="4"/>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720"/>
  <w:hyphenationZone w:val="425"/>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499"/>
    <w:rsid w:val="000076F2"/>
    <w:rsid w:val="000125BE"/>
    <w:rsid w:val="00016FCA"/>
    <w:rsid w:val="0001718E"/>
    <w:rsid w:val="00032F63"/>
    <w:rsid w:val="00040D5E"/>
    <w:rsid w:val="000510D3"/>
    <w:rsid w:val="00053111"/>
    <w:rsid w:val="0005387F"/>
    <w:rsid w:val="00061799"/>
    <w:rsid w:val="0006360D"/>
    <w:rsid w:val="00067D75"/>
    <w:rsid w:val="00081B4D"/>
    <w:rsid w:val="00085DA8"/>
    <w:rsid w:val="00086B33"/>
    <w:rsid w:val="000A0C9E"/>
    <w:rsid w:val="000B0CBC"/>
    <w:rsid w:val="000B0F26"/>
    <w:rsid w:val="000B33A1"/>
    <w:rsid w:val="000B4624"/>
    <w:rsid w:val="000B7C26"/>
    <w:rsid w:val="000C615B"/>
    <w:rsid w:val="000D0D78"/>
    <w:rsid w:val="000D1312"/>
    <w:rsid w:val="000D4068"/>
    <w:rsid w:val="000D67A6"/>
    <w:rsid w:val="000D6FCD"/>
    <w:rsid w:val="000D7C05"/>
    <w:rsid w:val="000E351D"/>
    <w:rsid w:val="000E6C48"/>
    <w:rsid w:val="00100E9D"/>
    <w:rsid w:val="00101DCF"/>
    <w:rsid w:val="0010419C"/>
    <w:rsid w:val="00107343"/>
    <w:rsid w:val="00110537"/>
    <w:rsid w:val="00114FE5"/>
    <w:rsid w:val="00115711"/>
    <w:rsid w:val="00122506"/>
    <w:rsid w:val="001328A6"/>
    <w:rsid w:val="001359CB"/>
    <w:rsid w:val="00136D9C"/>
    <w:rsid w:val="00145E18"/>
    <w:rsid w:val="00152740"/>
    <w:rsid w:val="00155FC8"/>
    <w:rsid w:val="00157113"/>
    <w:rsid w:val="00161FCE"/>
    <w:rsid w:val="00162B28"/>
    <w:rsid w:val="00163499"/>
    <w:rsid w:val="00166687"/>
    <w:rsid w:val="001831EC"/>
    <w:rsid w:val="00183281"/>
    <w:rsid w:val="00183ABC"/>
    <w:rsid w:val="0018477E"/>
    <w:rsid w:val="00192D76"/>
    <w:rsid w:val="001A1E6B"/>
    <w:rsid w:val="001A731B"/>
    <w:rsid w:val="001B4618"/>
    <w:rsid w:val="001B762A"/>
    <w:rsid w:val="001C14F3"/>
    <w:rsid w:val="001C3A22"/>
    <w:rsid w:val="001C47C0"/>
    <w:rsid w:val="001C6C4F"/>
    <w:rsid w:val="001D199F"/>
    <w:rsid w:val="001D2975"/>
    <w:rsid w:val="001D2FEC"/>
    <w:rsid w:val="001E21AE"/>
    <w:rsid w:val="001E4EB3"/>
    <w:rsid w:val="001F0E98"/>
    <w:rsid w:val="001F1FBC"/>
    <w:rsid w:val="001F3C2F"/>
    <w:rsid w:val="001F442F"/>
    <w:rsid w:val="001F5BE7"/>
    <w:rsid w:val="00206D1E"/>
    <w:rsid w:val="002208C8"/>
    <w:rsid w:val="00223B45"/>
    <w:rsid w:val="00224BCF"/>
    <w:rsid w:val="00226F52"/>
    <w:rsid w:val="002315C6"/>
    <w:rsid w:val="00232329"/>
    <w:rsid w:val="00233178"/>
    <w:rsid w:val="002349AC"/>
    <w:rsid w:val="00234E3C"/>
    <w:rsid w:val="00235B9B"/>
    <w:rsid w:val="002429E5"/>
    <w:rsid w:val="002514D7"/>
    <w:rsid w:val="00262E16"/>
    <w:rsid w:val="002630BB"/>
    <w:rsid w:val="00267209"/>
    <w:rsid w:val="00267297"/>
    <w:rsid w:val="00267D12"/>
    <w:rsid w:val="0027150D"/>
    <w:rsid w:val="00272A84"/>
    <w:rsid w:val="00277E10"/>
    <w:rsid w:val="00280F91"/>
    <w:rsid w:val="00282AB9"/>
    <w:rsid w:val="00290315"/>
    <w:rsid w:val="00290FC9"/>
    <w:rsid w:val="00291E14"/>
    <w:rsid w:val="002A0686"/>
    <w:rsid w:val="002A5C92"/>
    <w:rsid w:val="002A64D7"/>
    <w:rsid w:val="002A715A"/>
    <w:rsid w:val="002B1390"/>
    <w:rsid w:val="002B468E"/>
    <w:rsid w:val="002B551E"/>
    <w:rsid w:val="002C6833"/>
    <w:rsid w:val="002D219E"/>
    <w:rsid w:val="002D22B5"/>
    <w:rsid w:val="002D3C49"/>
    <w:rsid w:val="002E1FBA"/>
    <w:rsid w:val="00302201"/>
    <w:rsid w:val="0030564A"/>
    <w:rsid w:val="00310BAA"/>
    <w:rsid w:val="00316AC7"/>
    <w:rsid w:val="003213C2"/>
    <w:rsid w:val="0033001E"/>
    <w:rsid w:val="00331BEB"/>
    <w:rsid w:val="0033769D"/>
    <w:rsid w:val="00343A19"/>
    <w:rsid w:val="0034528C"/>
    <w:rsid w:val="00345318"/>
    <w:rsid w:val="00372092"/>
    <w:rsid w:val="00372878"/>
    <w:rsid w:val="00373C51"/>
    <w:rsid w:val="00387A11"/>
    <w:rsid w:val="00387CA0"/>
    <w:rsid w:val="00390F64"/>
    <w:rsid w:val="003973F0"/>
    <w:rsid w:val="003A15E6"/>
    <w:rsid w:val="003A4945"/>
    <w:rsid w:val="003C1D45"/>
    <w:rsid w:val="003C259F"/>
    <w:rsid w:val="003D21B5"/>
    <w:rsid w:val="003E2E98"/>
    <w:rsid w:val="003E33FF"/>
    <w:rsid w:val="003E38F8"/>
    <w:rsid w:val="003E67F1"/>
    <w:rsid w:val="003F3C14"/>
    <w:rsid w:val="003F52CF"/>
    <w:rsid w:val="003F63D1"/>
    <w:rsid w:val="003F697B"/>
    <w:rsid w:val="003F6A10"/>
    <w:rsid w:val="003F6EBC"/>
    <w:rsid w:val="003F74A5"/>
    <w:rsid w:val="004001CC"/>
    <w:rsid w:val="00410790"/>
    <w:rsid w:val="004147B3"/>
    <w:rsid w:val="00416975"/>
    <w:rsid w:val="00422AFD"/>
    <w:rsid w:val="00427BBD"/>
    <w:rsid w:val="0043477C"/>
    <w:rsid w:val="004530E1"/>
    <w:rsid w:val="00453BAF"/>
    <w:rsid w:val="00453E4C"/>
    <w:rsid w:val="00463ED5"/>
    <w:rsid w:val="00474880"/>
    <w:rsid w:val="00483D37"/>
    <w:rsid w:val="004849F9"/>
    <w:rsid w:val="00493000"/>
    <w:rsid w:val="00493520"/>
    <w:rsid w:val="0049591D"/>
    <w:rsid w:val="004A294B"/>
    <w:rsid w:val="004A47EB"/>
    <w:rsid w:val="004B18F8"/>
    <w:rsid w:val="004B2552"/>
    <w:rsid w:val="004B3321"/>
    <w:rsid w:val="004B59E8"/>
    <w:rsid w:val="004B6279"/>
    <w:rsid w:val="004C0FDA"/>
    <w:rsid w:val="004C1F4E"/>
    <w:rsid w:val="004C4FA0"/>
    <w:rsid w:val="004D072A"/>
    <w:rsid w:val="004E31AA"/>
    <w:rsid w:val="004E3367"/>
    <w:rsid w:val="004F5BCA"/>
    <w:rsid w:val="004F767B"/>
    <w:rsid w:val="00504D49"/>
    <w:rsid w:val="005107A8"/>
    <w:rsid w:val="005171C6"/>
    <w:rsid w:val="00517317"/>
    <w:rsid w:val="0052250F"/>
    <w:rsid w:val="00524D76"/>
    <w:rsid w:val="00526B60"/>
    <w:rsid w:val="00527331"/>
    <w:rsid w:val="005347AD"/>
    <w:rsid w:val="00541725"/>
    <w:rsid w:val="0054647D"/>
    <w:rsid w:val="00546483"/>
    <w:rsid w:val="005521DB"/>
    <w:rsid w:val="00553198"/>
    <w:rsid w:val="0056069C"/>
    <w:rsid w:val="0056433D"/>
    <w:rsid w:val="00565569"/>
    <w:rsid w:val="00567612"/>
    <w:rsid w:val="00571E9B"/>
    <w:rsid w:val="005839ED"/>
    <w:rsid w:val="00583A38"/>
    <w:rsid w:val="00587890"/>
    <w:rsid w:val="005908F1"/>
    <w:rsid w:val="005A2234"/>
    <w:rsid w:val="005A48B1"/>
    <w:rsid w:val="005A64F9"/>
    <w:rsid w:val="005B05F0"/>
    <w:rsid w:val="005B1278"/>
    <w:rsid w:val="005B3578"/>
    <w:rsid w:val="005B5A78"/>
    <w:rsid w:val="005C4195"/>
    <w:rsid w:val="005C4214"/>
    <w:rsid w:val="005C76F9"/>
    <w:rsid w:val="005D1FCC"/>
    <w:rsid w:val="005D326E"/>
    <w:rsid w:val="005E16B0"/>
    <w:rsid w:val="005E1F0D"/>
    <w:rsid w:val="005E586B"/>
    <w:rsid w:val="005E7171"/>
    <w:rsid w:val="005F1457"/>
    <w:rsid w:val="005F55A6"/>
    <w:rsid w:val="006116AF"/>
    <w:rsid w:val="00611842"/>
    <w:rsid w:val="00615D17"/>
    <w:rsid w:val="0062413F"/>
    <w:rsid w:val="00626BFB"/>
    <w:rsid w:val="0064474A"/>
    <w:rsid w:val="00657626"/>
    <w:rsid w:val="00662B59"/>
    <w:rsid w:val="00665090"/>
    <w:rsid w:val="0067131B"/>
    <w:rsid w:val="00672BBF"/>
    <w:rsid w:val="00676D08"/>
    <w:rsid w:val="00676F9A"/>
    <w:rsid w:val="00687A16"/>
    <w:rsid w:val="006946D2"/>
    <w:rsid w:val="00694877"/>
    <w:rsid w:val="006A1CC7"/>
    <w:rsid w:val="006A493A"/>
    <w:rsid w:val="006A6F4F"/>
    <w:rsid w:val="006A7C9C"/>
    <w:rsid w:val="006B6580"/>
    <w:rsid w:val="006C1996"/>
    <w:rsid w:val="006C496E"/>
    <w:rsid w:val="006C5004"/>
    <w:rsid w:val="006C7E00"/>
    <w:rsid w:val="006D1F21"/>
    <w:rsid w:val="006D5077"/>
    <w:rsid w:val="006D6432"/>
    <w:rsid w:val="006D7273"/>
    <w:rsid w:val="006E0FF0"/>
    <w:rsid w:val="006E1720"/>
    <w:rsid w:val="006E7E4A"/>
    <w:rsid w:val="006F104B"/>
    <w:rsid w:val="006F2452"/>
    <w:rsid w:val="006F353A"/>
    <w:rsid w:val="006F4F22"/>
    <w:rsid w:val="007101AC"/>
    <w:rsid w:val="00717657"/>
    <w:rsid w:val="00723E77"/>
    <w:rsid w:val="00732984"/>
    <w:rsid w:val="00735AC9"/>
    <w:rsid w:val="007366D6"/>
    <w:rsid w:val="007449C4"/>
    <w:rsid w:val="00747FAC"/>
    <w:rsid w:val="00755B73"/>
    <w:rsid w:val="00755C4F"/>
    <w:rsid w:val="00756210"/>
    <w:rsid w:val="007562D8"/>
    <w:rsid w:val="0075666F"/>
    <w:rsid w:val="00757EFE"/>
    <w:rsid w:val="00760E3A"/>
    <w:rsid w:val="00762CA8"/>
    <w:rsid w:val="00762FD8"/>
    <w:rsid w:val="007709FF"/>
    <w:rsid w:val="007737B4"/>
    <w:rsid w:val="00773C20"/>
    <w:rsid w:val="007815A9"/>
    <w:rsid w:val="0078563B"/>
    <w:rsid w:val="00795505"/>
    <w:rsid w:val="007B64E3"/>
    <w:rsid w:val="007B6ACE"/>
    <w:rsid w:val="007B769C"/>
    <w:rsid w:val="007C0BED"/>
    <w:rsid w:val="007C19A5"/>
    <w:rsid w:val="007C6035"/>
    <w:rsid w:val="007D1089"/>
    <w:rsid w:val="007D1713"/>
    <w:rsid w:val="007D3EC7"/>
    <w:rsid w:val="007D59DF"/>
    <w:rsid w:val="007D6328"/>
    <w:rsid w:val="007E4D92"/>
    <w:rsid w:val="007E69BF"/>
    <w:rsid w:val="007F1D79"/>
    <w:rsid w:val="007F646E"/>
    <w:rsid w:val="007F6BDB"/>
    <w:rsid w:val="00803E01"/>
    <w:rsid w:val="00803EA5"/>
    <w:rsid w:val="00806870"/>
    <w:rsid w:val="00807263"/>
    <w:rsid w:val="008129B1"/>
    <w:rsid w:val="00830C7A"/>
    <w:rsid w:val="00833AF4"/>
    <w:rsid w:val="00833B19"/>
    <w:rsid w:val="0083475F"/>
    <w:rsid w:val="00840B38"/>
    <w:rsid w:val="00841702"/>
    <w:rsid w:val="00842331"/>
    <w:rsid w:val="008449E1"/>
    <w:rsid w:val="008507C9"/>
    <w:rsid w:val="008636B9"/>
    <w:rsid w:val="00864A2B"/>
    <w:rsid w:val="00865143"/>
    <w:rsid w:val="00872FD5"/>
    <w:rsid w:val="00883A87"/>
    <w:rsid w:val="008956FB"/>
    <w:rsid w:val="008A459F"/>
    <w:rsid w:val="008B63EE"/>
    <w:rsid w:val="008C1B71"/>
    <w:rsid w:val="008C4E94"/>
    <w:rsid w:val="008D0101"/>
    <w:rsid w:val="008D1A36"/>
    <w:rsid w:val="008D5418"/>
    <w:rsid w:val="008D5D12"/>
    <w:rsid w:val="008E23C2"/>
    <w:rsid w:val="008F0958"/>
    <w:rsid w:val="008F1B49"/>
    <w:rsid w:val="009056B4"/>
    <w:rsid w:val="009074D2"/>
    <w:rsid w:val="00911D16"/>
    <w:rsid w:val="00920614"/>
    <w:rsid w:val="009220DB"/>
    <w:rsid w:val="009222A7"/>
    <w:rsid w:val="00925A17"/>
    <w:rsid w:val="00926E8C"/>
    <w:rsid w:val="0093067D"/>
    <w:rsid w:val="00931714"/>
    <w:rsid w:val="009321FE"/>
    <w:rsid w:val="00935BFA"/>
    <w:rsid w:val="00937BC4"/>
    <w:rsid w:val="00947F6C"/>
    <w:rsid w:val="00950C63"/>
    <w:rsid w:val="009531B2"/>
    <w:rsid w:val="009602B5"/>
    <w:rsid w:val="00961D0F"/>
    <w:rsid w:val="00972C51"/>
    <w:rsid w:val="0097638E"/>
    <w:rsid w:val="00983E67"/>
    <w:rsid w:val="009A0500"/>
    <w:rsid w:val="009A7F09"/>
    <w:rsid w:val="009B30CB"/>
    <w:rsid w:val="009B734E"/>
    <w:rsid w:val="009C524D"/>
    <w:rsid w:val="009C7725"/>
    <w:rsid w:val="009D0B6A"/>
    <w:rsid w:val="009E20BD"/>
    <w:rsid w:val="009E232E"/>
    <w:rsid w:val="009E649E"/>
    <w:rsid w:val="009F770E"/>
    <w:rsid w:val="00A06E1D"/>
    <w:rsid w:val="00A11603"/>
    <w:rsid w:val="00A1178F"/>
    <w:rsid w:val="00A1304E"/>
    <w:rsid w:val="00A16D77"/>
    <w:rsid w:val="00A244B2"/>
    <w:rsid w:val="00A31546"/>
    <w:rsid w:val="00A321F0"/>
    <w:rsid w:val="00A34C79"/>
    <w:rsid w:val="00A51F3A"/>
    <w:rsid w:val="00A5213C"/>
    <w:rsid w:val="00A535E6"/>
    <w:rsid w:val="00A54840"/>
    <w:rsid w:val="00A558BE"/>
    <w:rsid w:val="00A6088B"/>
    <w:rsid w:val="00A70470"/>
    <w:rsid w:val="00A723E2"/>
    <w:rsid w:val="00A73E3E"/>
    <w:rsid w:val="00A827CA"/>
    <w:rsid w:val="00A82A2D"/>
    <w:rsid w:val="00A935E0"/>
    <w:rsid w:val="00A94FE6"/>
    <w:rsid w:val="00A958B4"/>
    <w:rsid w:val="00AA1D62"/>
    <w:rsid w:val="00AA29AD"/>
    <w:rsid w:val="00AA2C4D"/>
    <w:rsid w:val="00AA62AF"/>
    <w:rsid w:val="00AB2644"/>
    <w:rsid w:val="00AB7CF1"/>
    <w:rsid w:val="00AB7D61"/>
    <w:rsid w:val="00AC5094"/>
    <w:rsid w:val="00AC6C7F"/>
    <w:rsid w:val="00AD18C2"/>
    <w:rsid w:val="00AD1E81"/>
    <w:rsid w:val="00AE4E1A"/>
    <w:rsid w:val="00AE744E"/>
    <w:rsid w:val="00AF2DA2"/>
    <w:rsid w:val="00B03BBF"/>
    <w:rsid w:val="00B056D1"/>
    <w:rsid w:val="00B06EC6"/>
    <w:rsid w:val="00B07F05"/>
    <w:rsid w:val="00B11F92"/>
    <w:rsid w:val="00B13526"/>
    <w:rsid w:val="00B13EA2"/>
    <w:rsid w:val="00B13F1B"/>
    <w:rsid w:val="00B15829"/>
    <w:rsid w:val="00B1789D"/>
    <w:rsid w:val="00B22690"/>
    <w:rsid w:val="00B2489F"/>
    <w:rsid w:val="00B27EC8"/>
    <w:rsid w:val="00B301CB"/>
    <w:rsid w:val="00B36158"/>
    <w:rsid w:val="00B36640"/>
    <w:rsid w:val="00B41C0F"/>
    <w:rsid w:val="00B47F58"/>
    <w:rsid w:val="00B540E2"/>
    <w:rsid w:val="00B61EC6"/>
    <w:rsid w:val="00B6521E"/>
    <w:rsid w:val="00B6694D"/>
    <w:rsid w:val="00B67BE6"/>
    <w:rsid w:val="00B743E4"/>
    <w:rsid w:val="00B77496"/>
    <w:rsid w:val="00BA00C1"/>
    <w:rsid w:val="00BB6334"/>
    <w:rsid w:val="00BC2D2B"/>
    <w:rsid w:val="00BC35F7"/>
    <w:rsid w:val="00BC4EB6"/>
    <w:rsid w:val="00BD0D93"/>
    <w:rsid w:val="00BE05C8"/>
    <w:rsid w:val="00BE0A0F"/>
    <w:rsid w:val="00BE3CA6"/>
    <w:rsid w:val="00C04A33"/>
    <w:rsid w:val="00C10A27"/>
    <w:rsid w:val="00C15E1B"/>
    <w:rsid w:val="00C2026E"/>
    <w:rsid w:val="00C2510B"/>
    <w:rsid w:val="00C3159C"/>
    <w:rsid w:val="00C355AC"/>
    <w:rsid w:val="00C366A2"/>
    <w:rsid w:val="00C401C9"/>
    <w:rsid w:val="00C47E0D"/>
    <w:rsid w:val="00C57EA2"/>
    <w:rsid w:val="00C61D9C"/>
    <w:rsid w:val="00C650F7"/>
    <w:rsid w:val="00C66525"/>
    <w:rsid w:val="00C6730A"/>
    <w:rsid w:val="00C67D63"/>
    <w:rsid w:val="00C83A88"/>
    <w:rsid w:val="00C850DA"/>
    <w:rsid w:val="00C855B3"/>
    <w:rsid w:val="00C863F1"/>
    <w:rsid w:val="00C903A3"/>
    <w:rsid w:val="00C91E32"/>
    <w:rsid w:val="00C953F5"/>
    <w:rsid w:val="00C96667"/>
    <w:rsid w:val="00C96CCA"/>
    <w:rsid w:val="00C97789"/>
    <w:rsid w:val="00CA1EAA"/>
    <w:rsid w:val="00CA309C"/>
    <w:rsid w:val="00CA5EC2"/>
    <w:rsid w:val="00CA7CAB"/>
    <w:rsid w:val="00CA7DF3"/>
    <w:rsid w:val="00CB12ED"/>
    <w:rsid w:val="00CC493D"/>
    <w:rsid w:val="00CC70AF"/>
    <w:rsid w:val="00CC7699"/>
    <w:rsid w:val="00CD04CA"/>
    <w:rsid w:val="00CE1CD2"/>
    <w:rsid w:val="00CE3F3A"/>
    <w:rsid w:val="00CE638C"/>
    <w:rsid w:val="00CE7426"/>
    <w:rsid w:val="00CF649C"/>
    <w:rsid w:val="00CF7589"/>
    <w:rsid w:val="00D03158"/>
    <w:rsid w:val="00D06540"/>
    <w:rsid w:val="00D073D6"/>
    <w:rsid w:val="00D167C0"/>
    <w:rsid w:val="00D25E4C"/>
    <w:rsid w:val="00D3333C"/>
    <w:rsid w:val="00D33BE2"/>
    <w:rsid w:val="00D40703"/>
    <w:rsid w:val="00D4629C"/>
    <w:rsid w:val="00D50C95"/>
    <w:rsid w:val="00D515EA"/>
    <w:rsid w:val="00D57071"/>
    <w:rsid w:val="00D62CDE"/>
    <w:rsid w:val="00D63925"/>
    <w:rsid w:val="00D661C3"/>
    <w:rsid w:val="00D66FA2"/>
    <w:rsid w:val="00D67648"/>
    <w:rsid w:val="00D70585"/>
    <w:rsid w:val="00D70659"/>
    <w:rsid w:val="00D71A8F"/>
    <w:rsid w:val="00D71FD4"/>
    <w:rsid w:val="00D842DA"/>
    <w:rsid w:val="00D85629"/>
    <w:rsid w:val="00D8772D"/>
    <w:rsid w:val="00D87BCD"/>
    <w:rsid w:val="00D950F9"/>
    <w:rsid w:val="00D9733A"/>
    <w:rsid w:val="00DA0CA2"/>
    <w:rsid w:val="00DA545B"/>
    <w:rsid w:val="00DC467B"/>
    <w:rsid w:val="00DC4D7A"/>
    <w:rsid w:val="00DD77E8"/>
    <w:rsid w:val="00DD7D69"/>
    <w:rsid w:val="00DE0220"/>
    <w:rsid w:val="00DE4E96"/>
    <w:rsid w:val="00DE6033"/>
    <w:rsid w:val="00DF0384"/>
    <w:rsid w:val="00DF15ED"/>
    <w:rsid w:val="00DF15F6"/>
    <w:rsid w:val="00DF1621"/>
    <w:rsid w:val="00DF2E35"/>
    <w:rsid w:val="00DF45B6"/>
    <w:rsid w:val="00DF48C6"/>
    <w:rsid w:val="00DF6CEB"/>
    <w:rsid w:val="00E0046B"/>
    <w:rsid w:val="00E01105"/>
    <w:rsid w:val="00E0688D"/>
    <w:rsid w:val="00E072AA"/>
    <w:rsid w:val="00E2413A"/>
    <w:rsid w:val="00E243A1"/>
    <w:rsid w:val="00E26EDC"/>
    <w:rsid w:val="00E27038"/>
    <w:rsid w:val="00E272D2"/>
    <w:rsid w:val="00E31ECD"/>
    <w:rsid w:val="00E45E60"/>
    <w:rsid w:val="00E521DF"/>
    <w:rsid w:val="00E5384B"/>
    <w:rsid w:val="00E54F78"/>
    <w:rsid w:val="00E55A11"/>
    <w:rsid w:val="00E6425A"/>
    <w:rsid w:val="00E659FB"/>
    <w:rsid w:val="00E745A9"/>
    <w:rsid w:val="00E74846"/>
    <w:rsid w:val="00E75E90"/>
    <w:rsid w:val="00E91BA6"/>
    <w:rsid w:val="00E94A80"/>
    <w:rsid w:val="00E9777D"/>
    <w:rsid w:val="00E97F4B"/>
    <w:rsid w:val="00EA177F"/>
    <w:rsid w:val="00EA3866"/>
    <w:rsid w:val="00EB0628"/>
    <w:rsid w:val="00EB0CFD"/>
    <w:rsid w:val="00EB0EFA"/>
    <w:rsid w:val="00EB44E9"/>
    <w:rsid w:val="00EB523B"/>
    <w:rsid w:val="00EC2ACF"/>
    <w:rsid w:val="00ED5951"/>
    <w:rsid w:val="00EF1AE6"/>
    <w:rsid w:val="00F04BD2"/>
    <w:rsid w:val="00F04E80"/>
    <w:rsid w:val="00F05063"/>
    <w:rsid w:val="00F12A59"/>
    <w:rsid w:val="00F332B4"/>
    <w:rsid w:val="00F35708"/>
    <w:rsid w:val="00F36333"/>
    <w:rsid w:val="00F3684A"/>
    <w:rsid w:val="00F42E11"/>
    <w:rsid w:val="00F42F3F"/>
    <w:rsid w:val="00F431AC"/>
    <w:rsid w:val="00F43247"/>
    <w:rsid w:val="00F475B9"/>
    <w:rsid w:val="00F50961"/>
    <w:rsid w:val="00F608DE"/>
    <w:rsid w:val="00F608EC"/>
    <w:rsid w:val="00F60FFF"/>
    <w:rsid w:val="00F64CCF"/>
    <w:rsid w:val="00F7400E"/>
    <w:rsid w:val="00F74C8C"/>
    <w:rsid w:val="00F74F6C"/>
    <w:rsid w:val="00F77482"/>
    <w:rsid w:val="00F80F71"/>
    <w:rsid w:val="00F814B9"/>
    <w:rsid w:val="00F91A20"/>
    <w:rsid w:val="00FA3508"/>
    <w:rsid w:val="00FA47FD"/>
    <w:rsid w:val="00FA5BC7"/>
    <w:rsid w:val="00FB5F2E"/>
    <w:rsid w:val="00FC02DF"/>
    <w:rsid w:val="00FC4A3A"/>
    <w:rsid w:val="00FC4E86"/>
    <w:rsid w:val="00FD3806"/>
    <w:rsid w:val="00FD46C0"/>
    <w:rsid w:val="00FD4AB0"/>
    <w:rsid w:val="00FD5530"/>
    <w:rsid w:val="00FD5982"/>
    <w:rsid w:val="00FE0A81"/>
    <w:rsid w:val="00FE1C14"/>
    <w:rsid w:val="00FE2FB2"/>
    <w:rsid w:val="00FE31CE"/>
    <w:rsid w:val="00FE7524"/>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33E79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2">
    <w:name w:val="heading 2"/>
    <w:basedOn w:val="Overskrift3"/>
    <w:next w:val="Normal"/>
    <w:link w:val="Overskrift2Tegn"/>
    <w:uiPriority w:val="9"/>
    <w:unhideWhenUsed/>
    <w:qFormat/>
    <w:rsid w:val="005C4195"/>
    <w:pPr>
      <w:spacing w:before="240" w:after="120" w:line="240" w:lineRule="auto"/>
      <w:outlineLvl w:val="1"/>
    </w:pPr>
    <w:rPr>
      <w:rFonts w:ascii="Arial" w:hAnsi="Arial" w:cs="Arial"/>
      <w:bCs/>
      <w:i/>
      <w:color w:val="auto"/>
      <w:sz w:val="22"/>
      <w:szCs w:val="22"/>
    </w:rPr>
  </w:style>
  <w:style w:type="paragraph" w:styleId="Overskrift3">
    <w:name w:val="heading 3"/>
    <w:basedOn w:val="Normal"/>
    <w:next w:val="Normal"/>
    <w:link w:val="Overskrift3Tegn"/>
    <w:uiPriority w:val="9"/>
    <w:semiHidden/>
    <w:unhideWhenUsed/>
    <w:qFormat/>
    <w:rsid w:val="005C41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erknadstekst">
    <w:name w:val="annotation text"/>
    <w:basedOn w:val="Normal"/>
    <w:link w:val="MerknadstekstTegn"/>
    <w:uiPriority w:val="99"/>
    <w:unhideWhenUsed/>
    <w:rsid w:val="00676D08"/>
    <w:pPr>
      <w:widowControl w:val="0"/>
      <w:spacing w:after="0" w:line="240" w:lineRule="auto"/>
      <w:jc w:val="both"/>
    </w:pPr>
    <w:rPr>
      <w:rFonts w:ascii="Arial" w:eastAsia="MS Gothic" w:hAnsi="Arial" w:cs="Times New Roman"/>
      <w:kern w:val="2"/>
      <w:sz w:val="24"/>
      <w:szCs w:val="24"/>
      <w:lang w:eastAsia="ja-JP"/>
    </w:rPr>
  </w:style>
  <w:style w:type="character" w:customStyle="1" w:styleId="MerknadstekstTegn">
    <w:name w:val="Merknadstekst Tegn"/>
    <w:basedOn w:val="Standardskriftforavsnitt"/>
    <w:link w:val="Merknadstekst"/>
    <w:uiPriority w:val="99"/>
    <w:rsid w:val="00676D08"/>
    <w:rPr>
      <w:rFonts w:ascii="Arial" w:eastAsia="MS Gothic" w:hAnsi="Arial" w:cs="Times New Roman"/>
      <w:kern w:val="2"/>
      <w:sz w:val="24"/>
      <w:szCs w:val="24"/>
      <w:lang w:val="nb-NO" w:eastAsia="ja-JP"/>
    </w:rPr>
  </w:style>
  <w:style w:type="paragraph" w:customStyle="1" w:styleId="Default">
    <w:name w:val="Default"/>
    <w:rsid w:val="00676D08"/>
    <w:pPr>
      <w:autoSpaceDE w:val="0"/>
      <w:autoSpaceDN w:val="0"/>
      <w:adjustRightInd w:val="0"/>
      <w:spacing w:after="0" w:line="240" w:lineRule="auto"/>
    </w:pPr>
    <w:rPr>
      <w:rFonts w:ascii="HelveticaNeueLT Pro 45 Lt" w:hAnsi="HelveticaNeueLT Pro 45 Lt" w:cs="HelveticaNeueLT Pro 45 Lt"/>
      <w:color w:val="000000"/>
      <w:sz w:val="24"/>
      <w:szCs w:val="24"/>
      <w:lang w:eastAsia="ja-JP"/>
    </w:rPr>
  </w:style>
  <w:style w:type="character" w:customStyle="1" w:styleId="A8">
    <w:name w:val="A8"/>
    <w:uiPriority w:val="99"/>
    <w:rsid w:val="00676D08"/>
    <w:rPr>
      <w:rFonts w:cs="HelveticaNeueLT Pro 45 Lt"/>
      <w:color w:val="000000"/>
      <w:sz w:val="14"/>
      <w:szCs w:val="14"/>
    </w:rPr>
  </w:style>
  <w:style w:type="character" w:customStyle="1" w:styleId="A11">
    <w:name w:val="A11"/>
    <w:uiPriority w:val="99"/>
    <w:rsid w:val="00676D08"/>
    <w:rPr>
      <w:rFonts w:cs="HelveticaNeueLT Pro 45 Lt"/>
      <w:color w:val="000000"/>
      <w:sz w:val="12"/>
      <w:szCs w:val="12"/>
    </w:rPr>
  </w:style>
  <w:style w:type="paragraph" w:styleId="Topptekst">
    <w:name w:val="header"/>
    <w:basedOn w:val="Normal"/>
    <w:link w:val="TopptekstTegn"/>
    <w:uiPriority w:val="99"/>
    <w:unhideWhenUsed/>
    <w:rsid w:val="00C401C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C401C9"/>
  </w:style>
  <w:style w:type="paragraph" w:styleId="Bunntekst">
    <w:name w:val="footer"/>
    <w:basedOn w:val="Normal"/>
    <w:link w:val="BunntekstTegn"/>
    <w:uiPriority w:val="99"/>
    <w:unhideWhenUsed/>
    <w:rsid w:val="00C401C9"/>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C401C9"/>
  </w:style>
  <w:style w:type="paragraph" w:styleId="Listeavsnitt">
    <w:name w:val="List Paragraph"/>
    <w:basedOn w:val="Normal"/>
    <w:uiPriority w:val="34"/>
    <w:qFormat/>
    <w:rsid w:val="00FC4A3A"/>
    <w:pPr>
      <w:ind w:left="720"/>
      <w:contextualSpacing/>
    </w:pPr>
  </w:style>
  <w:style w:type="character" w:styleId="Merknadsreferanse">
    <w:name w:val="annotation reference"/>
    <w:basedOn w:val="Standardskriftforavsnitt"/>
    <w:uiPriority w:val="99"/>
    <w:semiHidden/>
    <w:unhideWhenUsed/>
    <w:rsid w:val="0034528C"/>
    <w:rPr>
      <w:sz w:val="16"/>
      <w:szCs w:val="16"/>
    </w:rPr>
  </w:style>
  <w:style w:type="paragraph" w:styleId="Kommentaremne">
    <w:name w:val="annotation subject"/>
    <w:basedOn w:val="Merknadstekst"/>
    <w:next w:val="Merknadstekst"/>
    <w:link w:val="KommentaremneTegn"/>
    <w:uiPriority w:val="99"/>
    <w:semiHidden/>
    <w:unhideWhenUsed/>
    <w:rsid w:val="0034528C"/>
    <w:pPr>
      <w:widowControl/>
      <w:spacing w:after="160"/>
      <w:jc w:val="left"/>
    </w:pPr>
    <w:rPr>
      <w:rFonts w:asciiTheme="minorHAnsi" w:eastAsiaTheme="minorHAnsi" w:hAnsiTheme="minorHAnsi" w:cstheme="minorBidi"/>
      <w:b/>
      <w:bCs/>
      <w:kern w:val="0"/>
      <w:sz w:val="20"/>
      <w:szCs w:val="20"/>
      <w:lang w:eastAsia="en-US"/>
    </w:rPr>
  </w:style>
  <w:style w:type="character" w:customStyle="1" w:styleId="KommentaremneTegn">
    <w:name w:val="Kommentaremne Tegn"/>
    <w:basedOn w:val="MerknadstekstTegn"/>
    <w:link w:val="Kommentaremne"/>
    <w:uiPriority w:val="99"/>
    <w:semiHidden/>
    <w:rsid w:val="0034528C"/>
    <w:rPr>
      <w:rFonts w:ascii="Arial" w:eastAsia="MS Gothic" w:hAnsi="Arial" w:cs="Times New Roman"/>
      <w:b/>
      <w:bCs/>
      <w:kern w:val="2"/>
      <w:sz w:val="20"/>
      <w:szCs w:val="20"/>
      <w:lang w:val="nb-NO" w:eastAsia="ja-JP"/>
    </w:rPr>
  </w:style>
  <w:style w:type="paragraph" w:styleId="Bobletekst">
    <w:name w:val="Balloon Text"/>
    <w:basedOn w:val="Normal"/>
    <w:link w:val="BobletekstTegn"/>
    <w:uiPriority w:val="99"/>
    <w:semiHidden/>
    <w:unhideWhenUsed/>
    <w:rsid w:val="0034528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4528C"/>
    <w:rPr>
      <w:rFonts w:ascii="Segoe UI" w:hAnsi="Segoe UI" w:cs="Segoe UI"/>
      <w:sz w:val="18"/>
      <w:szCs w:val="18"/>
    </w:rPr>
  </w:style>
  <w:style w:type="character" w:customStyle="1" w:styleId="apple-converted-space">
    <w:name w:val="apple-converted-space"/>
    <w:rsid w:val="00F608DE"/>
  </w:style>
  <w:style w:type="character" w:styleId="Hyperkobling">
    <w:name w:val="Hyperlink"/>
    <w:uiPriority w:val="99"/>
    <w:unhideWhenUsed/>
    <w:rsid w:val="00F608DE"/>
    <w:rPr>
      <w:color w:val="0563C1"/>
      <w:u w:val="single"/>
    </w:rPr>
  </w:style>
  <w:style w:type="character" w:styleId="Fulgthyperkobling">
    <w:name w:val="FollowedHyperlink"/>
    <w:basedOn w:val="Standardskriftforavsnitt"/>
    <w:uiPriority w:val="99"/>
    <w:semiHidden/>
    <w:unhideWhenUsed/>
    <w:rsid w:val="00E74846"/>
    <w:rPr>
      <w:color w:val="954F72" w:themeColor="followedHyperlink"/>
      <w:u w:val="single"/>
    </w:rPr>
  </w:style>
  <w:style w:type="paragraph" w:customStyle="1" w:styleId="Pa11">
    <w:name w:val="Pa11"/>
    <w:basedOn w:val="Normal"/>
    <w:uiPriority w:val="99"/>
    <w:rsid w:val="00192D76"/>
    <w:pPr>
      <w:autoSpaceDE w:val="0"/>
      <w:autoSpaceDN w:val="0"/>
      <w:spacing w:after="0" w:line="221" w:lineRule="atLeast"/>
    </w:pPr>
    <w:rPr>
      <w:rFonts w:ascii="Myriad Pro" w:hAnsi="Myriad Pro" w:cs="Times New Roman"/>
      <w:sz w:val="24"/>
      <w:szCs w:val="24"/>
      <w:lang w:eastAsia="ja-JP"/>
    </w:rPr>
  </w:style>
  <w:style w:type="paragraph" w:styleId="Revisjon">
    <w:name w:val="Revision"/>
    <w:hidden/>
    <w:uiPriority w:val="99"/>
    <w:semiHidden/>
    <w:rsid w:val="0049591D"/>
    <w:pPr>
      <w:spacing w:after="0" w:line="240" w:lineRule="auto"/>
    </w:pPr>
  </w:style>
  <w:style w:type="character" w:styleId="Sidetall">
    <w:name w:val="page number"/>
    <w:basedOn w:val="Standardskriftforavsnitt"/>
    <w:uiPriority w:val="99"/>
    <w:semiHidden/>
    <w:unhideWhenUsed/>
    <w:rsid w:val="00D57071"/>
  </w:style>
  <w:style w:type="character" w:customStyle="1" w:styleId="Overskrift2Tegn">
    <w:name w:val="Overskrift 2 Tegn"/>
    <w:basedOn w:val="Standardskriftforavsnitt"/>
    <w:link w:val="Overskrift2"/>
    <w:uiPriority w:val="9"/>
    <w:rsid w:val="005C4195"/>
    <w:rPr>
      <w:rFonts w:ascii="Arial" w:eastAsiaTheme="majorEastAsia" w:hAnsi="Arial" w:cs="Arial"/>
      <w:bCs/>
      <w:i/>
    </w:rPr>
  </w:style>
  <w:style w:type="character" w:customStyle="1" w:styleId="Overskrift3Tegn">
    <w:name w:val="Overskrift 3 Tegn"/>
    <w:basedOn w:val="Standardskriftforavsnitt"/>
    <w:link w:val="Overskrift3"/>
    <w:uiPriority w:val="9"/>
    <w:semiHidden/>
    <w:rsid w:val="005C4195"/>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Standardskriftforavsnitt"/>
    <w:uiPriority w:val="99"/>
    <w:rsid w:val="00807263"/>
    <w:rPr>
      <w:color w:val="808080"/>
      <w:shd w:val="clear" w:color="auto" w:fill="E6E6E6"/>
    </w:rPr>
  </w:style>
  <w:style w:type="character" w:customStyle="1" w:styleId="UnresolvedMention2">
    <w:name w:val="Unresolved Mention2"/>
    <w:basedOn w:val="Standardskriftforavsnitt"/>
    <w:uiPriority w:val="99"/>
    <w:rsid w:val="00BE3CA6"/>
    <w:rPr>
      <w:color w:val="808080"/>
      <w:shd w:val="clear" w:color="auto" w:fill="E6E6E6"/>
    </w:rPr>
  </w:style>
  <w:style w:type="character" w:styleId="Ulstomtale">
    <w:name w:val="Unresolved Mention"/>
    <w:basedOn w:val="Standardskriftforavsnitt"/>
    <w:uiPriority w:val="99"/>
    <w:rsid w:val="007B64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88547">
      <w:bodyDiv w:val="1"/>
      <w:marLeft w:val="0"/>
      <w:marRight w:val="0"/>
      <w:marTop w:val="0"/>
      <w:marBottom w:val="0"/>
      <w:divBdr>
        <w:top w:val="none" w:sz="0" w:space="0" w:color="auto"/>
        <w:left w:val="none" w:sz="0" w:space="0" w:color="auto"/>
        <w:bottom w:val="none" w:sz="0" w:space="0" w:color="auto"/>
        <w:right w:val="none" w:sz="0" w:space="0" w:color="auto"/>
      </w:divBdr>
    </w:div>
    <w:div w:id="644243483">
      <w:bodyDiv w:val="1"/>
      <w:marLeft w:val="0"/>
      <w:marRight w:val="0"/>
      <w:marTop w:val="0"/>
      <w:marBottom w:val="0"/>
      <w:divBdr>
        <w:top w:val="none" w:sz="0" w:space="0" w:color="auto"/>
        <w:left w:val="none" w:sz="0" w:space="0" w:color="auto"/>
        <w:bottom w:val="none" w:sz="0" w:space="0" w:color="auto"/>
        <w:right w:val="none" w:sz="0" w:space="0" w:color="auto"/>
      </w:divBdr>
    </w:div>
    <w:div w:id="1242527765">
      <w:bodyDiv w:val="1"/>
      <w:marLeft w:val="0"/>
      <w:marRight w:val="0"/>
      <w:marTop w:val="0"/>
      <w:marBottom w:val="0"/>
      <w:divBdr>
        <w:top w:val="none" w:sz="0" w:space="0" w:color="auto"/>
        <w:left w:val="none" w:sz="0" w:space="0" w:color="auto"/>
        <w:bottom w:val="none" w:sz="0" w:space="0" w:color="auto"/>
        <w:right w:val="none" w:sz="0" w:space="0" w:color="auto"/>
      </w:divBdr>
    </w:div>
    <w:div w:id="1393654800">
      <w:bodyDiv w:val="1"/>
      <w:marLeft w:val="0"/>
      <w:marRight w:val="0"/>
      <w:marTop w:val="0"/>
      <w:marBottom w:val="0"/>
      <w:divBdr>
        <w:top w:val="none" w:sz="0" w:space="0" w:color="auto"/>
        <w:left w:val="none" w:sz="0" w:space="0" w:color="auto"/>
        <w:bottom w:val="none" w:sz="0" w:space="0" w:color="auto"/>
        <w:right w:val="none" w:sz="0" w:space="0" w:color="auto"/>
      </w:divBdr>
    </w:div>
    <w:div w:id="1464301486">
      <w:bodyDiv w:val="1"/>
      <w:marLeft w:val="0"/>
      <w:marRight w:val="0"/>
      <w:marTop w:val="0"/>
      <w:marBottom w:val="0"/>
      <w:divBdr>
        <w:top w:val="none" w:sz="0" w:space="0" w:color="auto"/>
        <w:left w:val="none" w:sz="0" w:space="0" w:color="auto"/>
        <w:bottom w:val="none" w:sz="0" w:space="0" w:color="auto"/>
        <w:right w:val="none" w:sz="0" w:space="0" w:color="auto"/>
      </w:divBdr>
    </w:div>
    <w:div w:id="1482425564">
      <w:bodyDiv w:val="1"/>
      <w:marLeft w:val="0"/>
      <w:marRight w:val="0"/>
      <w:marTop w:val="0"/>
      <w:marBottom w:val="0"/>
      <w:divBdr>
        <w:top w:val="none" w:sz="0" w:space="0" w:color="auto"/>
        <w:left w:val="none" w:sz="0" w:space="0" w:color="auto"/>
        <w:bottom w:val="none" w:sz="0" w:space="0" w:color="auto"/>
        <w:right w:val="none" w:sz="0" w:space="0" w:color="auto"/>
      </w:divBdr>
    </w:div>
    <w:div w:id="148782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ther.no/business-solutions/security-gdp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gdpr.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4B278-4C38-4C5E-AE04-969849E6D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3978</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2018-06-19T06:12:00Z</dcterms:created>
  <dcterms:modified xsi:type="dcterms:W3CDTF">2018-06-19T06:50:00Z</dcterms:modified>
</cp:coreProperties>
</file>