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E7" w:rsidRDefault="00FC06E7" w:rsidP="00FC06E7">
      <w:pPr>
        <w:rPr>
          <w:b/>
          <w:sz w:val="32"/>
          <w:szCs w:val="32"/>
        </w:rPr>
      </w:pPr>
      <w:r w:rsidRPr="00473870"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5760720" cy="653455"/>
            <wp:effectExtent l="19050" t="0" r="0" b="0"/>
            <wp:docPr id="2" name="Bild 1" descr="Pilar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ar-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E7" w:rsidRPr="00BC3EE7" w:rsidRDefault="00FC06E7" w:rsidP="00FC06E7">
      <w:pPr>
        <w:jc w:val="right"/>
        <w:rPr>
          <w:sz w:val="20"/>
          <w:szCs w:val="20"/>
        </w:rPr>
      </w:pPr>
      <w:r w:rsidRPr="00BC3EE7">
        <w:rPr>
          <w:sz w:val="20"/>
          <w:szCs w:val="20"/>
        </w:rPr>
        <w:t>Ynnor AB, oberoende rådgivare för företagens bilar</w:t>
      </w:r>
      <w:r>
        <w:rPr>
          <w:sz w:val="20"/>
          <w:szCs w:val="20"/>
        </w:rPr>
        <w:t>.</w:t>
      </w:r>
    </w:p>
    <w:p w:rsidR="00FC06E7" w:rsidRDefault="00FC06E7" w:rsidP="00FC06E7">
      <w:pPr>
        <w:rPr>
          <w:b/>
          <w:sz w:val="32"/>
          <w:szCs w:val="32"/>
        </w:rPr>
      </w:pPr>
    </w:p>
    <w:p w:rsidR="00FC06E7" w:rsidRPr="00473870" w:rsidRDefault="00FC06E7" w:rsidP="00FC06E7">
      <w:pPr>
        <w:rPr>
          <w:b/>
          <w:sz w:val="24"/>
          <w:szCs w:val="24"/>
        </w:rPr>
      </w:pPr>
      <w:r w:rsidRPr="00473870">
        <w:rPr>
          <w:b/>
          <w:sz w:val="24"/>
          <w:szCs w:val="24"/>
        </w:rPr>
        <w:t>Pressmeddelande 2011-</w:t>
      </w:r>
      <w:r>
        <w:rPr>
          <w:b/>
          <w:sz w:val="24"/>
          <w:szCs w:val="24"/>
        </w:rPr>
        <w:t>07-09</w:t>
      </w:r>
    </w:p>
    <w:p w:rsidR="00066BC2" w:rsidRPr="00BB0367" w:rsidRDefault="00066BC2" w:rsidP="00486672">
      <w:pPr>
        <w:rPr>
          <w:rFonts w:cstheme="minorHAnsi"/>
          <w:b/>
          <w:sz w:val="32"/>
          <w:szCs w:val="32"/>
        </w:rPr>
      </w:pPr>
      <w:r w:rsidRPr="00BB0367">
        <w:rPr>
          <w:rFonts w:cstheme="minorHAnsi"/>
          <w:b/>
          <w:sz w:val="32"/>
          <w:szCs w:val="32"/>
        </w:rPr>
        <w:t>Elbilen dyr för firman – klipp för föraren</w:t>
      </w:r>
    </w:p>
    <w:p w:rsidR="00066BC2" w:rsidRDefault="00066BC2" w:rsidP="00486672">
      <w:pPr>
        <w:rPr>
          <w:rFonts w:cstheme="minorHAnsi"/>
          <w:b/>
        </w:rPr>
      </w:pPr>
    </w:p>
    <w:p w:rsidR="00486672" w:rsidRPr="00066BC2" w:rsidRDefault="00FE66C8" w:rsidP="00486672">
      <w:pPr>
        <w:rPr>
          <w:rFonts w:cstheme="minorHAnsi"/>
          <w:b/>
        </w:rPr>
      </w:pPr>
      <w:r>
        <w:rPr>
          <w:rFonts w:cstheme="minorHAnsi"/>
          <w:b/>
        </w:rPr>
        <w:t xml:space="preserve">Det krävs ett bensinpris på 62 kronor per liter för att </w:t>
      </w:r>
      <w:r w:rsidR="00444077">
        <w:rPr>
          <w:rFonts w:cstheme="minorHAnsi"/>
          <w:b/>
        </w:rPr>
        <w:t xml:space="preserve">de första elbilarna ska vara lönsamma </w:t>
      </w:r>
      <w:r w:rsidR="00534AE3">
        <w:rPr>
          <w:rFonts w:cstheme="minorHAnsi"/>
          <w:b/>
        </w:rPr>
        <w:t xml:space="preserve">för företagen </w:t>
      </w:r>
      <w:r w:rsidR="00444077">
        <w:rPr>
          <w:rFonts w:cstheme="minorHAnsi"/>
          <w:b/>
        </w:rPr>
        <w:t xml:space="preserve">att äga </w:t>
      </w:r>
      <w:r>
        <w:rPr>
          <w:rFonts w:cstheme="minorHAnsi"/>
          <w:b/>
        </w:rPr>
        <w:t xml:space="preserve">jämfört med motsvarande bensinbil. </w:t>
      </w:r>
      <w:r w:rsidR="00486672" w:rsidRPr="00066BC2">
        <w:rPr>
          <w:rFonts w:cstheme="minorHAnsi"/>
          <w:b/>
        </w:rPr>
        <w:t xml:space="preserve">För </w:t>
      </w:r>
      <w:r w:rsidR="00FA1C5C">
        <w:rPr>
          <w:rFonts w:cstheme="minorHAnsi"/>
          <w:b/>
        </w:rPr>
        <w:t>tjänstebils</w:t>
      </w:r>
      <w:r w:rsidR="00486672" w:rsidRPr="00066BC2">
        <w:rPr>
          <w:rFonts w:cstheme="minorHAnsi"/>
          <w:b/>
        </w:rPr>
        <w:t>förarna</w:t>
      </w:r>
      <w:r w:rsidR="006770A9">
        <w:rPr>
          <w:rFonts w:cstheme="minorHAnsi"/>
          <w:b/>
        </w:rPr>
        <w:t xml:space="preserve"> är elbilarna däremot ett klipp. Den som kör över 1 277 mil i tjänsten börjar tjäna (!) pengar. Det här</w:t>
      </w:r>
      <w:r w:rsidR="00066BC2" w:rsidRPr="00066BC2">
        <w:rPr>
          <w:rFonts w:cstheme="minorHAnsi"/>
          <w:b/>
        </w:rPr>
        <w:t xml:space="preserve"> visar Tjänstebilsfaktas uträkningar.</w:t>
      </w:r>
    </w:p>
    <w:p w:rsidR="00486672" w:rsidRDefault="00486672" w:rsidP="00486672">
      <w:pPr>
        <w:rPr>
          <w:rFonts w:cstheme="minorHAnsi"/>
        </w:rPr>
      </w:pPr>
    </w:p>
    <w:p w:rsidR="00486672" w:rsidRDefault="00FA1C5C" w:rsidP="00486672">
      <w:pPr>
        <w:rPr>
          <w:rFonts w:cstheme="minorHAnsi"/>
        </w:rPr>
      </w:pPr>
      <w:r w:rsidRPr="00FA1C5C">
        <w:rPr>
          <w:rFonts w:cstheme="minorHAnsi"/>
        </w:rPr>
        <w:t>I år gör de första ”riktiga” elbilarna entré på den svenska marknaden.</w:t>
      </w:r>
      <w:r w:rsidRPr="00066BC2">
        <w:rPr>
          <w:rFonts w:cstheme="minorHAnsi"/>
          <w:b/>
        </w:rPr>
        <w:t xml:space="preserve"> </w:t>
      </w:r>
      <w:r w:rsidR="00486672" w:rsidRPr="00486672">
        <w:rPr>
          <w:rFonts w:cstheme="minorHAnsi"/>
        </w:rPr>
        <w:t>Först ut (sportbilen Tesla undantagen) är</w:t>
      </w:r>
      <w:r w:rsidR="00486672">
        <w:rPr>
          <w:rFonts w:cstheme="minorHAnsi"/>
        </w:rPr>
        <w:t xml:space="preserve"> </w:t>
      </w:r>
      <w:r w:rsidR="00486672" w:rsidRPr="00486672">
        <w:rPr>
          <w:rFonts w:cstheme="minorHAnsi"/>
        </w:rPr>
        <w:t>minibilen som säljs under tre olika varumärken: Citroën</w:t>
      </w:r>
      <w:r w:rsidR="00486672">
        <w:rPr>
          <w:rFonts w:cstheme="minorHAnsi"/>
        </w:rPr>
        <w:t xml:space="preserve"> </w:t>
      </w:r>
      <w:r w:rsidR="00486672" w:rsidRPr="00486672">
        <w:rPr>
          <w:rFonts w:cstheme="minorHAnsi"/>
        </w:rPr>
        <w:t>C-Zero/Mitsubishi I-Miev/Peugeot Ion. Näst i tur för marknadsintroduktion är Volvo C30 Electric (enbart</w:t>
      </w:r>
      <w:r w:rsidR="00486672">
        <w:rPr>
          <w:rFonts w:cstheme="minorHAnsi"/>
        </w:rPr>
        <w:t xml:space="preserve"> leasing för 15 000 kr/mån), </w:t>
      </w:r>
      <w:r w:rsidR="00486672" w:rsidRPr="00486672">
        <w:rPr>
          <w:rFonts w:cstheme="minorHAnsi"/>
        </w:rPr>
        <w:t>Nissan Leaf</w:t>
      </w:r>
      <w:r w:rsidR="00486672">
        <w:rPr>
          <w:rFonts w:cstheme="minorHAnsi"/>
        </w:rPr>
        <w:t xml:space="preserve"> och Renault Fluence Z.E. </w:t>
      </w:r>
      <w:r w:rsidR="00486672" w:rsidRPr="00486672">
        <w:rPr>
          <w:rFonts w:cstheme="minorHAnsi"/>
        </w:rPr>
        <w:t>Därefter står en rad biltillverkare på tur.</w:t>
      </w:r>
    </w:p>
    <w:p w:rsidR="00486672" w:rsidRPr="00486672" w:rsidRDefault="00486672" w:rsidP="00486672">
      <w:pPr>
        <w:rPr>
          <w:rFonts w:cstheme="minorHAnsi"/>
        </w:rPr>
      </w:pPr>
    </w:p>
    <w:p w:rsidR="00486672" w:rsidRPr="00486672" w:rsidRDefault="00486672" w:rsidP="00486672">
      <w:pPr>
        <w:rPr>
          <w:rFonts w:cstheme="minorHAnsi"/>
        </w:rPr>
      </w:pPr>
      <w:r w:rsidRPr="00486672">
        <w:rPr>
          <w:rFonts w:cstheme="minorHAnsi"/>
        </w:rPr>
        <w:t>Det finns inte så många ta</w:t>
      </w:r>
      <w:r>
        <w:rPr>
          <w:rFonts w:cstheme="minorHAnsi"/>
        </w:rPr>
        <w:t xml:space="preserve">nkställen ännu, men utbyggnaden </w:t>
      </w:r>
      <w:r w:rsidRPr="00486672">
        <w:rPr>
          <w:rFonts w:cstheme="minorHAnsi"/>
        </w:rPr>
        <w:t>är på gång. Men har man egna laddstolpar och rör sig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över begränsade ytor i tätort</w:t>
      </w:r>
      <w:r>
        <w:rPr>
          <w:rFonts w:cstheme="minorHAnsi"/>
        </w:rPr>
        <w:t xml:space="preserve"> (t.ex. kommuners hemtjänst)</w:t>
      </w:r>
      <w:r w:rsidRPr="00486672">
        <w:rPr>
          <w:rFonts w:cstheme="minorHAnsi"/>
        </w:rPr>
        <w:t>, fungerar det.</w:t>
      </w:r>
    </w:p>
    <w:p w:rsidR="00486672" w:rsidRDefault="00486672" w:rsidP="00486672">
      <w:pPr>
        <w:rPr>
          <w:rFonts w:cstheme="minorHAnsi"/>
        </w:rPr>
      </w:pPr>
    </w:p>
    <w:p w:rsidR="00486672" w:rsidRPr="00486672" w:rsidRDefault="00486672" w:rsidP="00486672">
      <w:pPr>
        <w:rPr>
          <w:rFonts w:cstheme="minorHAnsi"/>
        </w:rPr>
      </w:pPr>
      <w:r w:rsidRPr="00486672">
        <w:rPr>
          <w:rFonts w:cstheme="minorHAnsi"/>
        </w:rPr>
        <w:t>Mitsubishi I-Miev blev den första elbilen som Euro Ncap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testade och betyget blev fyra av fem stjärnor. Det gör att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den inte kommer ifråga för re</w:t>
      </w:r>
      <w:r>
        <w:rPr>
          <w:rFonts w:cstheme="minorHAnsi"/>
        </w:rPr>
        <w:t xml:space="preserve">geringens supermiljöbilspremie, </w:t>
      </w:r>
      <w:r w:rsidRPr="00486672">
        <w:rPr>
          <w:rFonts w:cstheme="minorHAnsi"/>
        </w:rPr>
        <w:t>som kräver toppbetyg. Det klarar däremot Nissan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Leaf. Å andra sidan är det inga företag som får del av den</w:t>
      </w:r>
    </w:p>
    <w:p w:rsidR="00486672" w:rsidRDefault="00486672" w:rsidP="00486672">
      <w:pPr>
        <w:rPr>
          <w:rFonts w:cstheme="minorHAnsi"/>
        </w:rPr>
      </w:pPr>
      <w:r w:rsidRPr="00486672">
        <w:rPr>
          <w:rFonts w:cstheme="minorHAnsi"/>
        </w:rPr>
        <w:t>nya miljöbilspremien på 40 000 kronor. Den är reserverad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för privatpersoner.</w:t>
      </w:r>
    </w:p>
    <w:p w:rsidR="00486672" w:rsidRPr="00486672" w:rsidRDefault="00486672" w:rsidP="00486672">
      <w:pPr>
        <w:rPr>
          <w:rFonts w:cstheme="minorHAnsi"/>
        </w:rPr>
      </w:pPr>
    </w:p>
    <w:p w:rsidR="00486672" w:rsidRDefault="00486672" w:rsidP="00486672">
      <w:pPr>
        <w:rPr>
          <w:rFonts w:cstheme="minorHAnsi"/>
        </w:rPr>
      </w:pPr>
      <w:r w:rsidRPr="00486672">
        <w:rPr>
          <w:rFonts w:cstheme="minorHAnsi"/>
        </w:rPr>
        <w:t>Förutom potentiella klimat-</w:t>
      </w:r>
      <w:r>
        <w:rPr>
          <w:rFonts w:cstheme="minorHAnsi"/>
        </w:rPr>
        <w:t xml:space="preserve"> och närmiljövinster, framhålls </w:t>
      </w:r>
      <w:r w:rsidRPr="00486672">
        <w:rPr>
          <w:rFonts w:cstheme="minorHAnsi"/>
        </w:rPr>
        <w:t>ofta elbilarnas låga driftskostnader på cirka 3 kronor per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mil som den stora förde</w:t>
      </w:r>
      <w:r>
        <w:rPr>
          <w:rFonts w:cstheme="minorHAnsi"/>
        </w:rPr>
        <w:t>len framför fossildrivna bilar.</w:t>
      </w:r>
    </w:p>
    <w:p w:rsidR="00486672" w:rsidRDefault="00486672" w:rsidP="00486672">
      <w:pPr>
        <w:rPr>
          <w:rFonts w:cstheme="minorHAnsi"/>
        </w:rPr>
      </w:pPr>
    </w:p>
    <w:p w:rsidR="00486672" w:rsidRDefault="00486672" w:rsidP="00486672">
      <w:pPr>
        <w:rPr>
          <w:rFonts w:cstheme="minorHAnsi"/>
        </w:rPr>
      </w:pPr>
      <w:r w:rsidRPr="00486672">
        <w:rPr>
          <w:rFonts w:cstheme="minorHAnsi"/>
        </w:rPr>
        <w:t>Så långt är allt rätt. Om inte elbilen tankas med kolkraftsel,</w:t>
      </w:r>
      <w:r>
        <w:rPr>
          <w:rFonts w:cstheme="minorHAnsi"/>
        </w:rPr>
        <w:t xml:space="preserve"> förstås.</w:t>
      </w:r>
    </w:p>
    <w:p w:rsidR="00486672" w:rsidRDefault="00486672" w:rsidP="00486672">
      <w:pPr>
        <w:rPr>
          <w:rFonts w:cstheme="minorHAnsi"/>
        </w:rPr>
      </w:pPr>
    </w:p>
    <w:p w:rsidR="00D650BE" w:rsidRDefault="00486672" w:rsidP="00486672">
      <w:pPr>
        <w:rPr>
          <w:rFonts w:cstheme="minorHAnsi"/>
        </w:rPr>
      </w:pPr>
      <w:r w:rsidRPr="00486672">
        <w:rPr>
          <w:rFonts w:cstheme="minorHAnsi"/>
        </w:rPr>
        <w:t>Och inte när man ser till totalkostnaden</w:t>
      </w:r>
      <w:r w:rsidR="00D650BE">
        <w:rPr>
          <w:rFonts w:cstheme="minorHAnsi"/>
        </w:rPr>
        <w:t xml:space="preserve"> (36 månader/7 500 mil, företagsleasing ex. halv moms, restvärde 40%):</w:t>
      </w:r>
    </w:p>
    <w:p w:rsidR="00D650BE" w:rsidRDefault="00D650BE" w:rsidP="00486672">
      <w:pPr>
        <w:rPr>
          <w:rFonts w:cstheme="minorHAnsi"/>
        </w:rPr>
      </w:pPr>
    </w:p>
    <w:tbl>
      <w:tblPr>
        <w:tblW w:w="55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990"/>
        <w:gridCol w:w="1134"/>
        <w:gridCol w:w="1396"/>
      </w:tblGrid>
      <w:tr w:rsidR="001677B2" w:rsidRPr="00696FFB" w:rsidTr="00097D6D">
        <w:trPr>
          <w:trHeight w:val="300"/>
        </w:trPr>
        <w:tc>
          <w:tcPr>
            <w:tcW w:w="5520" w:type="dxa"/>
            <w:gridSpan w:val="3"/>
            <w:tcBorders>
              <w:top w:val="nil"/>
              <w:left w:val="nil"/>
              <w:right w:val="nil"/>
            </w:tcBorders>
            <w:shd w:val="clear" w:color="auto" w:fill="4F6228" w:themeFill="accent3" w:themeFillShade="80"/>
            <w:noWrap/>
            <w:vAlign w:val="bottom"/>
            <w:hideMark/>
          </w:tcPr>
          <w:p w:rsidR="001677B2" w:rsidRPr="00097D6D" w:rsidRDefault="001677B2" w:rsidP="00F65133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lang w:eastAsia="sv-SE"/>
              </w:rPr>
            </w:pPr>
            <w:r w:rsidRPr="00097D6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v-SE"/>
              </w:rPr>
              <w:t xml:space="preserve">TCO-kalkyl </w:t>
            </w:r>
          </w:p>
        </w:tc>
      </w:tr>
      <w:tr w:rsidR="001677B2" w:rsidRPr="00696FFB" w:rsidTr="00F65133">
        <w:trPr>
          <w:trHeight w:val="300"/>
        </w:trPr>
        <w:tc>
          <w:tcPr>
            <w:tcW w:w="29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696FFB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36 mån/7500 mil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, r</w:t>
            </w:r>
            <w:r w:rsidRPr="00696FFB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estvärde 40%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, ex moms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696FFB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Mitsubishi</w:t>
            </w:r>
          </w:p>
        </w:tc>
      </w:tr>
      <w:tr w:rsidR="001677B2" w:rsidRPr="00696FFB" w:rsidTr="00097D6D">
        <w:trPr>
          <w:trHeight w:val="300"/>
        </w:trPr>
        <w:tc>
          <w:tcPr>
            <w:tcW w:w="29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696FFB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Colt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696FFB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I-Miev</w:t>
            </w:r>
          </w:p>
        </w:tc>
      </w:tr>
      <w:tr w:rsidR="001677B2" w:rsidRPr="00696FFB" w:rsidTr="00097D6D">
        <w:trPr>
          <w:trHeight w:val="256"/>
        </w:trPr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Pris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119 900 kr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379 000</w:t>
            </w:r>
          </w:p>
        </w:tc>
      </w:tr>
      <w:tr w:rsidR="001677B2" w:rsidRPr="00696FFB" w:rsidTr="00097D6D">
        <w:trPr>
          <w:trHeight w:val="28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696F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Totalkostnad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696FFB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163 600 kr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307</w:t>
            </w:r>
            <w:r w:rsidRPr="00696FFB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400 kr</w:t>
            </w:r>
          </w:p>
        </w:tc>
      </w:tr>
      <w:tr w:rsidR="001677B2" w:rsidRPr="00696FFB" w:rsidTr="00097D6D">
        <w:trPr>
          <w:trHeight w:val="278"/>
        </w:trPr>
        <w:tc>
          <w:tcPr>
            <w:tcW w:w="2990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696F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Månadskostnad inkl. bränsle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696FFB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4 544 kr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8 539</w:t>
            </w:r>
            <w:r w:rsidRPr="00696FFB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 kr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*</w:t>
            </w:r>
          </w:p>
        </w:tc>
      </w:tr>
      <w:tr w:rsidR="001677B2" w:rsidRPr="00696FFB" w:rsidTr="00097D6D">
        <w:trPr>
          <w:trHeight w:val="282"/>
        </w:trPr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Milkostnad, 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77B2" w:rsidRPr="00696FFB" w:rsidRDefault="001677B2" w:rsidP="00F6513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41</w:t>
            </w:r>
          </w:p>
        </w:tc>
      </w:tr>
      <w:tr w:rsidR="001677B2" w:rsidRPr="00696FFB" w:rsidTr="00097D6D">
        <w:trPr>
          <w:trHeight w:val="390"/>
        </w:trPr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77B2" w:rsidRPr="006F0623" w:rsidRDefault="001677B2" w:rsidP="00F65133">
            <w:pPr>
              <w:spacing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v-SE"/>
              </w:rPr>
              <w:t>* Räknat på förbrukning motsvarande 3 kr/mil.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77B2" w:rsidRPr="00086947" w:rsidRDefault="001677B2" w:rsidP="00F65133">
            <w:pPr>
              <w:jc w:val="right"/>
              <w:rPr>
                <w:i/>
                <w:sz w:val="20"/>
                <w:szCs w:val="20"/>
              </w:rPr>
            </w:pPr>
            <w:r w:rsidRPr="002A7F14">
              <w:rPr>
                <w:i/>
                <w:sz w:val="20"/>
                <w:szCs w:val="20"/>
              </w:rPr>
              <w:t>Källa: Tjänstebilsfakta</w:t>
            </w:r>
          </w:p>
        </w:tc>
      </w:tr>
    </w:tbl>
    <w:p w:rsidR="00486672" w:rsidRDefault="00486672" w:rsidP="00486672">
      <w:pPr>
        <w:rPr>
          <w:rFonts w:cstheme="minorHAnsi"/>
        </w:rPr>
      </w:pPr>
    </w:p>
    <w:p w:rsidR="00486672" w:rsidRDefault="00486672" w:rsidP="00486672">
      <w:pPr>
        <w:rPr>
          <w:rFonts w:cstheme="minorHAnsi"/>
        </w:rPr>
      </w:pPr>
      <w:r>
        <w:rPr>
          <w:rFonts w:cstheme="minorHAnsi"/>
        </w:rPr>
        <w:lastRenderedPageBreak/>
        <w:t>P</w:t>
      </w:r>
      <w:r w:rsidRPr="00486672">
        <w:rPr>
          <w:rFonts w:cstheme="minorHAnsi"/>
        </w:rPr>
        <w:t>å sista raden skiljer det cirka 4 000 kronor per månad.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Det krävs med andra ord ett bensinpris på 62 kronor för att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 xml:space="preserve">elbilen ska vara mer lönsam </w:t>
      </w:r>
      <w:r>
        <w:rPr>
          <w:rFonts w:cstheme="minorHAnsi"/>
        </w:rPr>
        <w:t xml:space="preserve">än elbilen. Eller ett restvärde </w:t>
      </w:r>
      <w:r w:rsidRPr="00486672">
        <w:rPr>
          <w:rFonts w:cstheme="minorHAnsi"/>
        </w:rPr>
        <w:t>på hela 87 %.</w:t>
      </w:r>
    </w:p>
    <w:p w:rsidR="00486672" w:rsidRDefault="00486672" w:rsidP="00486672">
      <w:pPr>
        <w:rPr>
          <w:rFonts w:cstheme="minorHAnsi"/>
        </w:rPr>
      </w:pPr>
    </w:p>
    <w:p w:rsidR="00486672" w:rsidRPr="00486672" w:rsidRDefault="00486672" w:rsidP="00486672">
      <w:pPr>
        <w:rPr>
          <w:rFonts w:cstheme="minorHAnsi"/>
        </w:rPr>
      </w:pPr>
      <w:r w:rsidRPr="00486672">
        <w:rPr>
          <w:rFonts w:cstheme="minorHAnsi"/>
        </w:rPr>
        <w:t>Anledningen är det höga inköpspriset och osäkerheten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kring andrahandsvärdet. Privatmarknaden kommer knappast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stå i kö för att betala 150 000 kr</w:t>
      </w:r>
      <w:r>
        <w:rPr>
          <w:rFonts w:cstheme="minorHAnsi"/>
        </w:rPr>
        <w:t xml:space="preserve">onor för en begagnad elbil vars </w:t>
      </w:r>
      <w:r w:rsidRPr="00486672">
        <w:rPr>
          <w:rFonts w:cstheme="minorHAnsi"/>
        </w:rPr>
        <w:t>bensinmotsva</w:t>
      </w:r>
      <w:r>
        <w:rPr>
          <w:rFonts w:cstheme="minorHAnsi"/>
        </w:rPr>
        <w:t xml:space="preserve">righet då kostar omkring 50 000 </w:t>
      </w:r>
      <w:r w:rsidRPr="00486672">
        <w:rPr>
          <w:rFonts w:cstheme="minorHAnsi"/>
        </w:rPr>
        <w:t>kronor.</w:t>
      </w:r>
    </w:p>
    <w:p w:rsidR="00486672" w:rsidRDefault="00486672" w:rsidP="00486672">
      <w:pPr>
        <w:rPr>
          <w:rFonts w:cstheme="minorHAnsi"/>
        </w:rPr>
      </w:pPr>
    </w:p>
    <w:p w:rsidR="00486672" w:rsidRDefault="00486672" w:rsidP="00486672">
      <w:pPr>
        <w:rPr>
          <w:rFonts w:cstheme="minorHAnsi"/>
        </w:rPr>
      </w:pPr>
      <w:r w:rsidRPr="00486672">
        <w:rPr>
          <w:rFonts w:cstheme="minorHAnsi"/>
        </w:rPr>
        <w:t>Dessutom behövs ett nytt batteri inom ytterligare 5-7 år.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I dag kostar de hundratusentals kronor och priserna kommer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att sjunka, men kostnaden blir än</w:t>
      </w:r>
      <w:r>
        <w:rPr>
          <w:rFonts w:cstheme="minorHAnsi"/>
        </w:rPr>
        <w:t xml:space="preserve">då avsevärd. Den förmodat lägre </w:t>
      </w:r>
      <w:r w:rsidRPr="00486672">
        <w:rPr>
          <w:rFonts w:cstheme="minorHAnsi"/>
        </w:rPr>
        <w:t>servi</w:t>
      </w:r>
      <w:r>
        <w:rPr>
          <w:rFonts w:cstheme="minorHAnsi"/>
        </w:rPr>
        <w:t xml:space="preserve">cekostnaden för en elbil sänker </w:t>
      </w:r>
      <w:r w:rsidRPr="00486672">
        <w:rPr>
          <w:rFonts w:cstheme="minorHAnsi"/>
        </w:rPr>
        <w:t>totalkostnaden med som mest några tusenlappar för he</w:t>
      </w:r>
      <w:r>
        <w:rPr>
          <w:rFonts w:cstheme="minorHAnsi"/>
        </w:rPr>
        <w:t xml:space="preserve">la </w:t>
      </w:r>
      <w:r w:rsidRPr="00486672">
        <w:rPr>
          <w:rFonts w:cstheme="minorHAnsi"/>
        </w:rPr>
        <w:t>innehavet.</w:t>
      </w:r>
    </w:p>
    <w:p w:rsidR="00486672" w:rsidRPr="00486672" w:rsidRDefault="00486672" w:rsidP="00486672">
      <w:pPr>
        <w:rPr>
          <w:rFonts w:cstheme="minorHAnsi"/>
        </w:rPr>
      </w:pPr>
    </w:p>
    <w:p w:rsidR="00486672" w:rsidRDefault="00486672" w:rsidP="00486672">
      <w:pPr>
        <w:rPr>
          <w:rFonts w:cstheme="minorHAnsi"/>
        </w:rPr>
      </w:pPr>
      <w:r w:rsidRPr="00486672">
        <w:rPr>
          <w:rFonts w:cstheme="minorHAnsi"/>
        </w:rPr>
        <w:t>Men för föraren ser elbilskalkylen</w:t>
      </w:r>
      <w:r>
        <w:rPr>
          <w:rFonts w:cstheme="minorHAnsi"/>
        </w:rPr>
        <w:t xml:space="preserve"> helt annorlunda ut. Mitsubishi </w:t>
      </w:r>
      <w:r w:rsidRPr="00486672">
        <w:rPr>
          <w:rFonts w:cstheme="minorHAnsi"/>
        </w:rPr>
        <w:t>I-Miev har ett förmånsvärde på 1 383 kronor, eller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691,50 kronor netto vid 5</w:t>
      </w:r>
      <w:r>
        <w:rPr>
          <w:rFonts w:cstheme="minorHAnsi"/>
        </w:rPr>
        <w:t xml:space="preserve">0 % marginalskatt. Det beräknas </w:t>
      </w:r>
      <w:r w:rsidRPr="00486672">
        <w:rPr>
          <w:rFonts w:cstheme="minorHAnsi"/>
        </w:rPr>
        <w:t>nämligen på priset för motsvarande bensinbil (127 800 kr),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 xml:space="preserve">inte det faktiska priset på </w:t>
      </w:r>
      <w:r>
        <w:rPr>
          <w:rFonts w:cstheme="minorHAnsi"/>
        </w:rPr>
        <w:t xml:space="preserve">379 000 kronor, och föraren har </w:t>
      </w:r>
      <w:r w:rsidRPr="00486672">
        <w:rPr>
          <w:rFonts w:cstheme="minorHAnsi"/>
        </w:rPr>
        <w:t>dessutom 40 % redukti</w:t>
      </w:r>
      <w:r>
        <w:rPr>
          <w:rFonts w:cstheme="minorHAnsi"/>
        </w:rPr>
        <w:t xml:space="preserve">on på förmånsvärdet, åtminstone </w:t>
      </w:r>
      <w:r w:rsidRPr="00486672">
        <w:rPr>
          <w:rFonts w:cstheme="minorHAnsi"/>
        </w:rPr>
        <w:t>till och med utgången av 2013.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Lägg därtill en bränslekostnad på endast cirka 3 kronor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milen och en skattefri milersättning för tjänstekörning på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 xml:space="preserve">9,50 kronor per mil – så </w:t>
      </w:r>
      <w:r>
        <w:rPr>
          <w:rFonts w:cstheme="minorHAnsi"/>
        </w:rPr>
        <w:t xml:space="preserve">får föraren 6,50 kronor netto i </w:t>
      </w:r>
      <w:r w:rsidRPr="00486672">
        <w:rPr>
          <w:rFonts w:cstheme="minorHAnsi"/>
        </w:rPr>
        <w:t>plånboken p</w:t>
      </w:r>
      <w:r>
        <w:rPr>
          <w:rFonts w:cstheme="minorHAnsi"/>
        </w:rPr>
        <w:t>er mil.</w:t>
      </w:r>
    </w:p>
    <w:p w:rsidR="00486672" w:rsidRDefault="00486672" w:rsidP="00486672">
      <w:pPr>
        <w:rPr>
          <w:rFonts w:cstheme="minorHAnsi"/>
        </w:rPr>
      </w:pPr>
    </w:p>
    <w:p w:rsidR="00D9208F" w:rsidRDefault="00486672" w:rsidP="00486672">
      <w:pPr>
        <w:rPr>
          <w:rFonts w:cstheme="minorHAnsi"/>
        </w:rPr>
      </w:pPr>
      <w:r>
        <w:rPr>
          <w:rFonts w:cstheme="minorHAnsi"/>
        </w:rPr>
        <w:t xml:space="preserve">I-Miev blir alltså rena </w:t>
      </w:r>
      <w:r w:rsidRPr="00486672">
        <w:rPr>
          <w:rFonts w:cstheme="minorHAnsi"/>
        </w:rPr>
        <w:t>kassakon vid mer</w:t>
      </w:r>
      <w:r>
        <w:rPr>
          <w:rFonts w:cstheme="minorHAnsi"/>
        </w:rPr>
        <w:t xml:space="preserve"> </w:t>
      </w:r>
      <w:r w:rsidRPr="00486672">
        <w:rPr>
          <w:rFonts w:cstheme="minorHAnsi"/>
        </w:rPr>
        <w:t>än 1 277 tjänstemil per år!</w:t>
      </w:r>
    </w:p>
    <w:p w:rsidR="00FC06E7" w:rsidRDefault="00FC06E7" w:rsidP="00486672">
      <w:pPr>
        <w:rPr>
          <w:rFonts w:cstheme="minorHAnsi"/>
        </w:rPr>
      </w:pPr>
    </w:p>
    <w:p w:rsidR="00FC06E7" w:rsidRDefault="00FC06E7" w:rsidP="00486672">
      <w:pPr>
        <w:rPr>
          <w:rFonts w:cstheme="minorHAnsi"/>
        </w:rPr>
      </w:pPr>
    </w:p>
    <w:p w:rsidR="00FC06E7" w:rsidRDefault="00FC06E7" w:rsidP="00FC06E7">
      <w:pPr>
        <w:pBdr>
          <w:bottom w:val="single" w:sz="6" w:space="1" w:color="auto"/>
        </w:pBdr>
      </w:pPr>
    </w:p>
    <w:p w:rsidR="00FC06E7" w:rsidRPr="00AA2AE0" w:rsidRDefault="00FC06E7" w:rsidP="00FC06E7">
      <w:pPr>
        <w:rPr>
          <w:rFonts w:cstheme="minorHAnsi"/>
        </w:rPr>
      </w:pPr>
      <w:r w:rsidRPr="00381387">
        <w:rPr>
          <w:sz w:val="20"/>
          <w:szCs w:val="20"/>
        </w:rPr>
        <w:t>Tjänstebilsfakta är Sveriges mest kompletta webbtjänst för dig som arbetar strategiskt med ditt företags bil-, finans-, hanterings-, skatte- och policyfrågor.</w:t>
      </w:r>
      <w:r>
        <w:rPr>
          <w:sz w:val="20"/>
          <w:szCs w:val="20"/>
        </w:rPr>
        <w:t xml:space="preserve"> </w:t>
      </w:r>
      <w:r w:rsidRPr="00381387">
        <w:rPr>
          <w:sz w:val="20"/>
          <w:szCs w:val="20"/>
        </w:rPr>
        <w:t>För kommentarer, kontakta Ronny Svensson, vd, 040-699 77 11.</w:t>
      </w:r>
      <w:r>
        <w:rPr>
          <w:sz w:val="20"/>
          <w:szCs w:val="20"/>
        </w:rPr>
        <w:t xml:space="preserve"> </w:t>
      </w:r>
      <w:r w:rsidRPr="00381387">
        <w:rPr>
          <w:sz w:val="20"/>
          <w:szCs w:val="20"/>
        </w:rPr>
        <w:t>Pressbilder</w:t>
      </w:r>
    </w:p>
    <w:sectPr w:rsidR="00FC06E7" w:rsidRPr="00AA2AE0" w:rsidSect="00D9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compat/>
  <w:rsids>
    <w:rsidRoot w:val="00AA2AE0"/>
    <w:rsid w:val="00066BC2"/>
    <w:rsid w:val="00097D6D"/>
    <w:rsid w:val="001677B2"/>
    <w:rsid w:val="0035283B"/>
    <w:rsid w:val="003B6BA5"/>
    <w:rsid w:val="00444077"/>
    <w:rsid w:val="00486672"/>
    <w:rsid w:val="004A083F"/>
    <w:rsid w:val="00534AE3"/>
    <w:rsid w:val="00603D2B"/>
    <w:rsid w:val="006770A9"/>
    <w:rsid w:val="00AA2AE0"/>
    <w:rsid w:val="00BB0367"/>
    <w:rsid w:val="00BE6E85"/>
    <w:rsid w:val="00D650BE"/>
    <w:rsid w:val="00D9208F"/>
    <w:rsid w:val="00FA1C5C"/>
    <w:rsid w:val="00FC06E7"/>
    <w:rsid w:val="00FE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0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0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mikaell</dc:creator>
  <cp:lastModifiedBy>mikaell</cp:lastModifiedBy>
  <cp:revision>10</cp:revision>
  <cp:lastPrinted>2011-07-14T08:12:00Z</cp:lastPrinted>
  <dcterms:created xsi:type="dcterms:W3CDTF">2011-07-08T07:31:00Z</dcterms:created>
  <dcterms:modified xsi:type="dcterms:W3CDTF">2011-07-14T08:18:00Z</dcterms:modified>
</cp:coreProperties>
</file>