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D6" w:rsidRDefault="00E164D6" w:rsidP="00E164D6">
      <w:pPr>
        <w:jc w:val="right"/>
      </w:pPr>
      <w:r w:rsidRPr="00DA35BF">
        <w:rPr>
          <w:noProof/>
          <w:lang w:eastAsia="nb-NO"/>
        </w:rPr>
        <w:drawing>
          <wp:inline distT="0" distB="0" distL="0" distR="0" wp14:anchorId="1C8C82B1" wp14:editId="557E7EF1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D6" w:rsidRPr="00B93DB1" w:rsidRDefault="00E164D6" w:rsidP="00BD271D">
      <w:pPr>
        <w:rPr>
          <w:rFonts w:ascii="Calibri" w:hAnsi="Calibri"/>
        </w:rPr>
      </w:pPr>
    </w:p>
    <w:p w:rsidR="00BD271D" w:rsidRPr="0036217F" w:rsidRDefault="00E164D6" w:rsidP="00BD271D">
      <w:pPr>
        <w:rPr>
          <w:rFonts w:ascii="Calibri" w:hAnsi="Calibri"/>
          <w:b/>
        </w:rPr>
      </w:pPr>
      <w:r w:rsidRPr="0036217F">
        <w:rPr>
          <w:rFonts w:ascii="Calibri" w:hAnsi="Calibri"/>
          <w:b/>
          <w:sz w:val="28"/>
          <w:szCs w:val="28"/>
        </w:rPr>
        <w:t>Konkursene rammer større selskaper</w:t>
      </w:r>
    </w:p>
    <w:p w:rsidR="00293D5B" w:rsidRPr="0036217F" w:rsidRDefault="00043CE1" w:rsidP="00BD271D">
      <w:pPr>
        <w:rPr>
          <w:rFonts w:ascii="Calibri" w:hAnsi="Calibri"/>
          <w:b/>
        </w:rPr>
      </w:pPr>
      <w:r w:rsidRPr="0036217F">
        <w:rPr>
          <w:rFonts w:ascii="Calibri" w:hAnsi="Calibri"/>
          <w:b/>
        </w:rPr>
        <w:t xml:space="preserve">Stadig flere større selskaper går konkurs, ifølge den nyeste Lindorffanalysen. </w:t>
      </w:r>
      <w:r w:rsidR="00293D5B" w:rsidRPr="0036217F">
        <w:rPr>
          <w:rFonts w:ascii="Calibri" w:hAnsi="Calibri"/>
          <w:b/>
        </w:rPr>
        <w:t xml:space="preserve">– Vi ser at </w:t>
      </w:r>
      <w:r w:rsidR="00D3347F" w:rsidRPr="0036217F">
        <w:rPr>
          <w:rFonts w:ascii="Calibri" w:hAnsi="Calibri"/>
          <w:b/>
        </w:rPr>
        <w:t>selskaper</w:t>
      </w:r>
      <w:r w:rsidR="00293D5B" w:rsidRPr="0036217F">
        <w:rPr>
          <w:rFonts w:ascii="Calibri" w:hAnsi="Calibri"/>
          <w:b/>
        </w:rPr>
        <w:t xml:space="preserve"> som må ste</w:t>
      </w:r>
      <w:r w:rsidR="00644B84" w:rsidRPr="0036217F">
        <w:rPr>
          <w:rFonts w:ascii="Calibri" w:hAnsi="Calibri"/>
          <w:b/>
        </w:rPr>
        <w:t xml:space="preserve">nge dørene har </w:t>
      </w:r>
      <w:r w:rsidR="000748C7" w:rsidRPr="0036217F">
        <w:rPr>
          <w:rFonts w:ascii="Calibri" w:hAnsi="Calibri"/>
          <w:b/>
        </w:rPr>
        <w:t xml:space="preserve">langt </w:t>
      </w:r>
      <w:r w:rsidR="00644B84" w:rsidRPr="0036217F">
        <w:rPr>
          <w:rFonts w:ascii="Calibri" w:hAnsi="Calibri"/>
          <w:b/>
        </w:rPr>
        <w:t>flere ansatte enn tidligere.</w:t>
      </w:r>
      <w:r w:rsidR="00632891" w:rsidRPr="0036217F">
        <w:rPr>
          <w:rFonts w:ascii="Calibri" w:hAnsi="Calibri"/>
          <w:b/>
        </w:rPr>
        <w:t xml:space="preserve"> Antallet </w:t>
      </w:r>
      <w:r w:rsidR="00EB5584">
        <w:rPr>
          <w:rFonts w:ascii="Calibri" w:hAnsi="Calibri"/>
          <w:b/>
        </w:rPr>
        <w:t>er</w:t>
      </w:r>
      <w:r w:rsidR="00632891" w:rsidRPr="0036217F">
        <w:rPr>
          <w:rFonts w:ascii="Calibri" w:hAnsi="Calibri"/>
          <w:b/>
        </w:rPr>
        <w:t xml:space="preserve"> nå på et rekordhøyt nivå</w:t>
      </w:r>
      <w:r w:rsidR="00644B84" w:rsidRPr="0036217F">
        <w:rPr>
          <w:rFonts w:ascii="Calibri" w:hAnsi="Calibri"/>
          <w:b/>
        </w:rPr>
        <w:t xml:space="preserve">, sier Anette Willumsen, administrerende direktør i Lindorff. </w:t>
      </w:r>
    </w:p>
    <w:p w:rsidR="00A92669" w:rsidRPr="00B93DB1" w:rsidRDefault="00EB561B" w:rsidP="00BD271D">
      <w:pPr>
        <w:rPr>
          <w:rFonts w:ascii="Calibri" w:hAnsi="Calibri" w:cstheme="minorHAnsi"/>
        </w:rPr>
      </w:pPr>
      <w:r w:rsidRPr="00B93DB1">
        <w:rPr>
          <w:rFonts w:ascii="Calibri" w:hAnsi="Calibri" w:cstheme="minorHAnsi"/>
        </w:rPr>
        <w:t xml:space="preserve">Lindorffanalysen </w:t>
      </w:r>
      <w:r w:rsidR="007812C4" w:rsidRPr="00B93DB1">
        <w:rPr>
          <w:rFonts w:ascii="Calibri" w:hAnsi="Calibri" w:cstheme="minorHAnsi"/>
        </w:rPr>
        <w:t xml:space="preserve">gir et innblikk i gjeldsutviklingen relatert til mislighold og konkurser </w:t>
      </w:r>
      <w:r w:rsidR="00450125" w:rsidRPr="00B93DB1">
        <w:rPr>
          <w:rFonts w:ascii="Calibri" w:hAnsi="Calibri" w:cstheme="minorHAnsi"/>
        </w:rPr>
        <w:t xml:space="preserve">blant norske aksjeselskaper. </w:t>
      </w:r>
      <w:r w:rsidR="00171C5F">
        <w:rPr>
          <w:rFonts w:ascii="Calibri" w:hAnsi="Calibri" w:cstheme="minorHAnsi"/>
        </w:rPr>
        <w:br/>
      </w:r>
      <w:r w:rsidR="00171C5F">
        <w:rPr>
          <w:rFonts w:ascii="Calibri" w:hAnsi="Calibri" w:cstheme="minorHAnsi"/>
        </w:rPr>
        <w:br/>
      </w:r>
      <w:r w:rsidR="00486A89" w:rsidRPr="00B93DB1">
        <w:rPr>
          <w:rFonts w:ascii="Calibri" w:hAnsi="Calibri" w:cstheme="minorHAnsi"/>
        </w:rPr>
        <w:t xml:space="preserve">I første kvartal 2017 var det i snitt 7,5 ansatte </w:t>
      </w:r>
      <w:r w:rsidR="0005684D">
        <w:rPr>
          <w:rFonts w:ascii="Calibri" w:hAnsi="Calibri" w:cstheme="minorHAnsi"/>
        </w:rPr>
        <w:t xml:space="preserve">som måtte gå </w:t>
      </w:r>
      <w:r w:rsidR="00A4013B" w:rsidRPr="00B93DB1">
        <w:rPr>
          <w:rFonts w:ascii="Calibri" w:hAnsi="Calibri" w:cstheme="minorHAnsi"/>
        </w:rPr>
        <w:t xml:space="preserve">i de konkursrammede selskapene </w:t>
      </w:r>
      <w:r w:rsidR="00486A89" w:rsidRPr="00B93DB1">
        <w:rPr>
          <w:rFonts w:ascii="Calibri" w:hAnsi="Calibri" w:cstheme="minorHAnsi"/>
        </w:rPr>
        <w:t>på landsb</w:t>
      </w:r>
      <w:r w:rsidR="00A4013B" w:rsidRPr="00B93DB1">
        <w:rPr>
          <w:rFonts w:ascii="Calibri" w:hAnsi="Calibri" w:cstheme="minorHAnsi"/>
        </w:rPr>
        <w:t>asis.</w:t>
      </w:r>
      <w:r w:rsidR="00480A18" w:rsidRPr="00B93DB1">
        <w:rPr>
          <w:rFonts w:ascii="Calibri" w:hAnsi="Calibri" w:cstheme="minorHAnsi"/>
        </w:rPr>
        <w:t xml:space="preserve"> </w:t>
      </w:r>
      <w:r w:rsidR="003537EE" w:rsidRPr="00B93DB1">
        <w:rPr>
          <w:rFonts w:ascii="Calibri" w:hAnsi="Calibri" w:cstheme="minorHAnsi"/>
        </w:rPr>
        <w:t xml:space="preserve">Til sammenligning var det </w:t>
      </w:r>
      <w:r w:rsidR="00A92669" w:rsidRPr="00B93DB1">
        <w:rPr>
          <w:rFonts w:ascii="Calibri" w:hAnsi="Calibri" w:cstheme="minorHAnsi"/>
        </w:rPr>
        <w:t>4,6 ansatte i første kvartal 2016, og</w:t>
      </w:r>
      <w:r w:rsidR="00B93DB1">
        <w:rPr>
          <w:rFonts w:ascii="Calibri" w:hAnsi="Calibri" w:cstheme="minorHAnsi"/>
        </w:rPr>
        <w:t xml:space="preserve"> én</w:t>
      </w:r>
      <w:r w:rsidR="00C302EE" w:rsidRPr="00B93DB1">
        <w:rPr>
          <w:rFonts w:ascii="Calibri" w:hAnsi="Calibri" w:cstheme="minorHAnsi"/>
        </w:rPr>
        <w:t xml:space="preserve"> ansatt i samme periode </w:t>
      </w:r>
      <w:r w:rsidR="004149F6" w:rsidRPr="00B93DB1">
        <w:rPr>
          <w:rFonts w:ascii="Calibri" w:hAnsi="Calibri" w:cstheme="minorHAnsi"/>
        </w:rPr>
        <w:t>i 2014.</w:t>
      </w:r>
      <w:r w:rsidR="00C56D84" w:rsidRPr="00B93DB1">
        <w:rPr>
          <w:rFonts w:ascii="Calibri" w:hAnsi="Calibri" w:cstheme="minorHAnsi"/>
        </w:rPr>
        <w:t xml:space="preserve"> </w:t>
      </w:r>
      <w:r w:rsidR="00B93DB1" w:rsidRPr="00B93DB1">
        <w:rPr>
          <w:rFonts w:ascii="Calibri" w:hAnsi="Calibri" w:cstheme="minorHAnsi"/>
        </w:rPr>
        <w:t xml:space="preserve">I kjølvannet av dot.com-krisen </w:t>
      </w:r>
      <w:r w:rsidR="0013661C">
        <w:rPr>
          <w:rFonts w:ascii="Calibri" w:hAnsi="Calibri" w:cstheme="minorHAnsi"/>
        </w:rPr>
        <w:t xml:space="preserve">i 2002 </w:t>
      </w:r>
      <w:r w:rsidR="00B93DB1" w:rsidRPr="00B93DB1">
        <w:rPr>
          <w:rFonts w:ascii="Calibri" w:hAnsi="Calibri" w:cstheme="minorHAnsi"/>
        </w:rPr>
        <w:t>og under finanskrisen</w:t>
      </w:r>
      <w:r w:rsidR="0013661C">
        <w:rPr>
          <w:rFonts w:ascii="Calibri" w:hAnsi="Calibri" w:cstheme="minorHAnsi"/>
        </w:rPr>
        <w:t xml:space="preserve"> i 2009</w:t>
      </w:r>
      <w:r w:rsidR="00B93DB1" w:rsidRPr="00B93DB1">
        <w:rPr>
          <w:rFonts w:ascii="Calibri" w:hAnsi="Calibri" w:cstheme="minorHAnsi"/>
        </w:rPr>
        <w:t xml:space="preserve"> </w:t>
      </w:r>
      <w:r w:rsidR="00B93DB1">
        <w:rPr>
          <w:rFonts w:ascii="Calibri" w:hAnsi="Calibri" w:cstheme="minorHAnsi"/>
        </w:rPr>
        <w:t>lå snittet på rundt tre ansatte,</w:t>
      </w:r>
      <w:r w:rsidR="0013661C">
        <w:rPr>
          <w:rFonts w:ascii="Calibri" w:hAnsi="Calibri" w:cstheme="minorHAnsi"/>
        </w:rPr>
        <w:t xml:space="preserve"> som er det nest høyeste nivået de femten siste årene. </w:t>
      </w:r>
    </w:p>
    <w:p w:rsidR="00454096" w:rsidRDefault="004B0649" w:rsidP="004B0649">
      <w:pPr>
        <w:tabs>
          <w:tab w:val="left" w:pos="1845"/>
        </w:tabs>
        <w:rPr>
          <w:rFonts w:ascii="Calibri" w:hAnsi="Calibri" w:cstheme="minorHAnsi"/>
        </w:rPr>
      </w:pPr>
      <w:r w:rsidRPr="004B0649">
        <w:rPr>
          <w:rFonts w:ascii="Calibri" w:hAnsi="Calibri" w:cstheme="minorHAnsi"/>
          <w:b/>
        </w:rPr>
        <w:t>– Krever omstilling</w:t>
      </w:r>
      <w:r w:rsidR="001B7B47">
        <w:rPr>
          <w:rFonts w:ascii="Calibri" w:hAnsi="Calibri" w:cstheme="minorHAnsi"/>
          <w:b/>
        </w:rPr>
        <w:t xml:space="preserve"> i næringslivet</w:t>
      </w:r>
      <w:r w:rsidRPr="004B0649">
        <w:rPr>
          <w:rFonts w:ascii="Calibri" w:hAnsi="Calibri" w:cstheme="minorHAnsi"/>
        </w:rPr>
        <w:br/>
      </w:r>
      <w:r w:rsidR="00D83060" w:rsidRPr="004B0649">
        <w:rPr>
          <w:rFonts w:ascii="Calibri" w:hAnsi="Calibri" w:cstheme="minorHAnsi"/>
        </w:rPr>
        <w:t>–</w:t>
      </w:r>
      <w:r w:rsidR="00D83060" w:rsidRPr="004B0649">
        <w:rPr>
          <w:rFonts w:cstheme="minorHAnsi"/>
        </w:rPr>
        <w:t xml:space="preserve"> </w:t>
      </w:r>
      <w:r w:rsidR="00CB7E6C" w:rsidRPr="004B0649">
        <w:rPr>
          <w:rFonts w:ascii="Calibri" w:hAnsi="Calibri" w:cstheme="minorHAnsi"/>
        </w:rPr>
        <w:t xml:space="preserve">Utviklingen vitner om at en </w:t>
      </w:r>
      <w:r w:rsidR="007D6F5D" w:rsidRPr="004B0649">
        <w:rPr>
          <w:rFonts w:ascii="Calibri" w:hAnsi="Calibri" w:cstheme="minorHAnsi"/>
        </w:rPr>
        <w:t>betydelig</w:t>
      </w:r>
      <w:r w:rsidR="00CB7E6C" w:rsidRPr="004B0649">
        <w:rPr>
          <w:rFonts w:ascii="Calibri" w:hAnsi="Calibri" w:cstheme="minorHAnsi"/>
        </w:rPr>
        <w:t xml:space="preserve"> andel av selskapene som går konkurs nå, gjør dette på grunn av endringene i økonomien</w:t>
      </w:r>
      <w:r w:rsidR="00454096" w:rsidRPr="004B0649">
        <w:rPr>
          <w:rFonts w:ascii="Calibri" w:hAnsi="Calibri" w:cstheme="minorHAnsi"/>
        </w:rPr>
        <w:t xml:space="preserve">, som en følge av </w:t>
      </w:r>
      <w:r w:rsidR="002F1CB5" w:rsidRPr="004B0649">
        <w:rPr>
          <w:rFonts w:ascii="Calibri" w:hAnsi="Calibri" w:cstheme="minorHAnsi"/>
        </w:rPr>
        <w:t>nedturen i petroleumsbransjen</w:t>
      </w:r>
      <w:r w:rsidR="00454096" w:rsidRPr="004B0649">
        <w:rPr>
          <w:rFonts w:ascii="Calibri" w:hAnsi="Calibri" w:cstheme="minorHAnsi"/>
        </w:rPr>
        <w:t xml:space="preserve">. </w:t>
      </w:r>
      <w:r w:rsidR="0080072A">
        <w:rPr>
          <w:rFonts w:ascii="Calibri" w:hAnsi="Calibri" w:cstheme="minorHAnsi"/>
        </w:rPr>
        <w:t>Det kan se ut til at o</w:t>
      </w:r>
      <w:r w:rsidR="00454096" w:rsidRPr="004B0649">
        <w:rPr>
          <w:rFonts w:ascii="Calibri" w:hAnsi="Calibri" w:cstheme="minorHAnsi"/>
        </w:rPr>
        <w:t xml:space="preserve">ljeprisfallet rammer </w:t>
      </w:r>
      <w:r w:rsidR="00FB1CF0" w:rsidRPr="004B0649">
        <w:rPr>
          <w:rFonts w:ascii="Calibri" w:hAnsi="Calibri" w:cstheme="minorHAnsi"/>
        </w:rPr>
        <w:t xml:space="preserve">større </w:t>
      </w:r>
      <w:r w:rsidR="00CD6164">
        <w:rPr>
          <w:rFonts w:ascii="Calibri" w:hAnsi="Calibri" w:cstheme="minorHAnsi"/>
        </w:rPr>
        <w:t xml:space="preserve">virksomheter </w:t>
      </w:r>
      <w:r w:rsidR="00454096" w:rsidRPr="004B0649">
        <w:rPr>
          <w:rFonts w:ascii="Calibri" w:hAnsi="Calibri" w:cstheme="minorHAnsi"/>
        </w:rPr>
        <w:t xml:space="preserve">hardere enn </w:t>
      </w:r>
      <w:r w:rsidR="006A748A" w:rsidRPr="004B0649">
        <w:rPr>
          <w:rFonts w:ascii="Calibri" w:hAnsi="Calibri" w:cstheme="minorHAnsi"/>
        </w:rPr>
        <w:t xml:space="preserve">det som var tilfelle under </w:t>
      </w:r>
      <w:r w:rsidR="00454096" w:rsidRPr="004B0649">
        <w:rPr>
          <w:rFonts w:ascii="Calibri" w:hAnsi="Calibri" w:cstheme="minorHAnsi"/>
        </w:rPr>
        <w:t>dot.com-</w:t>
      </w:r>
      <w:r w:rsidR="006A748A" w:rsidRPr="004B0649">
        <w:rPr>
          <w:rFonts w:ascii="Calibri" w:hAnsi="Calibri" w:cstheme="minorHAnsi"/>
        </w:rPr>
        <w:t xml:space="preserve"> og</w:t>
      </w:r>
      <w:r w:rsidR="00454096" w:rsidRPr="004B0649">
        <w:rPr>
          <w:rFonts w:ascii="Calibri" w:hAnsi="Calibri" w:cstheme="minorHAnsi"/>
        </w:rPr>
        <w:t xml:space="preserve"> finanskrisen</w:t>
      </w:r>
      <w:r w:rsidR="00D82139" w:rsidRPr="004B0649">
        <w:rPr>
          <w:rFonts w:ascii="Calibri" w:hAnsi="Calibri" w:cstheme="minorHAnsi"/>
        </w:rPr>
        <w:t xml:space="preserve">. </w:t>
      </w:r>
      <w:r w:rsidR="00AF43A2" w:rsidRPr="004B0649">
        <w:rPr>
          <w:rFonts w:ascii="Calibri" w:hAnsi="Calibri" w:cstheme="minorHAnsi"/>
        </w:rPr>
        <w:t xml:space="preserve">Som en konsekvens </w:t>
      </w:r>
      <w:r w:rsidR="002F1CB5" w:rsidRPr="004B0649">
        <w:rPr>
          <w:rFonts w:ascii="Calibri" w:hAnsi="Calibri" w:cstheme="minorHAnsi"/>
        </w:rPr>
        <w:t xml:space="preserve">er det en </w:t>
      </w:r>
      <w:r w:rsidR="00851BE6" w:rsidRPr="004B0649">
        <w:rPr>
          <w:rFonts w:ascii="Calibri" w:hAnsi="Calibri" w:cstheme="minorHAnsi"/>
        </w:rPr>
        <w:t>markant</w:t>
      </w:r>
      <w:r w:rsidR="002F1CB5" w:rsidRPr="004B0649">
        <w:rPr>
          <w:rFonts w:ascii="Calibri" w:hAnsi="Calibri" w:cstheme="minorHAnsi"/>
        </w:rPr>
        <w:t xml:space="preserve"> økning i antall medarbeidere som må gå i </w:t>
      </w:r>
      <w:r w:rsidR="00FB1CF0" w:rsidRPr="004B0649">
        <w:rPr>
          <w:rFonts w:ascii="Calibri" w:hAnsi="Calibri" w:cstheme="minorHAnsi"/>
        </w:rPr>
        <w:t xml:space="preserve">de store </w:t>
      </w:r>
      <w:r w:rsidR="007D6F5D" w:rsidRPr="004B0649">
        <w:rPr>
          <w:rFonts w:ascii="Calibri" w:hAnsi="Calibri" w:cstheme="minorHAnsi"/>
        </w:rPr>
        <w:t>selskapene</w:t>
      </w:r>
      <w:r w:rsidR="003E7FBB" w:rsidRPr="004B0649">
        <w:rPr>
          <w:rFonts w:ascii="Calibri" w:hAnsi="Calibri" w:cstheme="minorHAnsi"/>
        </w:rPr>
        <w:t>, sier Willumsen.</w:t>
      </w:r>
    </w:p>
    <w:p w:rsidR="0094051A" w:rsidRPr="004B0649" w:rsidRDefault="0094051A" w:rsidP="004B0649">
      <w:pPr>
        <w:tabs>
          <w:tab w:val="left" w:pos="1845"/>
        </w:tabs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Tendensen er </w:t>
      </w:r>
      <w:r w:rsidR="004976CE">
        <w:rPr>
          <w:rFonts w:ascii="Calibri" w:hAnsi="Calibri" w:cstheme="minorHAnsi"/>
        </w:rPr>
        <w:t>landsomfattende</w:t>
      </w:r>
      <w:r>
        <w:rPr>
          <w:rFonts w:ascii="Calibri" w:hAnsi="Calibri" w:cstheme="minorHAnsi"/>
        </w:rPr>
        <w:t xml:space="preserve">, ifølge Lindorffanalysen. </w:t>
      </w:r>
    </w:p>
    <w:p w:rsidR="00195BFA" w:rsidRDefault="0094051A" w:rsidP="00D83060">
      <w:pPr>
        <w:tabs>
          <w:tab w:val="left" w:pos="1845"/>
        </w:tabs>
        <w:rPr>
          <w:rFonts w:ascii="Calibri" w:hAnsi="Calibri" w:cstheme="minorHAnsi"/>
        </w:rPr>
      </w:pPr>
      <w:r w:rsidRPr="0094051A">
        <w:rPr>
          <w:rFonts w:ascii="Calibri" w:hAnsi="Calibri" w:cstheme="minorHAnsi"/>
        </w:rPr>
        <w:t>–</w:t>
      </w:r>
      <w:r>
        <w:rPr>
          <w:rFonts w:ascii="Calibri" w:hAnsi="Calibri" w:cstheme="minorHAnsi"/>
        </w:rPr>
        <w:t xml:space="preserve"> </w:t>
      </w:r>
      <w:r w:rsidRPr="0094051A">
        <w:rPr>
          <w:rFonts w:ascii="Calibri" w:hAnsi="Calibri" w:cstheme="minorHAnsi"/>
        </w:rPr>
        <w:t xml:space="preserve">Overordnet ser vi </w:t>
      </w:r>
      <w:r>
        <w:rPr>
          <w:rFonts w:ascii="Calibri" w:hAnsi="Calibri" w:cstheme="minorHAnsi"/>
        </w:rPr>
        <w:t>at lavkonjunkturen initiert av oljenedturen gir utslag i hele økonomien</w:t>
      </w:r>
      <w:r w:rsidR="00A231B7">
        <w:rPr>
          <w:rFonts w:ascii="Calibri" w:hAnsi="Calibri" w:cstheme="minorHAnsi"/>
        </w:rPr>
        <w:t>, og ikke bare næringslivet på Sør-Vestlandet</w:t>
      </w:r>
      <w:bookmarkStart w:id="0" w:name="_GoBack"/>
      <w:bookmarkEnd w:id="0"/>
      <w:r>
        <w:rPr>
          <w:rFonts w:ascii="Calibri" w:hAnsi="Calibri" w:cstheme="minorHAnsi"/>
        </w:rPr>
        <w:t>. Dette</w:t>
      </w:r>
      <w:r w:rsidR="00195BFA">
        <w:rPr>
          <w:rFonts w:ascii="Calibri" w:hAnsi="Calibri" w:cstheme="minorHAnsi"/>
        </w:rPr>
        <w:t xml:space="preserve"> sender signaler om et økt behov for omstilling i norsk næringsliv, sier </w:t>
      </w:r>
      <w:r w:rsidR="001E3B69">
        <w:rPr>
          <w:rFonts w:ascii="Calibri" w:hAnsi="Calibri" w:cstheme="minorHAnsi"/>
        </w:rPr>
        <w:t>Willumsen</w:t>
      </w:r>
      <w:r w:rsidR="00195BFA">
        <w:rPr>
          <w:rFonts w:ascii="Calibri" w:hAnsi="Calibri" w:cstheme="minorHAnsi"/>
        </w:rPr>
        <w:t>.</w:t>
      </w:r>
    </w:p>
    <w:p w:rsidR="00454096" w:rsidRPr="00400A30" w:rsidRDefault="009120E6" w:rsidP="00400A30">
      <w:pPr>
        <w:tabs>
          <w:tab w:val="left" w:pos="1845"/>
        </w:tabs>
        <w:rPr>
          <w:rFonts w:ascii="Calibri" w:hAnsi="Calibri" w:cstheme="minorHAnsi"/>
        </w:rPr>
      </w:pPr>
      <w:r w:rsidRPr="00D83060">
        <w:rPr>
          <w:rFonts w:ascii="Calibri" w:hAnsi="Calibri" w:cstheme="minorHAnsi"/>
        </w:rPr>
        <w:t>–</w:t>
      </w:r>
      <w:r>
        <w:rPr>
          <w:rFonts w:ascii="Calibri" w:hAnsi="Calibri" w:cstheme="minorHAnsi"/>
        </w:rPr>
        <w:t xml:space="preserve"> </w:t>
      </w:r>
      <w:r w:rsidR="00400A30">
        <w:rPr>
          <w:rFonts w:ascii="Calibri" w:hAnsi="Calibri" w:cstheme="minorHAnsi"/>
        </w:rPr>
        <w:t xml:space="preserve">For noen år siden så </w:t>
      </w:r>
      <w:r w:rsidR="00BB3B6E">
        <w:rPr>
          <w:rFonts w:ascii="Calibri" w:hAnsi="Calibri" w:cstheme="minorHAnsi"/>
        </w:rPr>
        <w:t>situasjonen</w:t>
      </w:r>
      <w:r w:rsidR="00400A30">
        <w:rPr>
          <w:rFonts w:ascii="Calibri" w:hAnsi="Calibri" w:cstheme="minorHAnsi"/>
        </w:rPr>
        <w:t xml:space="preserve"> ganske annerledes ut. Da kom hoveddelen av konkursene fra små, relativt </w:t>
      </w:r>
      <w:r w:rsidR="004D3364">
        <w:rPr>
          <w:rFonts w:ascii="Calibri" w:hAnsi="Calibri" w:cstheme="minorHAnsi"/>
        </w:rPr>
        <w:t>nystartede</w:t>
      </w:r>
      <w:r w:rsidR="00400A30">
        <w:rPr>
          <w:rFonts w:ascii="Calibri" w:hAnsi="Calibri" w:cstheme="minorHAnsi"/>
        </w:rPr>
        <w:t xml:space="preserve"> selskaper</w:t>
      </w:r>
      <w:r w:rsidR="00CD6164">
        <w:rPr>
          <w:rFonts w:ascii="Calibri" w:hAnsi="Calibri" w:cstheme="minorHAnsi"/>
        </w:rPr>
        <w:t xml:space="preserve">, </w:t>
      </w:r>
      <w:r>
        <w:rPr>
          <w:rFonts w:ascii="Calibri" w:hAnsi="Calibri" w:cstheme="minorHAnsi"/>
        </w:rPr>
        <w:t xml:space="preserve">sier </w:t>
      </w:r>
      <w:r w:rsidR="001E3B69">
        <w:rPr>
          <w:rFonts w:ascii="Calibri" w:hAnsi="Calibri" w:cstheme="minorHAnsi"/>
        </w:rPr>
        <w:t>hun</w:t>
      </w:r>
      <w:r>
        <w:rPr>
          <w:rFonts w:ascii="Calibri" w:hAnsi="Calibri" w:cstheme="minorHAnsi"/>
        </w:rPr>
        <w:t>.</w:t>
      </w:r>
      <w:r w:rsidR="00195BFA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 </w:t>
      </w:r>
    </w:p>
    <w:p w:rsidR="008E12C9" w:rsidRDefault="00710B08" w:rsidP="00D83060">
      <w:pPr>
        <w:tabs>
          <w:tab w:val="left" w:pos="1845"/>
        </w:tabs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Konkursøkning på nærmere ti prosent</w:t>
      </w:r>
      <w:r>
        <w:rPr>
          <w:rFonts w:ascii="Calibri" w:hAnsi="Calibri" w:cstheme="minorHAnsi"/>
        </w:rPr>
        <w:br/>
      </w:r>
      <w:r w:rsidR="00FB49D6">
        <w:rPr>
          <w:rFonts w:ascii="Calibri" w:hAnsi="Calibri" w:cstheme="minorHAnsi"/>
        </w:rPr>
        <w:t>Antall konkurser øker også</w:t>
      </w:r>
      <w:r w:rsidR="00311C37">
        <w:rPr>
          <w:rFonts w:ascii="Calibri" w:hAnsi="Calibri" w:cstheme="minorHAnsi"/>
        </w:rPr>
        <w:t>.</w:t>
      </w:r>
      <w:r w:rsidR="00FB49D6">
        <w:rPr>
          <w:rFonts w:ascii="Calibri" w:hAnsi="Calibri" w:cstheme="minorHAnsi"/>
        </w:rPr>
        <w:t xml:space="preserve"> 1005 aksjeselskaper </w:t>
      </w:r>
      <w:r w:rsidR="00B82970">
        <w:rPr>
          <w:rFonts w:ascii="Calibri" w:hAnsi="Calibri" w:cstheme="minorHAnsi"/>
        </w:rPr>
        <w:t>ble avviklet</w:t>
      </w:r>
      <w:r w:rsidR="004548B5">
        <w:rPr>
          <w:rFonts w:ascii="Calibri" w:hAnsi="Calibri" w:cstheme="minorHAnsi"/>
        </w:rPr>
        <w:t xml:space="preserve"> på landsbasis</w:t>
      </w:r>
      <w:r w:rsidR="0071647C">
        <w:rPr>
          <w:rFonts w:ascii="Calibri" w:hAnsi="Calibri" w:cstheme="minorHAnsi"/>
        </w:rPr>
        <w:t xml:space="preserve"> i første kvartal</w:t>
      </w:r>
      <w:r w:rsidR="00FB49D6">
        <w:rPr>
          <w:rFonts w:ascii="Calibri" w:hAnsi="Calibri" w:cstheme="minorHAnsi"/>
        </w:rPr>
        <w:t xml:space="preserve">, mot </w:t>
      </w:r>
      <w:r w:rsidR="0071647C">
        <w:rPr>
          <w:rFonts w:ascii="Calibri" w:hAnsi="Calibri" w:cstheme="minorHAnsi"/>
        </w:rPr>
        <w:t xml:space="preserve">917 samme periode </w:t>
      </w:r>
      <w:r w:rsidR="00725197">
        <w:rPr>
          <w:rFonts w:ascii="Calibri" w:hAnsi="Calibri" w:cstheme="minorHAnsi"/>
        </w:rPr>
        <w:t xml:space="preserve">i fjor, noe som er en økning på </w:t>
      </w:r>
      <w:r w:rsidR="003C37F4">
        <w:rPr>
          <w:rFonts w:ascii="Calibri" w:hAnsi="Calibri" w:cstheme="minorHAnsi"/>
        </w:rPr>
        <w:t xml:space="preserve">9,6 prosent. </w:t>
      </w:r>
      <w:r w:rsidR="00DE421F">
        <w:rPr>
          <w:rFonts w:ascii="Calibri" w:hAnsi="Calibri" w:cstheme="minorHAnsi"/>
        </w:rPr>
        <w:t xml:space="preserve">I samme periode </w:t>
      </w:r>
      <w:r w:rsidR="00D55B25">
        <w:rPr>
          <w:rFonts w:ascii="Calibri" w:hAnsi="Calibri" w:cstheme="minorHAnsi"/>
        </w:rPr>
        <w:t xml:space="preserve">hadde aksjeselskapene 123.184 betalingsanmerkninger totalt – en </w:t>
      </w:r>
      <w:r w:rsidR="003B5931">
        <w:rPr>
          <w:rFonts w:ascii="Calibri" w:hAnsi="Calibri" w:cstheme="minorHAnsi"/>
        </w:rPr>
        <w:t>økning</w:t>
      </w:r>
      <w:r w:rsidR="00D55B25">
        <w:rPr>
          <w:rFonts w:ascii="Calibri" w:hAnsi="Calibri" w:cstheme="minorHAnsi"/>
        </w:rPr>
        <w:t xml:space="preserve"> på </w:t>
      </w:r>
      <w:r w:rsidR="003B5931">
        <w:rPr>
          <w:rFonts w:ascii="Calibri" w:hAnsi="Calibri" w:cstheme="minorHAnsi"/>
        </w:rPr>
        <w:t xml:space="preserve">1,2 prosent. </w:t>
      </w:r>
    </w:p>
    <w:p w:rsidR="00DA6A78" w:rsidRDefault="001D30B0" w:rsidP="00D83060">
      <w:pPr>
        <w:tabs>
          <w:tab w:val="left" w:pos="1845"/>
        </w:tabs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Videre har </w:t>
      </w:r>
      <w:r w:rsidR="00A2418E">
        <w:rPr>
          <w:rFonts w:ascii="Calibri" w:hAnsi="Calibri" w:cstheme="minorHAnsi"/>
        </w:rPr>
        <w:t>4459</w:t>
      </w:r>
      <w:r w:rsidR="0071647C">
        <w:rPr>
          <w:rFonts w:ascii="Calibri" w:hAnsi="Calibri" w:cstheme="minorHAnsi"/>
        </w:rPr>
        <w:t xml:space="preserve"> selskaper </w:t>
      </w:r>
      <w:r w:rsidR="00700F4C">
        <w:rPr>
          <w:rFonts w:ascii="Calibri" w:hAnsi="Calibri" w:cstheme="minorHAnsi"/>
        </w:rPr>
        <w:t>blitt avviklet</w:t>
      </w:r>
      <w:r w:rsidR="0071647C">
        <w:rPr>
          <w:rFonts w:ascii="Calibri" w:hAnsi="Calibri" w:cstheme="minorHAnsi"/>
        </w:rPr>
        <w:t xml:space="preserve"> de tolv siste månedene</w:t>
      </w:r>
      <w:r w:rsidR="007E7F54">
        <w:rPr>
          <w:rFonts w:ascii="Calibri" w:hAnsi="Calibri" w:cstheme="minorHAnsi"/>
        </w:rPr>
        <w:t xml:space="preserve"> (t.o.m 1. kvartal)</w:t>
      </w:r>
      <w:r w:rsidR="00981DE4">
        <w:rPr>
          <w:rFonts w:ascii="Calibri" w:hAnsi="Calibri" w:cstheme="minorHAnsi"/>
        </w:rPr>
        <w:t>, mot 410</w:t>
      </w:r>
      <w:r w:rsidR="00F46690">
        <w:rPr>
          <w:rFonts w:ascii="Calibri" w:hAnsi="Calibri" w:cstheme="minorHAnsi"/>
        </w:rPr>
        <w:t>2</w:t>
      </w:r>
      <w:r w:rsidR="0071647C">
        <w:rPr>
          <w:rFonts w:ascii="Calibri" w:hAnsi="Calibri" w:cstheme="minorHAnsi"/>
        </w:rPr>
        <w:t xml:space="preserve"> stykker de tolv månedene før dette – en vekst på 8,7 prosent. </w:t>
      </w:r>
    </w:p>
    <w:p w:rsidR="00454096" w:rsidRDefault="0071647C" w:rsidP="00D83060">
      <w:pPr>
        <w:tabs>
          <w:tab w:val="left" w:pos="1845"/>
        </w:tabs>
        <w:rPr>
          <w:rFonts w:ascii="Calibri" w:hAnsi="Calibri" w:cstheme="minorHAnsi"/>
        </w:rPr>
      </w:pPr>
      <w:r>
        <w:rPr>
          <w:rFonts w:ascii="Calibri" w:hAnsi="Calibri" w:cstheme="minorHAnsi"/>
        </w:rPr>
        <w:t>Tallene</w:t>
      </w:r>
      <w:r w:rsidR="003C37F4">
        <w:rPr>
          <w:rFonts w:ascii="Calibri" w:hAnsi="Calibri" w:cstheme="minorHAnsi"/>
        </w:rPr>
        <w:t xml:space="preserve"> må ses i sammenheng med </w:t>
      </w:r>
      <w:r w:rsidR="004548B5">
        <w:rPr>
          <w:rFonts w:ascii="Calibri" w:hAnsi="Calibri" w:cstheme="minorHAnsi"/>
        </w:rPr>
        <w:t xml:space="preserve">det totale </w:t>
      </w:r>
      <w:r w:rsidR="003C37F4">
        <w:rPr>
          <w:rFonts w:ascii="Calibri" w:hAnsi="Calibri" w:cstheme="minorHAnsi"/>
        </w:rPr>
        <w:t>antall</w:t>
      </w:r>
      <w:r w:rsidR="00AD6653">
        <w:rPr>
          <w:rFonts w:ascii="Calibri" w:hAnsi="Calibri" w:cstheme="minorHAnsi"/>
        </w:rPr>
        <w:t xml:space="preserve"> </w:t>
      </w:r>
      <w:r w:rsidR="003C37F4">
        <w:rPr>
          <w:rFonts w:ascii="Calibri" w:hAnsi="Calibri" w:cstheme="minorHAnsi"/>
        </w:rPr>
        <w:t xml:space="preserve">aksjeselskaper i Norge, som også øker, med </w:t>
      </w:r>
      <w:r w:rsidR="00B54B36">
        <w:rPr>
          <w:rFonts w:ascii="Calibri" w:hAnsi="Calibri" w:cstheme="minorHAnsi"/>
        </w:rPr>
        <w:t>i overkant av 5 prosent</w:t>
      </w:r>
      <w:r>
        <w:rPr>
          <w:rFonts w:ascii="Calibri" w:hAnsi="Calibri" w:cstheme="minorHAnsi"/>
        </w:rPr>
        <w:t xml:space="preserve"> i </w:t>
      </w:r>
      <w:r w:rsidR="00CD6164">
        <w:rPr>
          <w:rFonts w:ascii="Calibri" w:hAnsi="Calibri" w:cstheme="minorHAnsi"/>
        </w:rPr>
        <w:t>årets tre første måneder</w:t>
      </w:r>
      <w:r>
        <w:rPr>
          <w:rFonts w:ascii="Calibri" w:hAnsi="Calibri" w:cstheme="minorHAnsi"/>
        </w:rPr>
        <w:t xml:space="preserve">, sammenlignet med </w:t>
      </w:r>
      <w:r w:rsidR="00CD6164">
        <w:rPr>
          <w:rFonts w:ascii="Calibri" w:hAnsi="Calibri" w:cstheme="minorHAnsi"/>
        </w:rPr>
        <w:t>tilsvarende periode</w:t>
      </w:r>
      <w:r>
        <w:rPr>
          <w:rFonts w:ascii="Calibri" w:hAnsi="Calibri" w:cstheme="minorHAnsi"/>
        </w:rPr>
        <w:t xml:space="preserve"> i fjor</w:t>
      </w:r>
      <w:r w:rsidR="00B54B36">
        <w:rPr>
          <w:rFonts w:ascii="Calibri" w:hAnsi="Calibri" w:cstheme="minorHAnsi"/>
        </w:rPr>
        <w:t xml:space="preserve">. </w:t>
      </w:r>
      <w:r w:rsidR="00CD6164">
        <w:rPr>
          <w:rFonts w:ascii="Calibri" w:hAnsi="Calibri" w:cstheme="minorHAnsi"/>
        </w:rPr>
        <w:t xml:space="preserve">I første kvartal 2017 var det </w:t>
      </w:r>
      <w:r w:rsidR="00AD6653">
        <w:rPr>
          <w:rFonts w:ascii="Calibri" w:hAnsi="Calibri" w:cstheme="minorHAnsi"/>
        </w:rPr>
        <w:t xml:space="preserve">297.574 </w:t>
      </w:r>
      <w:r w:rsidR="00DD196E">
        <w:rPr>
          <w:rFonts w:ascii="Calibri" w:hAnsi="Calibri" w:cstheme="minorHAnsi"/>
        </w:rPr>
        <w:t>aktive aksjeselskaper her til lands.</w:t>
      </w:r>
      <w:r w:rsidR="00AF158C">
        <w:rPr>
          <w:rFonts w:ascii="Calibri" w:hAnsi="Calibri" w:cstheme="minorHAnsi"/>
        </w:rPr>
        <w:t xml:space="preserve"> </w:t>
      </w:r>
    </w:p>
    <w:p w:rsidR="005A2E44" w:rsidRDefault="00E3495D" w:rsidP="00D83060">
      <w:pPr>
        <w:tabs>
          <w:tab w:val="left" w:pos="1845"/>
        </w:tabs>
        <w:rPr>
          <w:rFonts w:ascii="Calibri" w:hAnsi="Calibri" w:cstheme="minorHAnsi"/>
        </w:rPr>
      </w:pPr>
      <w:r w:rsidRPr="00E3495D">
        <w:rPr>
          <w:rFonts w:ascii="Calibri" w:hAnsi="Calibri" w:cstheme="minorHAnsi"/>
          <w:b/>
        </w:rPr>
        <w:t>Regionale forskjeller</w:t>
      </w:r>
      <w:r w:rsidR="007233B9">
        <w:rPr>
          <w:rFonts w:ascii="Calibri" w:hAnsi="Calibri" w:cstheme="minorHAnsi"/>
          <w:b/>
        </w:rPr>
        <w:t xml:space="preserve"> – fortsatt tøft på Sør-Vestlandet</w:t>
      </w:r>
      <w:r>
        <w:rPr>
          <w:rFonts w:ascii="Calibri" w:hAnsi="Calibri" w:cstheme="minorHAnsi"/>
        </w:rPr>
        <w:br/>
      </w:r>
      <w:r w:rsidR="002B05B4">
        <w:rPr>
          <w:rFonts w:ascii="Calibri" w:hAnsi="Calibri" w:cstheme="minorHAnsi"/>
        </w:rPr>
        <w:t>Høyest konkursandel er det i</w:t>
      </w:r>
      <w:r w:rsidR="00A34689">
        <w:rPr>
          <w:rFonts w:ascii="Calibri" w:hAnsi="Calibri" w:cstheme="minorHAnsi"/>
        </w:rPr>
        <w:t xml:space="preserve"> Hordaland og Østfold, hvor henholdsvis 1,86 og 1,85 pros</w:t>
      </w:r>
      <w:r w:rsidR="002B05B4">
        <w:rPr>
          <w:rFonts w:ascii="Calibri" w:hAnsi="Calibri" w:cstheme="minorHAnsi"/>
        </w:rPr>
        <w:t xml:space="preserve">ent av aksjeselskapene er </w:t>
      </w:r>
      <w:r w:rsidR="00B63C24">
        <w:rPr>
          <w:rFonts w:ascii="Calibri" w:hAnsi="Calibri" w:cstheme="minorHAnsi"/>
        </w:rPr>
        <w:t>lagt ned</w:t>
      </w:r>
      <w:r w:rsidR="002B05B4">
        <w:rPr>
          <w:rFonts w:ascii="Calibri" w:hAnsi="Calibri" w:cstheme="minorHAnsi"/>
        </w:rPr>
        <w:t xml:space="preserve"> de tolv siste</w:t>
      </w:r>
      <w:r w:rsidR="00DB1BBF">
        <w:rPr>
          <w:rFonts w:ascii="Calibri" w:hAnsi="Calibri" w:cstheme="minorHAnsi"/>
        </w:rPr>
        <w:t xml:space="preserve"> månedene. Veksten </w:t>
      </w:r>
      <w:r w:rsidR="005A2E44">
        <w:rPr>
          <w:rFonts w:ascii="Calibri" w:hAnsi="Calibri" w:cstheme="minorHAnsi"/>
        </w:rPr>
        <w:t xml:space="preserve">i </w:t>
      </w:r>
      <w:r w:rsidR="00A64FFC">
        <w:rPr>
          <w:rFonts w:ascii="Calibri" w:hAnsi="Calibri" w:cstheme="minorHAnsi"/>
        </w:rPr>
        <w:t xml:space="preserve">antall konkurser er på sin side størst i oljefylker som Hordaland, Rogaland og Vest-Agder, samt Troms. </w:t>
      </w:r>
      <w:r w:rsidR="008013EE">
        <w:rPr>
          <w:rFonts w:ascii="Calibri" w:hAnsi="Calibri" w:cstheme="minorHAnsi"/>
        </w:rPr>
        <w:t xml:space="preserve">Oslo, </w:t>
      </w:r>
      <w:r w:rsidR="00A64FFC">
        <w:rPr>
          <w:rFonts w:ascii="Calibri" w:hAnsi="Calibri" w:cstheme="minorHAnsi"/>
        </w:rPr>
        <w:t>Østfold</w:t>
      </w:r>
      <w:r w:rsidR="008013EE">
        <w:rPr>
          <w:rFonts w:ascii="Calibri" w:hAnsi="Calibri" w:cstheme="minorHAnsi"/>
        </w:rPr>
        <w:t xml:space="preserve"> og Vestfold</w:t>
      </w:r>
      <w:r w:rsidR="00A64FFC">
        <w:rPr>
          <w:rFonts w:ascii="Calibri" w:hAnsi="Calibri" w:cstheme="minorHAnsi"/>
        </w:rPr>
        <w:t xml:space="preserve"> opplever også en kraftig økning.</w:t>
      </w:r>
    </w:p>
    <w:p w:rsidR="00FE20F0" w:rsidRDefault="00B63C24" w:rsidP="00B63C24">
      <w:pPr>
        <w:tabs>
          <w:tab w:val="left" w:pos="1845"/>
        </w:tabs>
        <w:rPr>
          <w:rFonts w:ascii="Calibri" w:hAnsi="Calibri" w:cstheme="minorHAnsi"/>
        </w:rPr>
      </w:pPr>
      <w:r w:rsidRPr="00B63C24">
        <w:rPr>
          <w:rFonts w:ascii="Calibri" w:hAnsi="Calibri" w:cstheme="minorHAnsi"/>
        </w:rPr>
        <w:lastRenderedPageBreak/>
        <w:t>–</w:t>
      </w:r>
      <w:r>
        <w:rPr>
          <w:rFonts w:ascii="Calibri" w:hAnsi="Calibri" w:cstheme="minorHAnsi"/>
        </w:rPr>
        <w:t xml:space="preserve"> </w:t>
      </w:r>
      <w:r w:rsidR="00E27193">
        <w:rPr>
          <w:rFonts w:ascii="Calibri" w:hAnsi="Calibri" w:cstheme="minorHAnsi"/>
        </w:rPr>
        <w:t>Konkursutviklingen</w:t>
      </w:r>
      <w:r w:rsidR="00922382">
        <w:rPr>
          <w:rFonts w:ascii="Calibri" w:hAnsi="Calibri" w:cstheme="minorHAnsi"/>
        </w:rPr>
        <w:t xml:space="preserve"> går fortsatt i en negativ retning på deler av Sør-Vestlandet. </w:t>
      </w:r>
      <w:r w:rsidR="00567948">
        <w:rPr>
          <w:rFonts w:ascii="Calibri" w:hAnsi="Calibri" w:cstheme="minorHAnsi"/>
        </w:rPr>
        <w:t xml:space="preserve">Tallene tyder på en vedvarende effekt av oljeprisnedgang </w:t>
      </w:r>
      <w:r w:rsidR="00E3495D">
        <w:rPr>
          <w:rFonts w:ascii="Calibri" w:hAnsi="Calibri" w:cstheme="minorHAnsi"/>
        </w:rPr>
        <w:t>for flere av selskapene i disse fylkene</w:t>
      </w:r>
      <w:r w:rsidR="00CD6164">
        <w:rPr>
          <w:rFonts w:ascii="Calibri" w:hAnsi="Calibri" w:cstheme="minorHAnsi"/>
        </w:rPr>
        <w:t>.</w:t>
      </w:r>
    </w:p>
    <w:p w:rsidR="004C78D4" w:rsidRDefault="00AA540A" w:rsidP="00B63C24">
      <w:pPr>
        <w:tabs>
          <w:tab w:val="left" w:pos="1845"/>
        </w:tabs>
        <w:rPr>
          <w:rFonts w:ascii="Calibri" w:hAnsi="Calibri" w:cstheme="minorHAnsi"/>
        </w:rPr>
      </w:pPr>
      <w:r w:rsidRPr="00AA540A">
        <w:rPr>
          <w:rFonts w:ascii="Calibri" w:hAnsi="Calibri" w:cstheme="minorHAnsi"/>
          <w:b/>
        </w:rPr>
        <w:t>Disse bransjene er hardest rammet</w:t>
      </w:r>
      <w:r>
        <w:rPr>
          <w:rFonts w:ascii="Calibri" w:hAnsi="Calibri" w:cstheme="minorHAnsi"/>
        </w:rPr>
        <w:br/>
      </w:r>
      <w:r w:rsidR="00797D23">
        <w:rPr>
          <w:rFonts w:ascii="Calibri" w:hAnsi="Calibri" w:cstheme="minorHAnsi"/>
        </w:rPr>
        <w:t xml:space="preserve">Bransjer </w:t>
      </w:r>
      <w:r w:rsidR="00015F2F">
        <w:rPr>
          <w:rFonts w:ascii="Calibri" w:hAnsi="Calibri" w:cstheme="minorHAnsi"/>
        </w:rPr>
        <w:t>innen bygg og anle</w:t>
      </w:r>
      <w:r w:rsidR="0013030F">
        <w:rPr>
          <w:rFonts w:ascii="Calibri" w:hAnsi="Calibri" w:cstheme="minorHAnsi"/>
        </w:rPr>
        <w:t xml:space="preserve">gg, </w:t>
      </w:r>
      <w:r w:rsidR="00A16244">
        <w:rPr>
          <w:rFonts w:ascii="Calibri" w:hAnsi="Calibri" w:cstheme="minorHAnsi"/>
        </w:rPr>
        <w:t>tjenesteyting, samt</w:t>
      </w:r>
      <w:r w:rsidR="0013030F">
        <w:rPr>
          <w:rFonts w:ascii="Calibri" w:hAnsi="Calibri" w:cstheme="minorHAnsi"/>
        </w:rPr>
        <w:t xml:space="preserve"> overnatting og servering </w:t>
      </w:r>
      <w:r w:rsidR="00015F2F">
        <w:rPr>
          <w:rFonts w:ascii="Calibri" w:hAnsi="Calibri" w:cstheme="minorHAnsi"/>
        </w:rPr>
        <w:t xml:space="preserve">har størst konkursvekst det siste året (de tolv månedene t.o.m første kvartal, mot samme periode foregående år). </w:t>
      </w:r>
      <w:r w:rsidR="00E577AB">
        <w:rPr>
          <w:rFonts w:ascii="Calibri" w:hAnsi="Calibri" w:cstheme="minorHAnsi"/>
        </w:rPr>
        <w:t xml:space="preserve">Ikke alle bransjer er like hardt rammet, og den den mest positive utviklingen står </w:t>
      </w:r>
      <w:r w:rsidR="0013030F">
        <w:rPr>
          <w:rFonts w:ascii="Calibri" w:hAnsi="Calibri" w:cstheme="minorHAnsi"/>
        </w:rPr>
        <w:t xml:space="preserve">deler av </w:t>
      </w:r>
      <w:r w:rsidR="00E577AB">
        <w:rPr>
          <w:rFonts w:ascii="Calibri" w:hAnsi="Calibri" w:cstheme="minorHAnsi"/>
        </w:rPr>
        <w:t xml:space="preserve">offentlig virksomhet for, </w:t>
      </w:r>
      <w:r w:rsidR="000C5365">
        <w:rPr>
          <w:rFonts w:ascii="Calibri" w:hAnsi="Calibri" w:cstheme="minorHAnsi"/>
        </w:rPr>
        <w:t>blant annet med</w:t>
      </w:r>
      <w:r w:rsidR="0013030F">
        <w:rPr>
          <w:rFonts w:ascii="Calibri" w:hAnsi="Calibri" w:cstheme="minorHAnsi"/>
        </w:rPr>
        <w:t xml:space="preserve"> </w:t>
      </w:r>
      <w:r w:rsidR="00E577AB">
        <w:rPr>
          <w:rFonts w:ascii="Calibri" w:hAnsi="Calibri" w:cstheme="minorHAnsi"/>
        </w:rPr>
        <w:t>helse og sosial i spissen.</w:t>
      </w:r>
    </w:p>
    <w:p w:rsidR="00817DA7" w:rsidRDefault="00817DA7" w:rsidP="00B63C24">
      <w:pPr>
        <w:tabs>
          <w:tab w:val="left" w:pos="1845"/>
        </w:tabs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Totalt har norske aksjeselskaper </w:t>
      </w:r>
      <w:r w:rsidR="00FA2E25">
        <w:rPr>
          <w:rFonts w:ascii="Calibri" w:hAnsi="Calibri" w:cstheme="minorHAnsi"/>
        </w:rPr>
        <w:t xml:space="preserve">betalingsanmerkninger til en verdi av 4 milliarder kroner i første kvartal 2017. Det er opp fra 3,6 milliarder kroner i samme kvartal i fjor. </w:t>
      </w:r>
    </w:p>
    <w:p w:rsidR="00C22642" w:rsidRPr="00C22642" w:rsidRDefault="00C22642" w:rsidP="00B63C24">
      <w:pPr>
        <w:tabs>
          <w:tab w:val="left" w:pos="1845"/>
        </w:tabs>
        <w:rPr>
          <w:rFonts w:ascii="Calibri" w:hAnsi="Calibri" w:cstheme="minorHAnsi"/>
          <w:b/>
        </w:rPr>
      </w:pPr>
      <w:r w:rsidRPr="00C22642">
        <w:rPr>
          <w:rFonts w:ascii="Calibri" w:hAnsi="Calibri" w:cstheme="minorHAnsi"/>
          <w:b/>
        </w:rPr>
        <w:t xml:space="preserve">ANTALL ANSATTE PER KONKURS </w:t>
      </w:r>
    </w:p>
    <w:p w:rsidR="00C22642" w:rsidRDefault="00C22642" w:rsidP="00B63C24">
      <w:pPr>
        <w:tabs>
          <w:tab w:val="left" w:pos="1845"/>
        </w:tabs>
        <w:rPr>
          <w:rFonts w:ascii="Calibri" w:hAnsi="Calibri" w:cstheme="minorHAnsi"/>
        </w:rPr>
      </w:pPr>
      <w:r>
        <w:rPr>
          <w:rFonts w:ascii="Calibri" w:hAnsi="Calibri" w:cstheme="minorHAnsi"/>
        </w:rPr>
        <w:t>Grafen viser utviklingen i antall ansatte per konkurs</w:t>
      </w:r>
      <w:r w:rsidR="00F35F9E">
        <w:rPr>
          <w:rFonts w:ascii="Calibri" w:hAnsi="Calibri" w:cstheme="minorHAnsi"/>
        </w:rPr>
        <w:t>begjærte aksjeselskap</w:t>
      </w:r>
      <w:r>
        <w:rPr>
          <w:rFonts w:ascii="Calibri" w:hAnsi="Calibri" w:cstheme="minorHAnsi"/>
        </w:rPr>
        <w:t xml:space="preserve"> de tre siste årene, t.o.m første kvartal 2017. Venstre akse viser antall ansatte p</w:t>
      </w:r>
      <w:r w:rsidR="00B8565A">
        <w:rPr>
          <w:rFonts w:ascii="Calibri" w:hAnsi="Calibri" w:cstheme="minorHAnsi"/>
        </w:rPr>
        <w:t xml:space="preserve">er konkurs, som har steget mye. Høyre akse viser antall </w:t>
      </w:r>
      <w:r w:rsidR="00F35F9E">
        <w:rPr>
          <w:rFonts w:ascii="Calibri" w:hAnsi="Calibri" w:cstheme="minorHAnsi"/>
        </w:rPr>
        <w:t>selskaper</w:t>
      </w:r>
      <w:r w:rsidR="00B8565A">
        <w:rPr>
          <w:rFonts w:ascii="Calibri" w:hAnsi="Calibri" w:cstheme="minorHAnsi"/>
        </w:rPr>
        <w:t xml:space="preserve"> som har gått konkurs </w:t>
      </w:r>
      <w:r w:rsidR="008A0CAF">
        <w:rPr>
          <w:rFonts w:ascii="Calibri" w:hAnsi="Calibri" w:cstheme="minorHAnsi"/>
        </w:rPr>
        <w:t xml:space="preserve">per kvartal. </w:t>
      </w:r>
      <w:r w:rsidR="00B8565A">
        <w:rPr>
          <w:rFonts w:ascii="Calibri" w:hAnsi="Calibri" w:cstheme="minorHAnsi"/>
        </w:rPr>
        <w:t xml:space="preserve"> </w:t>
      </w:r>
    </w:p>
    <w:p w:rsidR="00F43221" w:rsidRPr="00F43221" w:rsidRDefault="00C22642" w:rsidP="00B63C24">
      <w:pPr>
        <w:tabs>
          <w:tab w:val="left" w:pos="1845"/>
        </w:tabs>
        <w:rPr>
          <w:rFonts w:ascii="Calibri" w:hAnsi="Calibri" w:cstheme="minorHAnsi"/>
        </w:rPr>
      </w:pPr>
      <w:r>
        <w:rPr>
          <w:rFonts w:ascii="Calibri" w:hAnsi="Calibri" w:cstheme="minorHAnsi"/>
          <w:noProof/>
          <w:lang w:eastAsia="nb-NO"/>
        </w:rPr>
        <w:drawing>
          <wp:inline distT="0" distB="0" distL="0" distR="0">
            <wp:extent cx="5760720" cy="322842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221">
        <w:rPr>
          <w:rFonts w:ascii="Calibri" w:hAnsi="Calibri" w:cstheme="minorHAnsi"/>
        </w:rPr>
        <w:br/>
      </w:r>
      <w:r w:rsidR="00F43221">
        <w:rPr>
          <w:rFonts w:ascii="Calibri" w:hAnsi="Calibri" w:cstheme="minorHAnsi"/>
        </w:rPr>
        <w:br/>
      </w:r>
      <w:r w:rsidR="00F43221" w:rsidRPr="00D34F46">
        <w:rPr>
          <w:rFonts w:ascii="Calibri" w:hAnsi="Calibri" w:cstheme="minorHAnsi"/>
          <w:i/>
        </w:rPr>
        <w:t>Kilde: Lindorffanalysen</w:t>
      </w:r>
      <w:r w:rsidR="00F43221">
        <w:rPr>
          <w:rFonts w:ascii="Calibri" w:hAnsi="Calibri" w:cstheme="minorHAnsi"/>
          <w:i/>
        </w:rPr>
        <w:t xml:space="preserve"> første kvartal 2017</w:t>
      </w:r>
      <w:r w:rsidR="00F43221">
        <w:rPr>
          <w:rFonts w:ascii="Calibri" w:hAnsi="Calibri" w:cstheme="minorHAnsi"/>
          <w:i/>
        </w:rPr>
        <w:br/>
      </w:r>
    </w:p>
    <w:p w:rsidR="00431A13" w:rsidRPr="004E7B47" w:rsidRDefault="004E7B47" w:rsidP="00B63C24">
      <w:pPr>
        <w:tabs>
          <w:tab w:val="left" w:pos="1845"/>
        </w:tabs>
        <w:rPr>
          <w:rFonts w:ascii="Calibri" w:hAnsi="Calibri" w:cstheme="minorHAnsi"/>
          <w:b/>
        </w:rPr>
      </w:pPr>
      <w:r w:rsidRPr="004E7B47">
        <w:rPr>
          <w:rFonts w:ascii="Calibri" w:hAnsi="Calibri" w:cstheme="minorHAnsi"/>
          <w:b/>
        </w:rPr>
        <w:t>ANTALL KONKURSER PER FYLKE</w:t>
      </w:r>
    </w:p>
    <w:p w:rsidR="00431A13" w:rsidRDefault="00E00851" w:rsidP="00B63C24">
      <w:pPr>
        <w:tabs>
          <w:tab w:val="left" w:pos="1845"/>
        </w:tabs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Periode: Tabellen viser antall konkurser per fylke de </w:t>
      </w:r>
      <w:r w:rsidR="00431A13">
        <w:rPr>
          <w:rFonts w:ascii="Calibri" w:hAnsi="Calibri" w:cstheme="minorHAnsi"/>
        </w:rPr>
        <w:t xml:space="preserve">12 </w:t>
      </w:r>
      <w:r>
        <w:rPr>
          <w:rFonts w:ascii="Calibri" w:hAnsi="Calibri" w:cstheme="minorHAnsi"/>
        </w:rPr>
        <w:t>siste månedene. T</w:t>
      </w:r>
      <w:r w:rsidR="00431A13">
        <w:rPr>
          <w:rFonts w:ascii="Calibri" w:hAnsi="Calibri" w:cstheme="minorHAnsi"/>
        </w:rPr>
        <w:t xml:space="preserve">.o.m første kvartal 2017, </w:t>
      </w:r>
      <w:r>
        <w:rPr>
          <w:rFonts w:ascii="Calibri" w:hAnsi="Calibri" w:cstheme="minorHAnsi"/>
        </w:rPr>
        <w:t>med prosentvis endring fra</w:t>
      </w:r>
      <w:r w:rsidR="00431A13">
        <w:rPr>
          <w:rFonts w:ascii="Calibri" w:hAnsi="Calibri" w:cstheme="minorHAnsi"/>
        </w:rPr>
        <w:t xml:space="preserve"> tilsvarende periode foregående år.</w:t>
      </w:r>
    </w:p>
    <w:tbl>
      <w:tblPr>
        <w:tblW w:w="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680"/>
        <w:gridCol w:w="1460"/>
      </w:tblGrid>
      <w:tr w:rsidR="00E00851" w:rsidRPr="00E00851" w:rsidTr="00E00851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Fylke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Antall konkurser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%-vis endring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Østfold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248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15,9 %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Akershus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469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2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-0,2 %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Oslo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916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A7B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15,5 %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Hedmark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-2,3 %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Oppland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-0,9 %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Buskerud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234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C81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-5,6 %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Vestfold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209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22,2 %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Telemark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A80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-6,8 %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Aust-Agder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66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-25,0 %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Vest-Agder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163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37A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17,3 %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Rogaland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364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E79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18,6 %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Hordaland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536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474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24,9 %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Sogn og Fjordane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07B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-23,2 %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Møre og Romsdal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177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1,7 %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Sør-Trøndelag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239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4,8 %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Nord-Trøndelag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87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1,2 %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Nordland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166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-6,2 %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Troms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35,5 %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Finnmark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60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E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color w:val="000000"/>
                <w:lang w:eastAsia="nb-NO"/>
              </w:rPr>
              <w:t>11,1 %</w:t>
            </w:r>
          </w:p>
        </w:tc>
      </w:tr>
      <w:tr w:rsidR="00E00851" w:rsidRPr="00E00851" w:rsidTr="00E0085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Totalt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4459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E00851" w:rsidRPr="00E00851" w:rsidRDefault="00E00851" w:rsidP="00E008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00851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8,70 %</w:t>
            </w:r>
          </w:p>
        </w:tc>
      </w:tr>
    </w:tbl>
    <w:p w:rsidR="00431A13" w:rsidRPr="00AC46CC" w:rsidRDefault="00D34F46" w:rsidP="00B63C24">
      <w:pPr>
        <w:tabs>
          <w:tab w:val="left" w:pos="1845"/>
        </w:tabs>
        <w:rPr>
          <w:rFonts w:ascii="Calibri" w:hAnsi="Calibri" w:cstheme="minorHAnsi"/>
          <w:i/>
        </w:rPr>
      </w:pPr>
      <w:r>
        <w:rPr>
          <w:rFonts w:ascii="Calibri" w:hAnsi="Calibri" w:cstheme="minorHAnsi"/>
        </w:rPr>
        <w:br/>
      </w:r>
      <w:r w:rsidRPr="00D34F46">
        <w:rPr>
          <w:rFonts w:ascii="Calibri" w:hAnsi="Calibri" w:cstheme="minorHAnsi"/>
          <w:i/>
        </w:rPr>
        <w:t>Kilde: Lindorffanalysen</w:t>
      </w:r>
      <w:r>
        <w:rPr>
          <w:rFonts w:ascii="Calibri" w:hAnsi="Calibri" w:cstheme="minorHAnsi"/>
          <w:i/>
        </w:rPr>
        <w:t xml:space="preserve"> første kvartal 2017</w:t>
      </w:r>
    </w:p>
    <w:p w:rsidR="00085F77" w:rsidRPr="00EB4A0B" w:rsidRDefault="00085F77" w:rsidP="00085F77">
      <w:pPr>
        <w:rPr>
          <w:rFonts w:ascii="Calibri" w:hAnsi="Calibri"/>
        </w:rPr>
      </w:pPr>
      <w:r>
        <w:rPr>
          <w:rFonts w:ascii="Calibri" w:hAnsi="Calibri" w:cstheme="minorHAnsi"/>
          <w:b/>
          <w:u w:val="single"/>
        </w:rPr>
        <w:t>Kontaktinformasjon</w:t>
      </w:r>
      <w:r w:rsidRPr="00EB4A0B">
        <w:rPr>
          <w:rFonts w:ascii="Calibri" w:hAnsi="Calibri" w:cstheme="minorHAnsi"/>
        </w:rPr>
        <w:br/>
      </w:r>
      <w:r w:rsidRPr="00EB4A0B">
        <w:rPr>
          <w:rFonts w:ascii="Calibri" w:hAnsi="Calibri" w:cstheme="minorHAnsi"/>
          <w:color w:val="000000" w:themeColor="text1"/>
        </w:rPr>
        <w:t>Stig Inge Eikemo, kommunikasjonsdirektør i Lindorff, stig-inge.eikemo@lindorff.com, mob. 90070384</w:t>
      </w:r>
      <w:r w:rsidRPr="00EB4A0B">
        <w:rPr>
          <w:rFonts w:ascii="Calibri" w:hAnsi="Calibri" w:cstheme="minorHAnsi"/>
          <w:color w:val="000000" w:themeColor="text1"/>
        </w:rPr>
        <w:br/>
        <w:t>Lene Kallum, kommunikasjonssjef i Lindorff,</w:t>
      </w:r>
      <w:r w:rsidRPr="00182E63">
        <w:rPr>
          <w:rFonts w:ascii="Calibri" w:hAnsi="Calibri" w:cstheme="minorHAnsi"/>
          <w:color w:val="000000" w:themeColor="text1"/>
        </w:rPr>
        <w:t xml:space="preserve"> </w:t>
      </w:r>
      <w:hyperlink r:id="rId9" w:history="1">
        <w:r w:rsidRPr="00182E63">
          <w:rPr>
            <w:rStyle w:val="Hyperkobling"/>
            <w:rFonts w:ascii="Calibri" w:hAnsi="Calibri" w:cstheme="minorHAnsi"/>
            <w:color w:val="000000" w:themeColor="text1"/>
            <w:u w:val="none"/>
          </w:rPr>
          <w:t>lene.kallum@lindorff.com</w:t>
        </w:r>
      </w:hyperlink>
      <w:r w:rsidRPr="00EB4A0B">
        <w:rPr>
          <w:rFonts w:ascii="Calibri" w:hAnsi="Calibri" w:cstheme="minorHAnsi"/>
          <w:color w:val="000000" w:themeColor="text1"/>
        </w:rPr>
        <w:t>, mob. 99107900</w:t>
      </w:r>
      <w:r w:rsidRPr="00EB4A0B">
        <w:rPr>
          <w:rFonts w:ascii="Calibri" w:hAnsi="Calibri"/>
        </w:rPr>
        <w:br/>
      </w:r>
    </w:p>
    <w:p w:rsidR="002B05B4" w:rsidRDefault="002B05B4" w:rsidP="00D83060">
      <w:pPr>
        <w:tabs>
          <w:tab w:val="left" w:pos="1845"/>
        </w:tabs>
        <w:rPr>
          <w:rFonts w:ascii="Calibri" w:hAnsi="Calibri" w:cstheme="minorHAnsi"/>
        </w:rPr>
      </w:pPr>
    </w:p>
    <w:p w:rsidR="002B05B4" w:rsidRDefault="002B05B4" w:rsidP="00D83060">
      <w:pPr>
        <w:tabs>
          <w:tab w:val="left" w:pos="1845"/>
        </w:tabs>
        <w:rPr>
          <w:rFonts w:ascii="Calibri" w:hAnsi="Calibri" w:cstheme="minorHAnsi"/>
        </w:rPr>
      </w:pPr>
    </w:p>
    <w:p w:rsidR="002B05B4" w:rsidRDefault="002B05B4" w:rsidP="00D83060">
      <w:pPr>
        <w:tabs>
          <w:tab w:val="left" w:pos="1845"/>
        </w:tabs>
        <w:rPr>
          <w:rFonts w:ascii="Calibri" w:hAnsi="Calibri" w:cstheme="minorHAnsi"/>
        </w:rPr>
      </w:pPr>
    </w:p>
    <w:p w:rsidR="004E4F1D" w:rsidRDefault="004E4F1D" w:rsidP="00D83060">
      <w:pPr>
        <w:tabs>
          <w:tab w:val="left" w:pos="1845"/>
        </w:tabs>
        <w:rPr>
          <w:rFonts w:ascii="Calibri" w:hAnsi="Calibri" w:cstheme="minorHAnsi"/>
        </w:rPr>
      </w:pPr>
    </w:p>
    <w:p w:rsidR="00454096" w:rsidRDefault="00454096" w:rsidP="00D83060">
      <w:pPr>
        <w:tabs>
          <w:tab w:val="left" w:pos="1845"/>
        </w:tabs>
        <w:rPr>
          <w:rFonts w:ascii="Calibri" w:hAnsi="Calibri" w:cstheme="minorHAnsi"/>
        </w:rPr>
      </w:pPr>
    </w:p>
    <w:p w:rsidR="00A92669" w:rsidRDefault="00A92669" w:rsidP="00BD271D">
      <w:pPr>
        <w:rPr>
          <w:rFonts w:cstheme="minorHAnsi"/>
        </w:rPr>
      </w:pPr>
    </w:p>
    <w:p w:rsidR="00A92669" w:rsidRDefault="00A92669" w:rsidP="00BD271D">
      <w:pPr>
        <w:rPr>
          <w:rFonts w:cstheme="minorHAnsi"/>
        </w:rPr>
      </w:pPr>
    </w:p>
    <w:p w:rsidR="00C56D84" w:rsidRDefault="00C56D84" w:rsidP="00C9263F"/>
    <w:p w:rsidR="00293D5B" w:rsidRDefault="00293D5B" w:rsidP="00BD271D"/>
    <w:p w:rsidR="00293D5B" w:rsidRDefault="00293D5B" w:rsidP="00BD271D"/>
    <w:p w:rsidR="00293D5B" w:rsidRDefault="00293D5B" w:rsidP="00BD271D"/>
    <w:p w:rsidR="00293D5B" w:rsidRDefault="00293D5B" w:rsidP="00BD271D"/>
    <w:p w:rsidR="00043CE1" w:rsidRPr="00BD271D" w:rsidRDefault="00043CE1" w:rsidP="00BD271D"/>
    <w:sectPr w:rsidR="00043CE1" w:rsidRPr="00BD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CAC"/>
    <w:multiLevelType w:val="hybridMultilevel"/>
    <w:tmpl w:val="17685370"/>
    <w:lvl w:ilvl="0" w:tplc="8BCEC48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0058"/>
    <w:multiLevelType w:val="hybridMultilevel"/>
    <w:tmpl w:val="421232AA"/>
    <w:lvl w:ilvl="0" w:tplc="03BC8FC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6778D"/>
    <w:multiLevelType w:val="hybridMultilevel"/>
    <w:tmpl w:val="55947B54"/>
    <w:lvl w:ilvl="0" w:tplc="4BE4C49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07C3D"/>
    <w:multiLevelType w:val="hybridMultilevel"/>
    <w:tmpl w:val="2048EDF0"/>
    <w:lvl w:ilvl="0" w:tplc="40905AB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63E5F"/>
    <w:multiLevelType w:val="hybridMultilevel"/>
    <w:tmpl w:val="2678201E"/>
    <w:lvl w:ilvl="0" w:tplc="2382A09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637AF"/>
    <w:multiLevelType w:val="hybridMultilevel"/>
    <w:tmpl w:val="15C6D482"/>
    <w:lvl w:ilvl="0" w:tplc="9AD2D9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416DA"/>
    <w:multiLevelType w:val="hybridMultilevel"/>
    <w:tmpl w:val="0400C5BC"/>
    <w:lvl w:ilvl="0" w:tplc="4C863C2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D098B"/>
    <w:multiLevelType w:val="hybridMultilevel"/>
    <w:tmpl w:val="6B24B90E"/>
    <w:lvl w:ilvl="0" w:tplc="72EAEC0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45B83"/>
    <w:multiLevelType w:val="hybridMultilevel"/>
    <w:tmpl w:val="08B698C4"/>
    <w:lvl w:ilvl="0" w:tplc="168C6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4AF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0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C0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C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8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EB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C3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43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DC4702"/>
    <w:multiLevelType w:val="hybridMultilevel"/>
    <w:tmpl w:val="D54EB9FC"/>
    <w:lvl w:ilvl="0" w:tplc="6D9C768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42"/>
    <w:rsid w:val="00015F2F"/>
    <w:rsid w:val="00043CE1"/>
    <w:rsid w:val="00047DDB"/>
    <w:rsid w:val="0005684D"/>
    <w:rsid w:val="00065DD0"/>
    <w:rsid w:val="000748C7"/>
    <w:rsid w:val="00085F77"/>
    <w:rsid w:val="000B04D9"/>
    <w:rsid w:val="000C5365"/>
    <w:rsid w:val="000F2998"/>
    <w:rsid w:val="0013030F"/>
    <w:rsid w:val="00132B0C"/>
    <w:rsid w:val="0013661C"/>
    <w:rsid w:val="00147C4E"/>
    <w:rsid w:val="00164EBB"/>
    <w:rsid w:val="00171C5F"/>
    <w:rsid w:val="00195BFA"/>
    <w:rsid w:val="001B7B47"/>
    <w:rsid w:val="001D30B0"/>
    <w:rsid w:val="001E2496"/>
    <w:rsid w:val="001E3B69"/>
    <w:rsid w:val="0020402D"/>
    <w:rsid w:val="00272BDF"/>
    <w:rsid w:val="00281439"/>
    <w:rsid w:val="00290A53"/>
    <w:rsid w:val="00293D5B"/>
    <w:rsid w:val="002B05B4"/>
    <w:rsid w:val="002B1D57"/>
    <w:rsid w:val="002E550E"/>
    <w:rsid w:val="002F1CB5"/>
    <w:rsid w:val="00311C37"/>
    <w:rsid w:val="00317641"/>
    <w:rsid w:val="003521B7"/>
    <w:rsid w:val="003537EE"/>
    <w:rsid w:val="0036217F"/>
    <w:rsid w:val="003974FB"/>
    <w:rsid w:val="003B5931"/>
    <w:rsid w:val="003C37F4"/>
    <w:rsid w:val="003E7FBB"/>
    <w:rsid w:val="00400A30"/>
    <w:rsid w:val="004149F6"/>
    <w:rsid w:val="00431A13"/>
    <w:rsid w:val="00450125"/>
    <w:rsid w:val="00454096"/>
    <w:rsid w:val="004548B5"/>
    <w:rsid w:val="00480A18"/>
    <w:rsid w:val="00486A89"/>
    <w:rsid w:val="004878A8"/>
    <w:rsid w:val="004976CE"/>
    <w:rsid w:val="004B0642"/>
    <w:rsid w:val="004B0649"/>
    <w:rsid w:val="004C78D4"/>
    <w:rsid w:val="004D3364"/>
    <w:rsid w:val="004D5D15"/>
    <w:rsid w:val="004E287B"/>
    <w:rsid w:val="004E4F1D"/>
    <w:rsid w:val="004E7B47"/>
    <w:rsid w:val="00506843"/>
    <w:rsid w:val="005156C8"/>
    <w:rsid w:val="0053284A"/>
    <w:rsid w:val="005442EF"/>
    <w:rsid w:val="00567948"/>
    <w:rsid w:val="00580219"/>
    <w:rsid w:val="00581579"/>
    <w:rsid w:val="0059549A"/>
    <w:rsid w:val="005A2E44"/>
    <w:rsid w:val="005A4C9D"/>
    <w:rsid w:val="005B5AE5"/>
    <w:rsid w:val="005F23B7"/>
    <w:rsid w:val="005F7167"/>
    <w:rsid w:val="00632891"/>
    <w:rsid w:val="00644B84"/>
    <w:rsid w:val="0068321C"/>
    <w:rsid w:val="006A748A"/>
    <w:rsid w:val="006C032E"/>
    <w:rsid w:val="00700F4C"/>
    <w:rsid w:val="00710B08"/>
    <w:rsid w:val="0071647C"/>
    <w:rsid w:val="007233B9"/>
    <w:rsid w:val="00723D10"/>
    <w:rsid w:val="00725197"/>
    <w:rsid w:val="007439A6"/>
    <w:rsid w:val="007812C4"/>
    <w:rsid w:val="00797D23"/>
    <w:rsid w:val="007D6F5D"/>
    <w:rsid w:val="007E7F54"/>
    <w:rsid w:val="0080072A"/>
    <w:rsid w:val="008013EE"/>
    <w:rsid w:val="00817DA7"/>
    <w:rsid w:val="0084312F"/>
    <w:rsid w:val="00851BE6"/>
    <w:rsid w:val="00875BA6"/>
    <w:rsid w:val="008A0CAF"/>
    <w:rsid w:val="008E12C9"/>
    <w:rsid w:val="008F3EC7"/>
    <w:rsid w:val="00905F5B"/>
    <w:rsid w:val="009120E6"/>
    <w:rsid w:val="00922382"/>
    <w:rsid w:val="0094051A"/>
    <w:rsid w:val="00981DE4"/>
    <w:rsid w:val="00991EB9"/>
    <w:rsid w:val="009A0E6A"/>
    <w:rsid w:val="009C12A3"/>
    <w:rsid w:val="009F5F5C"/>
    <w:rsid w:val="009F63CE"/>
    <w:rsid w:val="00A04554"/>
    <w:rsid w:val="00A16244"/>
    <w:rsid w:val="00A203A4"/>
    <w:rsid w:val="00A231B7"/>
    <w:rsid w:val="00A233A5"/>
    <w:rsid w:val="00A2418E"/>
    <w:rsid w:val="00A34689"/>
    <w:rsid w:val="00A4013B"/>
    <w:rsid w:val="00A64FFC"/>
    <w:rsid w:val="00A92669"/>
    <w:rsid w:val="00A965D3"/>
    <w:rsid w:val="00AA540A"/>
    <w:rsid w:val="00AC28BD"/>
    <w:rsid w:val="00AC46CC"/>
    <w:rsid w:val="00AC62AC"/>
    <w:rsid w:val="00AC76FE"/>
    <w:rsid w:val="00AD6653"/>
    <w:rsid w:val="00AF158C"/>
    <w:rsid w:val="00AF43A2"/>
    <w:rsid w:val="00B02179"/>
    <w:rsid w:val="00B15EA4"/>
    <w:rsid w:val="00B2599F"/>
    <w:rsid w:val="00B54B36"/>
    <w:rsid w:val="00B63C24"/>
    <w:rsid w:val="00B66920"/>
    <w:rsid w:val="00B72C4D"/>
    <w:rsid w:val="00B824A4"/>
    <w:rsid w:val="00B82970"/>
    <w:rsid w:val="00B83707"/>
    <w:rsid w:val="00B8565A"/>
    <w:rsid w:val="00B93DB1"/>
    <w:rsid w:val="00BB3B6E"/>
    <w:rsid w:val="00BD271D"/>
    <w:rsid w:val="00C01622"/>
    <w:rsid w:val="00C22642"/>
    <w:rsid w:val="00C302EE"/>
    <w:rsid w:val="00C541C1"/>
    <w:rsid w:val="00C56D84"/>
    <w:rsid w:val="00C9263F"/>
    <w:rsid w:val="00CB7E6C"/>
    <w:rsid w:val="00CD6164"/>
    <w:rsid w:val="00D077D3"/>
    <w:rsid w:val="00D20133"/>
    <w:rsid w:val="00D22DED"/>
    <w:rsid w:val="00D302A7"/>
    <w:rsid w:val="00D3347F"/>
    <w:rsid w:val="00D34F46"/>
    <w:rsid w:val="00D37B1E"/>
    <w:rsid w:val="00D54847"/>
    <w:rsid w:val="00D55B25"/>
    <w:rsid w:val="00D61D15"/>
    <w:rsid w:val="00D73AF0"/>
    <w:rsid w:val="00D82139"/>
    <w:rsid w:val="00D83060"/>
    <w:rsid w:val="00DA6A78"/>
    <w:rsid w:val="00DB1BBF"/>
    <w:rsid w:val="00DB795A"/>
    <w:rsid w:val="00DC5AAC"/>
    <w:rsid w:val="00DD196E"/>
    <w:rsid w:val="00DE421F"/>
    <w:rsid w:val="00DE551B"/>
    <w:rsid w:val="00E00851"/>
    <w:rsid w:val="00E164D6"/>
    <w:rsid w:val="00E24877"/>
    <w:rsid w:val="00E27193"/>
    <w:rsid w:val="00E3495D"/>
    <w:rsid w:val="00E44170"/>
    <w:rsid w:val="00E577AB"/>
    <w:rsid w:val="00E73297"/>
    <w:rsid w:val="00E811DE"/>
    <w:rsid w:val="00E86AF4"/>
    <w:rsid w:val="00EA7A41"/>
    <w:rsid w:val="00EB5584"/>
    <w:rsid w:val="00EB561B"/>
    <w:rsid w:val="00F35F9E"/>
    <w:rsid w:val="00F43221"/>
    <w:rsid w:val="00F46690"/>
    <w:rsid w:val="00F47D34"/>
    <w:rsid w:val="00F81CE1"/>
    <w:rsid w:val="00FA2DA6"/>
    <w:rsid w:val="00FA2E25"/>
    <w:rsid w:val="00FB1CF0"/>
    <w:rsid w:val="00FB3950"/>
    <w:rsid w:val="00FB49D6"/>
    <w:rsid w:val="00FE20F0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4D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537E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85F77"/>
    <w:rPr>
      <w:rFonts w:ascii="Times New Roman" w:hAnsi="Times New Roman" w:cs="Times New Roman" w:hint="default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63C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63C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63C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63C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63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4D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537E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85F77"/>
    <w:rPr>
      <w:rFonts w:ascii="Times New Roman" w:hAnsi="Times New Roman" w:cs="Times New Roman" w:hint="default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63C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63C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63C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63C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6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6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ene.kallum@lindorff.com" TargetMode="Externa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37A1-0684-4ECA-9210-84EE4EFF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761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Lindorff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Kallum Lene</dc:creator>
  <cp:lastModifiedBy>Kallum Lene</cp:lastModifiedBy>
  <cp:revision>18</cp:revision>
  <dcterms:created xsi:type="dcterms:W3CDTF">2017-06-06T09:36:00Z</dcterms:created>
  <dcterms:modified xsi:type="dcterms:W3CDTF">2017-06-19T09:30:00Z</dcterms:modified>
</cp:coreProperties>
</file>