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B733" w14:textId="77777777" w:rsidR="00BE71E4" w:rsidRPr="00BE71E4" w:rsidRDefault="00BE71E4" w:rsidP="00BE71E4">
      <w:pPr>
        <w:rPr>
          <w:rFonts w:ascii="Arial" w:hAnsi="Arial" w:cs="Arial"/>
          <w:b/>
          <w:sz w:val="20"/>
          <w:szCs w:val="20"/>
          <w:lang w:val="en-US"/>
        </w:rPr>
      </w:pPr>
      <w:r w:rsidRPr="00BE71E4">
        <w:rPr>
          <w:rFonts w:ascii="Arial" w:hAnsi="Arial" w:cs="Arial"/>
          <w:b/>
          <w:sz w:val="20"/>
          <w:szCs w:val="20"/>
          <w:lang w:val="en-US"/>
        </w:rPr>
        <w:t>SPECS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800"/>
      </w:tblGrid>
      <w:tr w:rsidR="00BE71E4" w:rsidRPr="00BE71E4" w14:paraId="19E8DC5D" w14:textId="77777777" w:rsidTr="00BE71E4">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6E9D0C2C" w14:textId="77777777" w:rsidR="00BE71E4" w:rsidRPr="00BE71E4" w:rsidRDefault="00BE71E4" w:rsidP="00BE71E4">
            <w:pPr>
              <w:rPr>
                <w:rFonts w:ascii="Arial" w:hAnsi="Arial" w:cs="Arial"/>
                <w:sz w:val="20"/>
                <w:szCs w:val="20"/>
                <w:lang w:val="en-US"/>
              </w:rPr>
            </w:pPr>
            <w:r w:rsidRPr="00BE71E4">
              <w:rPr>
                <w:rFonts w:ascii="Arial" w:hAnsi="Arial" w:cs="Arial"/>
                <w:b/>
                <w:bCs/>
                <w:sz w:val="20"/>
                <w:szCs w:val="20"/>
                <w:lang w:val="en-US"/>
              </w:rPr>
              <w:t>Galaxy S25 Edge</w:t>
            </w:r>
          </w:p>
        </w:tc>
      </w:tr>
      <w:tr w:rsidR="00BE71E4" w:rsidRPr="00BE71E4" w14:paraId="6302F7F3" w14:textId="77777777" w:rsidTr="00BE71E4">
        <w:trPr>
          <w:trHeight w:val="1959"/>
        </w:trPr>
        <w:tc>
          <w:tcPr>
            <w:tcW w:w="2544" w:type="dxa"/>
            <w:tcBorders>
              <w:top w:val="nil"/>
              <w:left w:val="single" w:sz="6" w:space="0" w:color="auto"/>
              <w:bottom w:val="nil"/>
              <w:right w:val="single" w:sz="6" w:space="0" w:color="auto"/>
            </w:tcBorders>
            <w:vAlign w:val="center"/>
            <w:hideMark/>
          </w:tcPr>
          <w:p w14:paraId="155A9050" w14:textId="7D3C5AF0"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Display</w:t>
            </w: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4E5F0D33"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6.7-inch* QHD+   </w:t>
            </w:r>
          </w:p>
          <w:p w14:paraId="2F8A49F3"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Dynamic AMOLED 2X Display    </w:t>
            </w:r>
          </w:p>
          <w:p w14:paraId="6743C2BF"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Super Smooth 120Hz refresh rate (1~120Hz)     </w:t>
            </w:r>
          </w:p>
          <w:p w14:paraId="2D930090"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Vision booster   </w:t>
            </w:r>
          </w:p>
          <w:p w14:paraId="7B8972B8"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Adaptive color tone   </w:t>
            </w:r>
          </w:p>
        </w:tc>
      </w:tr>
      <w:tr w:rsidR="00BE71E4" w:rsidRPr="00BE71E4" w14:paraId="49D2A8F0" w14:textId="77777777" w:rsidTr="00BE71E4">
        <w:trPr>
          <w:trHeight w:val="642"/>
        </w:trPr>
        <w:tc>
          <w:tcPr>
            <w:tcW w:w="2544" w:type="dxa"/>
            <w:tcBorders>
              <w:top w:val="nil"/>
              <w:left w:val="single" w:sz="6" w:space="0" w:color="auto"/>
              <w:bottom w:val="nil"/>
              <w:right w:val="single" w:sz="6" w:space="0" w:color="auto"/>
            </w:tcBorders>
            <w:vAlign w:val="center"/>
            <w:hideMark/>
          </w:tcPr>
          <w:p w14:paraId="03EF0FE7" w14:textId="0F79A456" w:rsidR="00BE71E4" w:rsidRPr="00BE71E4" w:rsidRDefault="00BE71E4" w:rsidP="00BE71E4">
            <w:pPr>
              <w:jc w:val="center"/>
              <w:rPr>
                <w:rFonts w:ascii="Arial" w:hAnsi="Arial" w:cs="Arial"/>
                <w:sz w:val="20"/>
                <w:szCs w:val="20"/>
                <w:lang w:val="en-US"/>
              </w:rPr>
            </w:pP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0541D69B" w14:textId="77777777" w:rsidR="00BE71E4" w:rsidRPr="00BE71E4" w:rsidRDefault="00BE71E4" w:rsidP="00BE71E4">
            <w:pPr>
              <w:rPr>
                <w:rFonts w:ascii="Arial" w:hAnsi="Arial" w:cs="Arial"/>
                <w:sz w:val="20"/>
                <w:szCs w:val="20"/>
                <w:lang w:val="en-US"/>
              </w:rPr>
            </w:pPr>
            <w:r w:rsidRPr="00BE71E4">
              <w:rPr>
                <w:rFonts w:ascii="Arial" w:hAnsi="Arial" w:cs="Arial"/>
                <w:i/>
                <w:iCs/>
                <w:sz w:val="16"/>
                <w:szCs w:val="16"/>
                <w:lang w:val="en-US"/>
              </w:rPr>
              <w:t xml:space="preserve">*Measured diagonally, Galaxy S25 Edge’s screen size is </w:t>
            </w:r>
            <w:r w:rsidRPr="00BE71E4">
              <w:rPr>
                <w:rFonts w:ascii="Arial" w:hAnsi="Arial" w:cs="Arial"/>
                <w:i/>
                <w:sz w:val="16"/>
                <w:szCs w:val="16"/>
                <w:lang w:val="en-US"/>
              </w:rPr>
              <w:t>6.7</w:t>
            </w:r>
            <w:r w:rsidRPr="00BE71E4">
              <w:rPr>
                <w:rFonts w:ascii="Arial" w:hAnsi="Arial" w:cs="Arial"/>
                <w:i/>
                <w:iCs/>
                <w:sz w:val="16"/>
                <w:szCs w:val="16"/>
                <w:lang w:val="en-US"/>
              </w:rPr>
              <w:t xml:space="preserve">-inch in the full rectangle and </w:t>
            </w:r>
            <w:r w:rsidRPr="00BE71E4">
              <w:rPr>
                <w:rFonts w:ascii="Arial" w:hAnsi="Arial" w:cs="Arial"/>
                <w:i/>
                <w:sz w:val="16"/>
                <w:szCs w:val="16"/>
                <w:lang w:val="en-US"/>
              </w:rPr>
              <w:t>6.5</w:t>
            </w:r>
            <w:r w:rsidRPr="00BE71E4">
              <w:rPr>
                <w:rFonts w:ascii="Arial" w:hAnsi="Arial" w:cs="Arial"/>
                <w:i/>
                <w:iCs/>
                <w:sz w:val="16"/>
                <w:szCs w:val="16"/>
                <w:lang w:val="en-US"/>
              </w:rPr>
              <w:t>-inch with accounting for the rounded corners; actual viewable area is less due to the rounded corners and camera hole.</w:t>
            </w:r>
            <w:r w:rsidRPr="00BE71E4">
              <w:rPr>
                <w:rFonts w:ascii="Arial" w:hAnsi="Arial" w:cs="Arial"/>
                <w:sz w:val="16"/>
                <w:szCs w:val="16"/>
                <w:lang w:val="en-US"/>
              </w:rPr>
              <w:t>    </w:t>
            </w:r>
          </w:p>
        </w:tc>
      </w:tr>
      <w:tr w:rsidR="00BE71E4" w:rsidRPr="00BE71E4" w14:paraId="62D6B6D2" w14:textId="77777777" w:rsidTr="00BE71E4">
        <w:trPr>
          <w:trHeight w:val="270"/>
        </w:trPr>
        <w:tc>
          <w:tcPr>
            <w:tcW w:w="2544" w:type="dxa"/>
            <w:tcBorders>
              <w:top w:val="single" w:sz="6" w:space="0" w:color="auto"/>
              <w:left w:val="single" w:sz="6" w:space="0" w:color="auto"/>
              <w:bottom w:val="single" w:sz="6" w:space="0" w:color="auto"/>
              <w:right w:val="single" w:sz="6" w:space="0" w:color="auto"/>
            </w:tcBorders>
            <w:vAlign w:val="center"/>
            <w:hideMark/>
          </w:tcPr>
          <w:p w14:paraId="31A7D49B" w14:textId="48A22BC4"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Dimensions &amp; Weight</w:t>
            </w: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0E941AD9"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75.6 X 158.2 X 5.8mm, 163g </w:t>
            </w:r>
          </w:p>
        </w:tc>
      </w:tr>
      <w:tr w:rsidR="00BE71E4" w:rsidRPr="00BE71E4" w14:paraId="4FD6D24A" w14:textId="77777777" w:rsidTr="00BE71E4">
        <w:trPr>
          <w:trHeight w:val="300"/>
        </w:trPr>
        <w:tc>
          <w:tcPr>
            <w:tcW w:w="2544" w:type="dxa"/>
            <w:tcBorders>
              <w:top w:val="single" w:sz="6" w:space="0" w:color="auto"/>
              <w:left w:val="single" w:sz="6" w:space="0" w:color="auto"/>
              <w:bottom w:val="single" w:sz="6" w:space="0" w:color="auto"/>
              <w:right w:val="single" w:sz="6" w:space="0" w:color="auto"/>
            </w:tcBorders>
            <w:vAlign w:val="center"/>
            <w:hideMark/>
          </w:tcPr>
          <w:p w14:paraId="623074C6" w14:textId="1075E4B5"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Camera</w:t>
            </w:r>
            <w:r w:rsidRPr="00BE71E4">
              <w:rPr>
                <w:rFonts w:ascii="Arial" w:hAnsi="Arial" w:cs="Arial"/>
                <w:sz w:val="20"/>
                <w:szCs w:val="20"/>
                <w:lang w:val="en-US"/>
              </w:rPr>
              <w:t>    </w:t>
            </w:r>
          </w:p>
        </w:tc>
        <w:tc>
          <w:tcPr>
            <w:tcW w:w="6800" w:type="dxa"/>
            <w:tcBorders>
              <w:top w:val="single" w:sz="6" w:space="0" w:color="auto"/>
              <w:left w:val="single" w:sz="6" w:space="0" w:color="auto"/>
              <w:bottom w:val="single" w:sz="6" w:space="0" w:color="auto"/>
              <w:right w:val="single" w:sz="6" w:space="0" w:color="auto"/>
            </w:tcBorders>
            <w:vAlign w:val="center"/>
            <w:hideMark/>
          </w:tcPr>
          <w:p w14:paraId="52719552" w14:textId="77777777" w:rsidR="00BE71E4" w:rsidRDefault="00BE71E4" w:rsidP="00BE71E4">
            <w:pPr>
              <w:rPr>
                <w:rFonts w:ascii="Arial" w:hAnsi="Arial" w:cs="Arial"/>
                <w:sz w:val="20"/>
                <w:szCs w:val="20"/>
                <w:lang w:val="en-US"/>
              </w:rPr>
            </w:pPr>
            <w:r w:rsidRPr="00BE71E4">
              <w:rPr>
                <w:rFonts w:ascii="Arial" w:hAnsi="Arial" w:cs="Arial"/>
                <w:sz w:val="20"/>
                <w:szCs w:val="20"/>
                <w:lang w:val="en-US"/>
              </w:rPr>
              <w:t>12MP Ultra-Wide Camera</w:t>
            </w:r>
          </w:p>
          <w:p w14:paraId="5C67A0E4" w14:textId="3A7C6D15" w:rsidR="00BE71E4" w:rsidRPr="00BE71E4" w:rsidRDefault="00BE71E4" w:rsidP="00BE71E4">
            <w:pPr>
              <w:pStyle w:val="Listeafsnit"/>
              <w:numPr>
                <w:ilvl w:val="0"/>
                <w:numId w:val="4"/>
              </w:numPr>
              <w:rPr>
                <w:rFonts w:ascii="Arial" w:hAnsi="Arial" w:cs="Arial"/>
                <w:sz w:val="20"/>
                <w:szCs w:val="20"/>
                <w:lang w:val="en-US"/>
              </w:rPr>
            </w:pPr>
            <w:r w:rsidRPr="00BE71E4">
              <w:rPr>
                <w:rFonts w:ascii="Arial" w:hAnsi="Arial" w:cs="Arial"/>
                <w:sz w:val="20"/>
                <w:szCs w:val="20"/>
                <w:lang w:val="en-US"/>
              </w:rPr>
              <w:t>F2.2     </w:t>
            </w:r>
          </w:p>
          <w:p w14:paraId="0E942964"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200 MP Wide Camera     </w:t>
            </w:r>
          </w:p>
          <w:p w14:paraId="7D20A53E" w14:textId="699C98BB" w:rsidR="00BE71E4" w:rsidRPr="00BE71E4" w:rsidRDefault="00BE71E4" w:rsidP="00BE71E4">
            <w:pPr>
              <w:numPr>
                <w:ilvl w:val="0"/>
                <w:numId w:val="2"/>
              </w:numPr>
              <w:rPr>
                <w:rFonts w:ascii="Arial" w:hAnsi="Arial" w:cs="Arial"/>
                <w:sz w:val="20"/>
                <w:szCs w:val="20"/>
                <w:lang w:val="en-US"/>
              </w:rPr>
            </w:pPr>
            <w:r w:rsidRPr="00BE71E4">
              <w:rPr>
                <w:rFonts w:ascii="Arial" w:hAnsi="Arial" w:cs="Arial"/>
                <w:sz w:val="20"/>
                <w:szCs w:val="20"/>
                <w:lang w:val="en-US"/>
              </w:rPr>
              <w:t>OIS F1.7, 2x optical quality zoom</w:t>
            </w:r>
          </w:p>
          <w:p w14:paraId="687047B6"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12MP Front Camera     </w:t>
            </w:r>
          </w:p>
          <w:p w14:paraId="367C0BA0" w14:textId="77777777" w:rsidR="00BE71E4" w:rsidRPr="00BE71E4" w:rsidRDefault="00BE71E4" w:rsidP="00BE71E4">
            <w:pPr>
              <w:numPr>
                <w:ilvl w:val="0"/>
                <w:numId w:val="3"/>
              </w:numPr>
              <w:rPr>
                <w:rFonts w:ascii="Arial" w:hAnsi="Arial" w:cs="Arial"/>
                <w:sz w:val="20"/>
                <w:szCs w:val="20"/>
                <w:lang w:val="en-US"/>
              </w:rPr>
            </w:pPr>
            <w:r w:rsidRPr="00BE71E4">
              <w:rPr>
                <w:rFonts w:ascii="Arial" w:hAnsi="Arial" w:cs="Arial"/>
                <w:sz w:val="20"/>
                <w:szCs w:val="20"/>
                <w:lang w:val="en-US"/>
              </w:rPr>
              <w:t>F2.2</w:t>
            </w:r>
          </w:p>
        </w:tc>
      </w:tr>
      <w:tr w:rsidR="00BE71E4" w:rsidRPr="00BE71E4" w14:paraId="0450591C" w14:textId="77777777" w:rsidTr="00BE71E4">
        <w:trPr>
          <w:trHeight w:val="300"/>
        </w:trPr>
        <w:tc>
          <w:tcPr>
            <w:tcW w:w="2544" w:type="dxa"/>
            <w:vMerge w:val="restart"/>
            <w:tcBorders>
              <w:top w:val="single" w:sz="6" w:space="0" w:color="auto"/>
              <w:left w:val="single" w:sz="6" w:space="0" w:color="auto"/>
              <w:bottom w:val="single" w:sz="6" w:space="0" w:color="auto"/>
              <w:right w:val="single" w:sz="6" w:space="0" w:color="auto"/>
            </w:tcBorders>
            <w:vAlign w:val="center"/>
            <w:hideMark/>
          </w:tcPr>
          <w:p w14:paraId="7F4E4090" w14:textId="15D3B9D1"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Memory &amp; Storage </w:t>
            </w:r>
            <w:r w:rsidRPr="00BE71E4">
              <w:rPr>
                <w:rFonts w:ascii="Arial" w:hAnsi="Arial" w:cs="Arial"/>
                <w:sz w:val="20"/>
                <w:szCs w:val="20"/>
                <w:lang w:val="en-US"/>
              </w:rPr>
              <w:t>  </w:t>
            </w:r>
          </w:p>
        </w:tc>
        <w:tc>
          <w:tcPr>
            <w:tcW w:w="6800" w:type="dxa"/>
            <w:tcBorders>
              <w:top w:val="single" w:sz="6" w:space="0" w:color="auto"/>
              <w:left w:val="single" w:sz="6" w:space="0" w:color="auto"/>
              <w:bottom w:val="single" w:sz="6" w:space="0" w:color="auto"/>
              <w:right w:val="single" w:sz="6" w:space="0" w:color="auto"/>
            </w:tcBorders>
            <w:vAlign w:val="center"/>
            <w:hideMark/>
          </w:tcPr>
          <w:p w14:paraId="780FD2CA" w14:textId="7506DBE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12 + 512GB</w:t>
            </w:r>
          </w:p>
          <w:p w14:paraId="1216809A"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12 + 256GB    </w:t>
            </w:r>
          </w:p>
        </w:tc>
      </w:tr>
      <w:tr w:rsidR="00BE71E4" w:rsidRPr="00BE71E4" w14:paraId="52619CF4" w14:textId="77777777" w:rsidTr="00BE71E4">
        <w:trPr>
          <w:trHeight w:val="300"/>
        </w:trPr>
        <w:tc>
          <w:tcPr>
            <w:tcW w:w="2544" w:type="dxa"/>
            <w:vMerge/>
            <w:tcBorders>
              <w:top w:val="single" w:sz="6" w:space="0" w:color="auto"/>
              <w:left w:val="single" w:sz="6" w:space="0" w:color="auto"/>
              <w:bottom w:val="single" w:sz="6" w:space="0" w:color="auto"/>
              <w:right w:val="single" w:sz="6" w:space="0" w:color="auto"/>
            </w:tcBorders>
            <w:vAlign w:val="center"/>
            <w:hideMark/>
          </w:tcPr>
          <w:p w14:paraId="19772D63" w14:textId="77777777" w:rsidR="00BE71E4" w:rsidRPr="00BE71E4" w:rsidRDefault="00BE71E4" w:rsidP="00BE71E4">
            <w:pPr>
              <w:jc w:val="center"/>
              <w:rPr>
                <w:rFonts w:ascii="Arial" w:hAnsi="Arial" w:cs="Arial"/>
                <w:sz w:val="20"/>
                <w:szCs w:val="20"/>
                <w:lang w:val="en-US"/>
              </w:rPr>
            </w:pPr>
          </w:p>
        </w:tc>
        <w:tc>
          <w:tcPr>
            <w:tcW w:w="6800" w:type="dxa"/>
            <w:tcBorders>
              <w:top w:val="single" w:sz="6" w:space="0" w:color="auto"/>
              <w:left w:val="single" w:sz="6" w:space="0" w:color="auto"/>
              <w:bottom w:val="single" w:sz="6" w:space="0" w:color="auto"/>
              <w:right w:val="single" w:sz="6" w:space="0" w:color="auto"/>
            </w:tcBorders>
            <w:vAlign w:val="center"/>
            <w:hideMark/>
          </w:tcPr>
          <w:p w14:paraId="0C14FADF" w14:textId="77777777" w:rsidR="00BE71E4" w:rsidRPr="00BE71E4" w:rsidRDefault="00BE71E4" w:rsidP="00BE71E4">
            <w:pPr>
              <w:rPr>
                <w:rFonts w:ascii="Arial" w:hAnsi="Arial" w:cs="Arial"/>
                <w:sz w:val="20"/>
                <w:szCs w:val="20"/>
                <w:lang w:val="en-US"/>
              </w:rPr>
            </w:pPr>
            <w:r w:rsidRPr="00BE71E4">
              <w:rPr>
                <w:rFonts w:ascii="Arial" w:hAnsi="Arial" w:cs="Arial"/>
                <w:i/>
                <w:iCs/>
                <w:sz w:val="20"/>
                <w:szCs w:val="20"/>
                <w:lang w:val="en-US"/>
              </w:rPr>
              <w:t>*Available storage capacity is subject to preloaded software.</w:t>
            </w:r>
            <w:r w:rsidRPr="00BE71E4">
              <w:rPr>
                <w:rFonts w:ascii="Arial" w:hAnsi="Arial" w:cs="Arial"/>
                <w:sz w:val="20"/>
                <w:szCs w:val="20"/>
                <w:lang w:val="en-US"/>
              </w:rPr>
              <w:t>    </w:t>
            </w:r>
          </w:p>
          <w:p w14:paraId="1BE8F091" w14:textId="77777777" w:rsidR="00BE71E4" w:rsidRPr="00BE71E4" w:rsidRDefault="00BE71E4" w:rsidP="00BE71E4">
            <w:pPr>
              <w:rPr>
                <w:rFonts w:ascii="Arial" w:hAnsi="Arial" w:cs="Arial"/>
                <w:sz w:val="20"/>
                <w:szCs w:val="20"/>
                <w:lang w:val="en-US"/>
              </w:rPr>
            </w:pPr>
            <w:r w:rsidRPr="00BE71E4">
              <w:rPr>
                <w:rFonts w:ascii="Arial" w:hAnsi="Arial" w:cs="Arial"/>
                <w:i/>
                <w:iCs/>
                <w:sz w:val="20"/>
                <w:szCs w:val="20"/>
                <w:lang w:val="en-US"/>
              </w:rPr>
              <w:t>*Memory option may vary by market.</w:t>
            </w:r>
            <w:r w:rsidRPr="00BE71E4">
              <w:rPr>
                <w:rFonts w:ascii="Arial" w:hAnsi="Arial" w:cs="Arial"/>
                <w:sz w:val="20"/>
                <w:szCs w:val="20"/>
                <w:lang w:val="en-US"/>
              </w:rPr>
              <w:t>    </w:t>
            </w:r>
          </w:p>
        </w:tc>
      </w:tr>
      <w:tr w:rsidR="00BE71E4" w:rsidRPr="00BE71E4" w14:paraId="2F03C71E" w14:textId="77777777" w:rsidTr="00BE71E4">
        <w:trPr>
          <w:trHeight w:val="300"/>
        </w:trPr>
        <w:tc>
          <w:tcPr>
            <w:tcW w:w="2544" w:type="dxa"/>
            <w:vMerge w:val="restart"/>
            <w:tcBorders>
              <w:top w:val="single" w:sz="6" w:space="0" w:color="auto"/>
              <w:left w:val="single" w:sz="6" w:space="0" w:color="auto"/>
              <w:bottom w:val="single" w:sz="6" w:space="0" w:color="auto"/>
              <w:right w:val="single" w:sz="6" w:space="0" w:color="auto"/>
            </w:tcBorders>
            <w:vAlign w:val="center"/>
            <w:hideMark/>
          </w:tcPr>
          <w:p w14:paraId="05CF11EA" w14:textId="768C3408"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Battery  </w:t>
            </w:r>
            <w:r w:rsidRPr="00BE71E4">
              <w:rPr>
                <w:rFonts w:ascii="Arial" w:hAnsi="Arial" w:cs="Arial"/>
                <w:sz w:val="20"/>
                <w:szCs w:val="20"/>
                <w:lang w:val="en-US"/>
              </w:rPr>
              <w:t>  </w:t>
            </w:r>
          </w:p>
        </w:tc>
        <w:tc>
          <w:tcPr>
            <w:tcW w:w="6800" w:type="dxa"/>
            <w:tcBorders>
              <w:top w:val="single" w:sz="6" w:space="0" w:color="auto"/>
              <w:left w:val="nil"/>
              <w:bottom w:val="single" w:sz="6" w:space="0" w:color="auto"/>
              <w:right w:val="single" w:sz="6" w:space="0" w:color="auto"/>
            </w:tcBorders>
            <w:vAlign w:val="center"/>
            <w:hideMark/>
          </w:tcPr>
          <w:p w14:paraId="73EEE63E"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3,900 mAh     </w:t>
            </w:r>
          </w:p>
        </w:tc>
      </w:tr>
      <w:tr w:rsidR="00BE71E4" w:rsidRPr="00BE71E4" w14:paraId="14D22796" w14:textId="77777777" w:rsidTr="00BE71E4">
        <w:trPr>
          <w:trHeight w:val="300"/>
        </w:trPr>
        <w:tc>
          <w:tcPr>
            <w:tcW w:w="2544" w:type="dxa"/>
            <w:vMerge/>
            <w:tcBorders>
              <w:top w:val="single" w:sz="6" w:space="0" w:color="auto"/>
              <w:left w:val="single" w:sz="6" w:space="0" w:color="auto"/>
              <w:bottom w:val="single" w:sz="6" w:space="0" w:color="auto"/>
              <w:right w:val="single" w:sz="6" w:space="0" w:color="auto"/>
            </w:tcBorders>
            <w:vAlign w:val="center"/>
            <w:hideMark/>
          </w:tcPr>
          <w:p w14:paraId="3EFAA7A2" w14:textId="77777777" w:rsidR="00BE71E4" w:rsidRPr="00BE71E4" w:rsidRDefault="00BE71E4" w:rsidP="00BE71E4">
            <w:pPr>
              <w:jc w:val="cente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30FDD49C" w14:textId="77777777" w:rsidR="00BE71E4" w:rsidRPr="00BE71E4" w:rsidRDefault="00BE71E4" w:rsidP="00BE71E4">
            <w:pPr>
              <w:rPr>
                <w:rFonts w:ascii="Arial" w:hAnsi="Arial" w:cs="Arial"/>
                <w:sz w:val="20"/>
                <w:szCs w:val="20"/>
                <w:lang w:val="en-US"/>
              </w:rPr>
            </w:pPr>
            <w:r w:rsidRPr="00BE71E4">
              <w:rPr>
                <w:rFonts w:ascii="Arial" w:hAnsi="Arial" w:cs="Arial"/>
                <w:i/>
                <w:iCs/>
                <w:sz w:val="16"/>
                <w:szCs w:val="16"/>
                <w:lang w:val="en-US"/>
              </w:rPr>
              <w:t xml:space="preserve">*Typical value tested under third-party laboratory </w:t>
            </w:r>
            <w:proofErr w:type="gramStart"/>
            <w:r w:rsidRPr="00BE71E4">
              <w:rPr>
                <w:rFonts w:ascii="Arial" w:hAnsi="Arial" w:cs="Arial"/>
                <w:i/>
                <w:iCs/>
                <w:sz w:val="16"/>
                <w:szCs w:val="16"/>
                <w:lang w:val="en-US"/>
              </w:rPr>
              <w:t>condition</w:t>
            </w:r>
            <w:proofErr w:type="gramEnd"/>
            <w:r w:rsidRPr="00BE71E4">
              <w:rPr>
                <w:rFonts w:ascii="Arial" w:hAnsi="Arial" w:cs="Arial"/>
                <w:i/>
                <w:iCs/>
                <w:sz w:val="16"/>
                <w:szCs w:val="16"/>
                <w:lang w:val="en-US"/>
              </w:rPr>
              <w:t xml:space="preserve">. Typical value is the estimated average value considering the deviation in battery capacity among the battery samples tested under IEC 61960 standard. Rated (minimum) capacity is </w:t>
            </w:r>
            <w:r w:rsidRPr="00BE71E4">
              <w:rPr>
                <w:rFonts w:ascii="Arial" w:hAnsi="Arial" w:cs="Arial"/>
                <w:i/>
                <w:sz w:val="16"/>
                <w:szCs w:val="16"/>
                <w:lang w:val="en-US"/>
              </w:rPr>
              <w:t>3786</w:t>
            </w:r>
            <w:r w:rsidRPr="00BE71E4">
              <w:rPr>
                <w:rFonts w:ascii="Arial" w:hAnsi="Arial" w:cs="Arial"/>
                <w:i/>
                <w:iCs/>
                <w:sz w:val="16"/>
                <w:szCs w:val="16"/>
                <w:lang w:val="en-US"/>
              </w:rPr>
              <w:t>mAh. Actual battery life may vary depending on network environment, usage patterns and other factors.</w:t>
            </w:r>
            <w:r w:rsidRPr="00BE71E4">
              <w:rPr>
                <w:rFonts w:ascii="Arial" w:hAnsi="Arial" w:cs="Arial"/>
                <w:sz w:val="16"/>
                <w:szCs w:val="16"/>
                <w:lang w:val="en-US"/>
              </w:rPr>
              <w:t>    </w:t>
            </w:r>
          </w:p>
        </w:tc>
      </w:tr>
      <w:tr w:rsidR="00BE71E4" w:rsidRPr="00BE71E4" w14:paraId="3FB60EE9" w14:textId="77777777" w:rsidTr="00BE71E4">
        <w:trPr>
          <w:trHeight w:val="300"/>
        </w:trPr>
        <w:tc>
          <w:tcPr>
            <w:tcW w:w="2544" w:type="dxa"/>
            <w:vMerge w:val="restart"/>
            <w:tcBorders>
              <w:top w:val="nil"/>
              <w:left w:val="single" w:sz="6" w:space="0" w:color="auto"/>
              <w:bottom w:val="nil"/>
              <w:right w:val="single" w:sz="6" w:space="0" w:color="auto"/>
            </w:tcBorders>
            <w:vAlign w:val="center"/>
            <w:hideMark/>
          </w:tcPr>
          <w:p w14:paraId="5D4560D5" w14:textId="7BB4FE14"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Charging*  </w:t>
            </w: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49A0C630"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Wired charging*: Up to 55% charge in around 30 mins with 25W Adapter**    </w:t>
            </w:r>
          </w:p>
          <w:p w14:paraId="37DFEE1D"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Fast Wireless Charging ***    </w:t>
            </w:r>
          </w:p>
          <w:p w14:paraId="24BE9DBD"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Wireless PowerShare****    </w:t>
            </w:r>
          </w:p>
        </w:tc>
      </w:tr>
      <w:tr w:rsidR="00BE71E4" w:rsidRPr="00BE71E4" w14:paraId="6482EEAC" w14:textId="77777777" w:rsidTr="00BE71E4">
        <w:trPr>
          <w:trHeight w:val="300"/>
        </w:trPr>
        <w:tc>
          <w:tcPr>
            <w:tcW w:w="2544" w:type="dxa"/>
            <w:vMerge/>
            <w:tcBorders>
              <w:top w:val="nil"/>
              <w:left w:val="single" w:sz="6" w:space="0" w:color="auto"/>
              <w:bottom w:val="nil"/>
              <w:right w:val="single" w:sz="6" w:space="0" w:color="auto"/>
            </w:tcBorders>
            <w:vAlign w:val="center"/>
            <w:hideMark/>
          </w:tcPr>
          <w:p w14:paraId="4666E3C6" w14:textId="77777777" w:rsidR="00BE71E4" w:rsidRPr="00BE71E4" w:rsidRDefault="00BE71E4" w:rsidP="00BE71E4">
            <w:pP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743D08AE"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*Wired charging compatible with QC2.0 and AFC</w:t>
            </w:r>
            <w:r w:rsidRPr="00BE71E4">
              <w:rPr>
                <w:rFonts w:ascii="Arial" w:hAnsi="Arial" w:cs="Arial"/>
                <w:i/>
                <w:sz w:val="16"/>
                <w:szCs w:val="16"/>
                <w:u w:val="single"/>
                <w:lang w:val="en-US"/>
              </w:rPr>
              <w:t>PD</w:t>
            </w:r>
            <w:r w:rsidRPr="00BE71E4">
              <w:rPr>
                <w:rFonts w:ascii="Arial" w:hAnsi="Arial" w:cs="Arial"/>
                <w:i/>
                <w:sz w:val="16"/>
                <w:szCs w:val="16"/>
                <w:lang w:val="en-US"/>
              </w:rPr>
              <w:t>.</w:t>
            </w:r>
            <w:r w:rsidRPr="00BE71E4">
              <w:rPr>
                <w:rFonts w:ascii="Arial" w:hAnsi="Arial" w:cs="Arial"/>
                <w:sz w:val="16"/>
                <w:szCs w:val="16"/>
                <w:lang w:val="en-US"/>
              </w:rPr>
              <w:t>    </w:t>
            </w:r>
          </w:p>
        </w:tc>
      </w:tr>
      <w:tr w:rsidR="00BE71E4" w:rsidRPr="00BE71E4" w14:paraId="0F1E1C18" w14:textId="77777777" w:rsidTr="00BE71E4">
        <w:trPr>
          <w:trHeight w:val="300"/>
        </w:trPr>
        <w:tc>
          <w:tcPr>
            <w:tcW w:w="2544" w:type="dxa"/>
            <w:vMerge/>
            <w:tcBorders>
              <w:top w:val="nil"/>
              <w:left w:val="single" w:sz="6" w:space="0" w:color="auto"/>
              <w:bottom w:val="nil"/>
              <w:right w:val="single" w:sz="6" w:space="0" w:color="auto"/>
            </w:tcBorders>
            <w:vAlign w:val="center"/>
            <w:hideMark/>
          </w:tcPr>
          <w:p w14:paraId="0E0B393E" w14:textId="77777777" w:rsidR="00BE71E4" w:rsidRPr="00BE71E4" w:rsidRDefault="00BE71E4" w:rsidP="00BE71E4">
            <w:pP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5F9FC38F"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**25W Power Adapter sold separately. Use only Samsung-approved chargers and cables.</w:t>
            </w:r>
            <w:r w:rsidRPr="00BE71E4">
              <w:rPr>
                <w:rFonts w:ascii="Arial" w:hAnsi="Arial" w:cs="Arial"/>
                <w:sz w:val="16"/>
                <w:szCs w:val="16"/>
                <w:lang w:val="en-US"/>
              </w:rPr>
              <w:t>    </w:t>
            </w:r>
          </w:p>
        </w:tc>
      </w:tr>
      <w:tr w:rsidR="00BE71E4" w:rsidRPr="00BE71E4" w14:paraId="0B945E40" w14:textId="77777777" w:rsidTr="00BE71E4">
        <w:trPr>
          <w:trHeight w:val="300"/>
        </w:trPr>
        <w:tc>
          <w:tcPr>
            <w:tcW w:w="2544" w:type="dxa"/>
            <w:vMerge/>
            <w:tcBorders>
              <w:top w:val="nil"/>
              <w:left w:val="single" w:sz="6" w:space="0" w:color="auto"/>
              <w:bottom w:val="nil"/>
              <w:right w:val="single" w:sz="6" w:space="0" w:color="auto"/>
            </w:tcBorders>
            <w:vAlign w:val="center"/>
            <w:hideMark/>
          </w:tcPr>
          <w:p w14:paraId="112881B7" w14:textId="77777777" w:rsidR="00BE71E4" w:rsidRPr="00BE71E4" w:rsidRDefault="00BE71E4" w:rsidP="00BE71E4">
            <w:pP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5A04F769"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 xml:space="preserve">***Wireless charging </w:t>
            </w:r>
            <w:proofErr w:type="gramStart"/>
            <w:r w:rsidRPr="00BE71E4">
              <w:rPr>
                <w:rFonts w:ascii="Arial" w:hAnsi="Arial" w:cs="Arial"/>
                <w:i/>
                <w:sz w:val="16"/>
                <w:szCs w:val="16"/>
                <w:lang w:val="en-US"/>
              </w:rPr>
              <w:t>compatible</w:t>
            </w:r>
            <w:proofErr w:type="gramEnd"/>
            <w:r w:rsidRPr="00BE71E4">
              <w:rPr>
                <w:rFonts w:ascii="Arial" w:hAnsi="Arial" w:cs="Arial"/>
                <w:i/>
                <w:sz w:val="16"/>
                <w:szCs w:val="16"/>
                <w:lang w:val="en-US"/>
              </w:rPr>
              <w:t xml:space="preserve"> with WPC.</w:t>
            </w:r>
            <w:r w:rsidRPr="00BE71E4">
              <w:rPr>
                <w:rFonts w:ascii="Arial" w:hAnsi="Arial" w:cs="Arial"/>
                <w:sz w:val="16"/>
                <w:szCs w:val="16"/>
                <w:lang w:val="en-US"/>
              </w:rPr>
              <w:t>    </w:t>
            </w:r>
          </w:p>
        </w:tc>
      </w:tr>
      <w:tr w:rsidR="00BE71E4" w:rsidRPr="00BE71E4" w14:paraId="46CF2469" w14:textId="77777777" w:rsidTr="00BE71E4">
        <w:trPr>
          <w:trHeight w:val="300"/>
        </w:trPr>
        <w:tc>
          <w:tcPr>
            <w:tcW w:w="2544" w:type="dxa"/>
            <w:vMerge/>
            <w:tcBorders>
              <w:top w:val="nil"/>
              <w:left w:val="single" w:sz="6" w:space="0" w:color="auto"/>
              <w:bottom w:val="nil"/>
              <w:right w:val="single" w:sz="6" w:space="0" w:color="auto"/>
            </w:tcBorders>
            <w:vAlign w:val="center"/>
            <w:hideMark/>
          </w:tcPr>
          <w:p w14:paraId="55F06E54" w14:textId="77777777" w:rsidR="00BE71E4" w:rsidRPr="00BE71E4" w:rsidRDefault="00BE71E4" w:rsidP="00BE71E4">
            <w:pP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03C56562"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 xml:space="preserve">****Limited to Samsung or other brand smartphones with Qi wireless charging, such as Galaxy S24 Ultra, S24+, S24, S23 Ultra, S23+, S23, Z Fold 4, Z Flip4, S22 series, Z Fold3 5G, Z Flip3 5G, S21 FE 5G, S21 series, Z Fold2, Note20 series, S20 series, Z Flip, Note10, Note10+, S10e, S10, S10+, Fold, S9, S9+, S8, S8+, S8 Active, S7, S7 edge, S7 Active, S6, S6 edge, S6 </w:t>
            </w:r>
            <w:r w:rsidRPr="00BE71E4">
              <w:rPr>
                <w:rFonts w:ascii="Arial" w:hAnsi="Arial" w:cs="Arial"/>
                <w:i/>
                <w:sz w:val="16"/>
                <w:szCs w:val="16"/>
                <w:lang w:val="en-US"/>
              </w:rPr>
              <w:lastRenderedPageBreak/>
              <w:t xml:space="preserve">Active, S6 edge+, Note9, Note8, Note FE and Note5. Only available with certain Samsung Galaxy wearables such as Galaxy Buds FE, Buds2 Pro, Buds2, Buds Pro, Buds Live, Watch6, Watch6 Classic, Watch5, </w:t>
            </w:r>
            <w:proofErr w:type="gramStart"/>
            <w:r w:rsidRPr="00BE71E4">
              <w:rPr>
                <w:rFonts w:ascii="Arial" w:hAnsi="Arial" w:cs="Arial"/>
                <w:i/>
                <w:sz w:val="16"/>
                <w:szCs w:val="16"/>
                <w:lang w:val="en-US"/>
              </w:rPr>
              <w:t>Watch</w:t>
            </w:r>
            <w:proofErr w:type="gramEnd"/>
            <w:r w:rsidRPr="00BE71E4">
              <w:rPr>
                <w:rFonts w:ascii="Arial" w:hAnsi="Arial" w:cs="Arial"/>
                <w:i/>
                <w:sz w:val="16"/>
                <w:szCs w:val="16"/>
                <w:lang w:val="en-US"/>
              </w:rPr>
              <w:t xml:space="preserve"> 5 Pro, Watch4, Watch4 Classic, Watch3, Watch </w:t>
            </w:r>
            <w:proofErr w:type="gramStart"/>
            <w:r w:rsidRPr="00BE71E4">
              <w:rPr>
                <w:rFonts w:ascii="Arial" w:hAnsi="Arial" w:cs="Arial"/>
                <w:i/>
                <w:sz w:val="16"/>
                <w:szCs w:val="16"/>
                <w:lang w:val="en-US"/>
              </w:rPr>
              <w:t>Active2, Watch Active</w:t>
            </w:r>
            <w:proofErr w:type="gramEnd"/>
            <w:r w:rsidRPr="00BE71E4">
              <w:rPr>
                <w:rFonts w:ascii="Arial" w:hAnsi="Arial" w:cs="Arial"/>
                <w:i/>
                <w:sz w:val="16"/>
                <w:szCs w:val="16"/>
                <w:lang w:val="en-US"/>
              </w:rPr>
              <w:t>, Gear Sport, Gear S3, Galaxy Watch and Galaxy Buds. If battery power is lower than 30% Wireless PowerShare may not function. May not work with certain accessories, covers, other brand devices or some Samsung wearables. During PowerShare, it may affect call reception or data services, depending on your network environment.</w:t>
            </w:r>
            <w:r w:rsidRPr="00BE71E4">
              <w:rPr>
                <w:rFonts w:ascii="Arial" w:hAnsi="Arial" w:cs="Arial"/>
                <w:sz w:val="16"/>
                <w:szCs w:val="16"/>
                <w:lang w:val="en-US"/>
              </w:rPr>
              <w:t>    </w:t>
            </w:r>
          </w:p>
        </w:tc>
      </w:tr>
      <w:tr w:rsidR="00BE71E4" w:rsidRPr="00BE71E4" w14:paraId="51EF2577" w14:textId="77777777" w:rsidTr="00BE71E4">
        <w:trPr>
          <w:trHeight w:val="300"/>
        </w:trPr>
        <w:tc>
          <w:tcPr>
            <w:tcW w:w="2544" w:type="dxa"/>
            <w:tcBorders>
              <w:top w:val="single" w:sz="6" w:space="0" w:color="auto"/>
              <w:left w:val="single" w:sz="6" w:space="0" w:color="auto"/>
              <w:bottom w:val="single" w:sz="6" w:space="0" w:color="auto"/>
              <w:right w:val="single" w:sz="6" w:space="0" w:color="auto"/>
            </w:tcBorders>
            <w:vAlign w:val="center"/>
            <w:hideMark/>
          </w:tcPr>
          <w:p w14:paraId="13B4B8BF" w14:textId="69844A1C"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lastRenderedPageBreak/>
              <w:t>OS</w:t>
            </w: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172040BF"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Android 15   </w:t>
            </w:r>
          </w:p>
          <w:p w14:paraId="4B608C32"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One UI 7   </w:t>
            </w:r>
          </w:p>
        </w:tc>
      </w:tr>
      <w:tr w:rsidR="00BE71E4" w:rsidRPr="00BE71E4" w14:paraId="39784049" w14:textId="77777777" w:rsidTr="00BE71E4">
        <w:trPr>
          <w:trHeight w:val="300"/>
        </w:trPr>
        <w:tc>
          <w:tcPr>
            <w:tcW w:w="2544" w:type="dxa"/>
            <w:vMerge w:val="restart"/>
            <w:tcBorders>
              <w:top w:val="nil"/>
              <w:left w:val="single" w:sz="6" w:space="0" w:color="auto"/>
              <w:bottom w:val="nil"/>
              <w:right w:val="single" w:sz="6" w:space="0" w:color="auto"/>
            </w:tcBorders>
            <w:vAlign w:val="center"/>
            <w:hideMark/>
          </w:tcPr>
          <w:p w14:paraId="5E7D351F" w14:textId="131C1653"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Network and Connectivity</w:t>
            </w:r>
            <w:r w:rsidRPr="00BE71E4">
              <w:rPr>
                <w:rFonts w:ascii="Arial" w:hAnsi="Arial" w:cs="Arial"/>
                <w:sz w:val="20"/>
                <w:szCs w:val="20"/>
                <w:lang w:val="en-US"/>
              </w:rPr>
              <w:t>    </w:t>
            </w:r>
          </w:p>
        </w:tc>
        <w:tc>
          <w:tcPr>
            <w:tcW w:w="6800" w:type="dxa"/>
            <w:tcBorders>
              <w:top w:val="nil"/>
              <w:left w:val="nil"/>
              <w:bottom w:val="single" w:sz="6" w:space="0" w:color="auto"/>
              <w:right w:val="single" w:sz="6" w:space="0" w:color="auto"/>
            </w:tcBorders>
            <w:vAlign w:val="center"/>
            <w:hideMark/>
          </w:tcPr>
          <w:p w14:paraId="046BDFE0"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 5G*, LTE**, Wi-Fi 7***, Wi-Fi Direct Bluetooth® v 5.4  </w:t>
            </w:r>
          </w:p>
        </w:tc>
      </w:tr>
      <w:tr w:rsidR="00BE71E4" w:rsidRPr="00BE71E4" w14:paraId="064E2C47" w14:textId="77777777" w:rsidTr="00BE71E4">
        <w:trPr>
          <w:trHeight w:val="300"/>
        </w:trPr>
        <w:tc>
          <w:tcPr>
            <w:tcW w:w="2544" w:type="dxa"/>
            <w:vMerge/>
            <w:tcBorders>
              <w:top w:val="nil"/>
              <w:left w:val="single" w:sz="6" w:space="0" w:color="auto"/>
              <w:bottom w:val="nil"/>
              <w:right w:val="single" w:sz="6" w:space="0" w:color="auto"/>
            </w:tcBorders>
            <w:vAlign w:val="center"/>
            <w:hideMark/>
          </w:tcPr>
          <w:p w14:paraId="5546F4EE" w14:textId="77777777" w:rsidR="00BE71E4" w:rsidRPr="00BE71E4" w:rsidRDefault="00BE71E4" w:rsidP="00BE71E4">
            <w:pPr>
              <w:jc w:val="cente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1E2F2215"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 xml:space="preserve">*Requires </w:t>
            </w:r>
            <w:proofErr w:type="gramStart"/>
            <w:r w:rsidRPr="00BE71E4">
              <w:rPr>
                <w:rFonts w:ascii="Arial" w:hAnsi="Arial" w:cs="Arial"/>
                <w:i/>
                <w:sz w:val="16"/>
                <w:szCs w:val="16"/>
                <w:lang w:val="en-US"/>
              </w:rPr>
              <w:t>optimal</w:t>
            </w:r>
            <w:proofErr w:type="gramEnd"/>
            <w:r w:rsidRPr="00BE71E4">
              <w:rPr>
                <w:rFonts w:ascii="Arial" w:hAnsi="Arial" w:cs="Arial"/>
                <w:i/>
                <w:sz w:val="16"/>
                <w:szCs w:val="16"/>
                <w:lang w:val="en-US"/>
              </w:rPr>
              <w:t xml:space="preserve"> 5G network connection, available in select markets. </w:t>
            </w:r>
            <w:proofErr w:type="gramStart"/>
            <w:r w:rsidRPr="00BE71E4">
              <w:rPr>
                <w:rFonts w:ascii="Arial" w:hAnsi="Arial" w:cs="Arial"/>
                <w:i/>
                <w:sz w:val="16"/>
                <w:szCs w:val="16"/>
                <w:lang w:val="en-US"/>
              </w:rPr>
              <w:t>Check with</w:t>
            </w:r>
            <w:proofErr w:type="gramEnd"/>
            <w:r w:rsidRPr="00BE71E4">
              <w:rPr>
                <w:rFonts w:ascii="Arial" w:hAnsi="Arial" w:cs="Arial"/>
                <w:i/>
                <w:sz w:val="16"/>
                <w:szCs w:val="16"/>
                <w:lang w:val="en-US"/>
              </w:rPr>
              <w:t xml:space="preserve"> your carrier for availability and details. Download and streaming speeds may vary based on content provider, server connection and other factors.</w:t>
            </w:r>
            <w:r w:rsidRPr="00BE71E4">
              <w:rPr>
                <w:rFonts w:ascii="Arial" w:hAnsi="Arial" w:cs="Arial"/>
                <w:sz w:val="16"/>
                <w:szCs w:val="16"/>
                <w:lang w:val="en-US"/>
              </w:rPr>
              <w:t>    </w:t>
            </w:r>
          </w:p>
          <w:p w14:paraId="113B4E62" w14:textId="77777777" w:rsidR="00BE71E4" w:rsidRPr="00BE71E4" w:rsidRDefault="00BE71E4" w:rsidP="00BE71E4">
            <w:pPr>
              <w:rPr>
                <w:rFonts w:ascii="Arial" w:hAnsi="Arial" w:cs="Arial"/>
                <w:sz w:val="16"/>
                <w:szCs w:val="16"/>
                <w:lang w:val="en-US"/>
              </w:rPr>
            </w:pPr>
            <w:r w:rsidRPr="00BE71E4">
              <w:rPr>
                <w:rFonts w:ascii="Arial" w:hAnsi="Arial" w:cs="Arial"/>
                <w:i/>
                <w:sz w:val="16"/>
                <w:szCs w:val="16"/>
                <w:lang w:val="en-US"/>
              </w:rPr>
              <w:t xml:space="preserve">**Availability of LTE model varies by market and carrier. Actual speed may vary depending on </w:t>
            </w:r>
            <w:proofErr w:type="gramStart"/>
            <w:r w:rsidRPr="00BE71E4">
              <w:rPr>
                <w:rFonts w:ascii="Arial" w:hAnsi="Arial" w:cs="Arial"/>
                <w:i/>
                <w:sz w:val="16"/>
                <w:szCs w:val="16"/>
                <w:lang w:val="en-US"/>
              </w:rPr>
              <w:t>market</w:t>
            </w:r>
            <w:proofErr w:type="gramEnd"/>
            <w:r w:rsidRPr="00BE71E4">
              <w:rPr>
                <w:rFonts w:ascii="Arial" w:hAnsi="Arial" w:cs="Arial"/>
                <w:i/>
                <w:sz w:val="16"/>
                <w:szCs w:val="16"/>
                <w:lang w:val="en-US"/>
              </w:rPr>
              <w:t>, carrier, and user environment.</w:t>
            </w:r>
            <w:r w:rsidRPr="00BE71E4">
              <w:rPr>
                <w:rFonts w:ascii="Arial" w:hAnsi="Arial" w:cs="Arial"/>
                <w:sz w:val="16"/>
                <w:szCs w:val="16"/>
                <w:lang w:val="en-US"/>
              </w:rPr>
              <w:t>    </w:t>
            </w:r>
          </w:p>
          <w:p w14:paraId="2B3AB568" w14:textId="77777777" w:rsidR="00BE71E4" w:rsidRPr="00BE71E4" w:rsidRDefault="00BE71E4" w:rsidP="00BE71E4">
            <w:pPr>
              <w:rPr>
                <w:rFonts w:ascii="Arial" w:hAnsi="Arial" w:cs="Arial"/>
                <w:sz w:val="20"/>
                <w:szCs w:val="20"/>
                <w:lang w:val="en-US"/>
              </w:rPr>
            </w:pPr>
            <w:r w:rsidRPr="00BE71E4">
              <w:rPr>
                <w:rFonts w:ascii="Arial" w:hAnsi="Arial" w:cs="Arial"/>
                <w:i/>
                <w:sz w:val="16"/>
                <w:szCs w:val="16"/>
                <w:lang w:val="en-US"/>
              </w:rPr>
              <w:t>***Wi-Fi 7 network availability may vary by market, network provider and user environment. Requires optimal connection. Will require a Wi-Fi 7 router.</w:t>
            </w:r>
            <w:r w:rsidRPr="00BE71E4">
              <w:rPr>
                <w:rFonts w:ascii="Arial" w:hAnsi="Arial" w:cs="Arial"/>
                <w:sz w:val="16"/>
                <w:szCs w:val="16"/>
                <w:lang w:val="en-US"/>
              </w:rPr>
              <w:t> </w:t>
            </w:r>
          </w:p>
        </w:tc>
      </w:tr>
      <w:tr w:rsidR="00BE71E4" w:rsidRPr="00BE71E4" w14:paraId="53733AF2" w14:textId="77777777" w:rsidTr="00BE71E4">
        <w:trPr>
          <w:trHeight w:val="300"/>
        </w:trPr>
        <w:tc>
          <w:tcPr>
            <w:tcW w:w="2544" w:type="dxa"/>
            <w:vMerge w:val="restart"/>
            <w:tcBorders>
              <w:top w:val="single" w:sz="6" w:space="0" w:color="auto"/>
              <w:left w:val="single" w:sz="6" w:space="0" w:color="auto"/>
              <w:bottom w:val="single" w:sz="6" w:space="0" w:color="auto"/>
              <w:right w:val="single" w:sz="6" w:space="0" w:color="auto"/>
            </w:tcBorders>
            <w:vAlign w:val="center"/>
            <w:hideMark/>
          </w:tcPr>
          <w:p w14:paraId="00055CF0" w14:textId="3791352F" w:rsidR="00BE71E4" w:rsidRPr="00BE71E4" w:rsidRDefault="00BE71E4" w:rsidP="00BE71E4">
            <w:pPr>
              <w:jc w:val="center"/>
              <w:rPr>
                <w:rFonts w:ascii="Arial" w:hAnsi="Arial" w:cs="Arial"/>
                <w:sz w:val="20"/>
                <w:szCs w:val="20"/>
                <w:lang w:val="en-US"/>
              </w:rPr>
            </w:pPr>
            <w:r w:rsidRPr="00BE71E4">
              <w:rPr>
                <w:rFonts w:ascii="Arial" w:hAnsi="Arial" w:cs="Arial"/>
                <w:b/>
                <w:bCs/>
                <w:sz w:val="20"/>
                <w:szCs w:val="20"/>
                <w:lang w:val="en-US"/>
              </w:rPr>
              <w:t>Water Resistance</w:t>
            </w:r>
            <w:r w:rsidRPr="00BE71E4">
              <w:rPr>
                <w:rFonts w:ascii="Arial" w:hAnsi="Arial" w:cs="Arial"/>
                <w:sz w:val="20"/>
                <w:szCs w:val="20"/>
                <w:lang w:val="en-US"/>
              </w:rPr>
              <w:t>    </w:t>
            </w:r>
          </w:p>
        </w:tc>
        <w:tc>
          <w:tcPr>
            <w:tcW w:w="6800" w:type="dxa"/>
            <w:tcBorders>
              <w:top w:val="single" w:sz="6" w:space="0" w:color="auto"/>
              <w:left w:val="nil"/>
              <w:bottom w:val="single" w:sz="6" w:space="0" w:color="auto"/>
              <w:right w:val="single" w:sz="6" w:space="0" w:color="auto"/>
            </w:tcBorders>
            <w:vAlign w:val="center"/>
            <w:hideMark/>
          </w:tcPr>
          <w:p w14:paraId="68CB1F0E" w14:textId="77777777" w:rsidR="00BE71E4" w:rsidRPr="00BE71E4" w:rsidRDefault="00BE71E4" w:rsidP="00BE71E4">
            <w:pPr>
              <w:rPr>
                <w:rFonts w:ascii="Arial" w:hAnsi="Arial" w:cs="Arial"/>
                <w:sz w:val="20"/>
                <w:szCs w:val="20"/>
                <w:lang w:val="en-US"/>
              </w:rPr>
            </w:pPr>
            <w:r w:rsidRPr="00BE71E4">
              <w:rPr>
                <w:rFonts w:ascii="Arial" w:hAnsi="Arial" w:cs="Arial"/>
                <w:sz w:val="20"/>
                <w:szCs w:val="20"/>
                <w:lang w:val="en-US"/>
              </w:rPr>
              <w:t>IP68     </w:t>
            </w:r>
          </w:p>
        </w:tc>
      </w:tr>
      <w:tr w:rsidR="00BE71E4" w:rsidRPr="00BE71E4" w14:paraId="15C0F497" w14:textId="77777777" w:rsidTr="00BE71E4">
        <w:trPr>
          <w:trHeight w:val="300"/>
        </w:trPr>
        <w:tc>
          <w:tcPr>
            <w:tcW w:w="2544" w:type="dxa"/>
            <w:vMerge/>
            <w:tcBorders>
              <w:top w:val="single" w:sz="6" w:space="0" w:color="auto"/>
              <w:left w:val="single" w:sz="6" w:space="0" w:color="auto"/>
              <w:bottom w:val="single" w:sz="6" w:space="0" w:color="auto"/>
              <w:right w:val="single" w:sz="6" w:space="0" w:color="auto"/>
            </w:tcBorders>
            <w:vAlign w:val="center"/>
            <w:hideMark/>
          </w:tcPr>
          <w:p w14:paraId="06A93BF8" w14:textId="77777777" w:rsidR="00BE71E4" w:rsidRPr="00BE71E4" w:rsidRDefault="00BE71E4" w:rsidP="00BE71E4">
            <w:pPr>
              <w:rPr>
                <w:rFonts w:ascii="Arial" w:hAnsi="Arial" w:cs="Arial"/>
                <w:sz w:val="20"/>
                <w:szCs w:val="20"/>
                <w:lang w:val="en-US"/>
              </w:rPr>
            </w:pPr>
          </w:p>
        </w:tc>
        <w:tc>
          <w:tcPr>
            <w:tcW w:w="6800" w:type="dxa"/>
            <w:tcBorders>
              <w:top w:val="nil"/>
              <w:left w:val="nil"/>
              <w:bottom w:val="single" w:sz="6" w:space="0" w:color="auto"/>
              <w:right w:val="single" w:sz="6" w:space="0" w:color="auto"/>
            </w:tcBorders>
            <w:vAlign w:val="center"/>
            <w:hideMark/>
          </w:tcPr>
          <w:p w14:paraId="256E5BB5" w14:textId="77777777" w:rsidR="00BE71E4" w:rsidRPr="00BE71E4" w:rsidRDefault="00BE71E4" w:rsidP="00BE71E4">
            <w:pPr>
              <w:rPr>
                <w:rFonts w:ascii="Arial" w:hAnsi="Arial" w:cs="Arial"/>
                <w:sz w:val="20"/>
                <w:szCs w:val="20"/>
                <w:lang w:val="en-US"/>
              </w:rPr>
            </w:pPr>
            <w:r w:rsidRPr="00BE71E4">
              <w:rPr>
                <w:rFonts w:ascii="Arial" w:hAnsi="Arial" w:cs="Arial"/>
                <w:i/>
                <w:iCs/>
                <w:sz w:val="16"/>
                <w:szCs w:val="16"/>
                <w:lang w:val="en-US"/>
              </w:rPr>
              <w:t>*IP68 Rating: Water and dust resistant based on lab test conditions for submersion in up to 1.5 meters of freshwater for up to 30 minutes. Rinse residue/dry after wet. Not advised for beach or pool use. Water and dust resistance of your device is not permanent and may diminish over time. Water and dust resistance of the S Pen may also diminish over time because of normal wear and tear. </w:t>
            </w:r>
            <w:r w:rsidRPr="00BE71E4">
              <w:rPr>
                <w:rFonts w:ascii="Arial" w:hAnsi="Arial" w:cs="Arial"/>
                <w:sz w:val="16"/>
                <w:szCs w:val="16"/>
                <w:lang w:val="en-US"/>
              </w:rPr>
              <w:t> </w:t>
            </w:r>
          </w:p>
        </w:tc>
      </w:tr>
    </w:tbl>
    <w:p w14:paraId="4BB41369" w14:textId="65F1DCCA" w:rsidR="00BE71E4" w:rsidRPr="00BE71E4" w:rsidRDefault="00BE71E4" w:rsidP="00BE71E4">
      <w:pPr>
        <w:rPr>
          <w:rFonts w:ascii="Arial" w:hAnsi="Arial" w:cs="Arial"/>
          <w:sz w:val="20"/>
          <w:szCs w:val="20"/>
        </w:rPr>
      </w:pPr>
      <w:r w:rsidRPr="00BE71E4">
        <w:rPr>
          <w:rFonts w:ascii="Arial" w:hAnsi="Arial" w:cs="Arial"/>
          <w:sz w:val="20"/>
          <w:szCs w:val="20"/>
        </w:rPr>
        <w:t>*Specifikationer kan variere afhængigt af markedet.</w:t>
      </w:r>
    </w:p>
    <w:p w14:paraId="5659806E" w14:textId="77777777" w:rsidR="00BE71E4" w:rsidRPr="00BE71E4" w:rsidRDefault="00BE71E4" w:rsidP="00BE71E4">
      <w:pPr>
        <w:rPr>
          <w:rFonts w:ascii="Arial" w:hAnsi="Arial" w:cs="Arial"/>
          <w:sz w:val="20"/>
          <w:szCs w:val="20"/>
        </w:rPr>
      </w:pPr>
      <w:r w:rsidRPr="00BE71E4">
        <w:rPr>
          <w:rFonts w:ascii="Arial" w:hAnsi="Arial" w:cs="Arial"/>
          <w:sz w:val="20"/>
          <w:szCs w:val="20"/>
        </w:rPr>
        <w:t>*Al funktionalitet, alle egenskaber, specifikationer og anden produktoplysning angivet i dette dokument, herunder, men ikke begrænset til, produktets fordele, design, pris, komponenter, ydeevne, tilgængelighed og kapaciteter, kan ændres uden varsel.</w:t>
      </w:r>
    </w:p>
    <w:p w14:paraId="42A0DB45" w14:textId="77777777" w:rsidR="00BE71E4" w:rsidRPr="00BE71E4" w:rsidRDefault="00BE71E4" w:rsidP="00BE71E4"/>
    <w:p w14:paraId="5C92D6A0" w14:textId="77777777" w:rsidR="00EF2E34" w:rsidRDefault="00EF2E34"/>
    <w:sectPr w:rsidR="00EF2E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601"/>
    <w:multiLevelType w:val="multilevel"/>
    <w:tmpl w:val="4E5A2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22057"/>
    <w:multiLevelType w:val="hybridMultilevel"/>
    <w:tmpl w:val="CDF01B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891174"/>
    <w:multiLevelType w:val="multilevel"/>
    <w:tmpl w:val="74CC3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C3504A"/>
    <w:multiLevelType w:val="multilevel"/>
    <w:tmpl w:val="ECEA4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3158426">
    <w:abstractNumId w:val="2"/>
    <w:lvlOverride w:ilvl="0"/>
    <w:lvlOverride w:ilvl="1"/>
    <w:lvlOverride w:ilvl="2"/>
    <w:lvlOverride w:ilvl="3"/>
    <w:lvlOverride w:ilvl="4"/>
    <w:lvlOverride w:ilvl="5"/>
    <w:lvlOverride w:ilvl="6"/>
    <w:lvlOverride w:ilvl="7"/>
    <w:lvlOverride w:ilvl="8"/>
  </w:num>
  <w:num w:numId="2" w16cid:durableId="1635941632">
    <w:abstractNumId w:val="3"/>
    <w:lvlOverride w:ilvl="0"/>
    <w:lvlOverride w:ilvl="1"/>
    <w:lvlOverride w:ilvl="2"/>
    <w:lvlOverride w:ilvl="3"/>
    <w:lvlOverride w:ilvl="4"/>
    <w:lvlOverride w:ilvl="5"/>
    <w:lvlOverride w:ilvl="6"/>
    <w:lvlOverride w:ilvl="7"/>
    <w:lvlOverride w:ilvl="8"/>
  </w:num>
  <w:num w:numId="3" w16cid:durableId="271326029">
    <w:abstractNumId w:val="0"/>
    <w:lvlOverride w:ilvl="0"/>
    <w:lvlOverride w:ilvl="1"/>
    <w:lvlOverride w:ilvl="2"/>
    <w:lvlOverride w:ilvl="3"/>
    <w:lvlOverride w:ilvl="4"/>
    <w:lvlOverride w:ilvl="5"/>
    <w:lvlOverride w:ilvl="6"/>
    <w:lvlOverride w:ilvl="7"/>
    <w:lvlOverride w:ilvl="8"/>
  </w:num>
  <w:num w:numId="4" w16cid:durableId="113418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E4"/>
    <w:rsid w:val="00BE71E4"/>
    <w:rsid w:val="00C526A7"/>
    <w:rsid w:val="00C604D6"/>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26CE"/>
  <w15:chartTrackingRefBased/>
  <w15:docId w15:val="{3425CE4F-7E74-4EC2-B599-6AFAD5B4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7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E7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E71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E71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E71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E71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E71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E71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E71E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71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E71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E71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E71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E71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E71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E71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E71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E71E4"/>
    <w:rPr>
      <w:rFonts w:eastAsiaTheme="majorEastAsia" w:cstheme="majorBidi"/>
      <w:color w:val="272727" w:themeColor="text1" w:themeTint="D8"/>
    </w:rPr>
  </w:style>
  <w:style w:type="paragraph" w:styleId="Titel">
    <w:name w:val="Title"/>
    <w:basedOn w:val="Normal"/>
    <w:next w:val="Normal"/>
    <w:link w:val="TitelTegn"/>
    <w:uiPriority w:val="10"/>
    <w:qFormat/>
    <w:rsid w:val="00BE7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E71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E71E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E71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E71E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E71E4"/>
    <w:rPr>
      <w:i/>
      <w:iCs/>
      <w:color w:val="404040" w:themeColor="text1" w:themeTint="BF"/>
    </w:rPr>
  </w:style>
  <w:style w:type="paragraph" w:styleId="Listeafsnit">
    <w:name w:val="List Paragraph"/>
    <w:basedOn w:val="Normal"/>
    <w:uiPriority w:val="34"/>
    <w:qFormat/>
    <w:rsid w:val="00BE71E4"/>
    <w:pPr>
      <w:ind w:left="720"/>
      <w:contextualSpacing/>
    </w:pPr>
  </w:style>
  <w:style w:type="character" w:styleId="Kraftigfremhvning">
    <w:name w:val="Intense Emphasis"/>
    <w:basedOn w:val="Standardskrifttypeiafsnit"/>
    <w:uiPriority w:val="21"/>
    <w:qFormat/>
    <w:rsid w:val="00BE71E4"/>
    <w:rPr>
      <w:i/>
      <w:iCs/>
      <w:color w:val="0F4761" w:themeColor="accent1" w:themeShade="BF"/>
    </w:rPr>
  </w:style>
  <w:style w:type="paragraph" w:styleId="Strktcitat">
    <w:name w:val="Intense Quote"/>
    <w:basedOn w:val="Normal"/>
    <w:next w:val="Normal"/>
    <w:link w:val="StrktcitatTegn"/>
    <w:uiPriority w:val="30"/>
    <w:qFormat/>
    <w:rsid w:val="00BE7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E71E4"/>
    <w:rPr>
      <w:i/>
      <w:iCs/>
      <w:color w:val="0F4761" w:themeColor="accent1" w:themeShade="BF"/>
    </w:rPr>
  </w:style>
  <w:style w:type="character" w:styleId="Kraftighenvisning">
    <w:name w:val="Intense Reference"/>
    <w:basedOn w:val="Standardskrifttypeiafsnit"/>
    <w:uiPriority w:val="32"/>
    <w:qFormat/>
    <w:rsid w:val="00BE7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942744">
      <w:bodyDiv w:val="1"/>
      <w:marLeft w:val="0"/>
      <w:marRight w:val="0"/>
      <w:marTop w:val="0"/>
      <w:marBottom w:val="0"/>
      <w:divBdr>
        <w:top w:val="none" w:sz="0" w:space="0" w:color="auto"/>
        <w:left w:val="none" w:sz="0" w:space="0" w:color="auto"/>
        <w:bottom w:val="none" w:sz="0" w:space="0" w:color="auto"/>
        <w:right w:val="none" w:sz="0" w:space="0" w:color="auto"/>
      </w:divBdr>
    </w:div>
    <w:div w:id="20550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3258</Characters>
  <Application>Microsoft Office Word</Application>
  <DocSecurity>0</DocSecurity>
  <Lines>27</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2025-05-13T06:17:00Z</dcterms:created>
  <dcterms:modified xsi:type="dcterms:W3CDTF">2025-05-13T06:20:00Z</dcterms:modified>
</cp:coreProperties>
</file>