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7C" w:rsidRDefault="00B03DAC">
      <w:pPr>
        <w:pStyle w:val="berschrift1"/>
        <w:rPr>
          <w:rFonts w:ascii="Sparkasse Rg" w:eastAsia="Sparkasse Rg" w:hAnsi="Sparkasse Rg" w:cs="Sparkasse Rg"/>
          <w:sz w:val="24"/>
          <w:szCs w:val="24"/>
        </w:rPr>
      </w:pPr>
      <w:r>
        <w:rPr>
          <w:rFonts w:ascii="Sparkasse Rg" w:eastAsia="Sparkasse Rg" w:hAnsi="Sparkasse Rg" w:cs="Sparkasse Rg"/>
          <w:sz w:val="24"/>
          <w:szCs w:val="24"/>
        </w:rPr>
        <w:t>Pressemeldung / 2</w:t>
      </w:r>
      <w:r w:rsidR="00587EEF">
        <w:rPr>
          <w:rFonts w:ascii="Sparkasse Rg" w:eastAsia="Sparkasse Rg" w:hAnsi="Sparkasse Rg" w:cs="Sparkasse Rg"/>
          <w:sz w:val="24"/>
          <w:szCs w:val="24"/>
        </w:rPr>
        <w:t>3</w:t>
      </w:r>
      <w:r>
        <w:rPr>
          <w:rFonts w:ascii="Sparkasse Rg" w:eastAsia="Sparkasse Rg" w:hAnsi="Sparkasse Rg" w:cs="Sparkasse Rg"/>
          <w:sz w:val="24"/>
          <w:szCs w:val="24"/>
        </w:rPr>
        <w:t>.05.2018</w:t>
      </w:r>
    </w:p>
    <w:p w:rsidR="00756D7C" w:rsidRDefault="00756D7C">
      <w:pPr>
        <w:pStyle w:val="berschrift1"/>
        <w:rPr>
          <w:rFonts w:ascii="Sparkasse Rg" w:eastAsia="Sparkasse Rg" w:hAnsi="Sparkasse Rg" w:cs="Sparkasse Rg"/>
          <w:sz w:val="24"/>
          <w:szCs w:val="24"/>
        </w:rPr>
      </w:pPr>
    </w:p>
    <w:p w:rsidR="00756D7C" w:rsidRDefault="00B03DAC">
      <w:pPr>
        <w:pStyle w:val="berschrift1"/>
        <w:rPr>
          <w:rFonts w:ascii="Sparkasse Rg" w:eastAsia="Sparkasse Rg" w:hAnsi="Sparkasse Rg" w:cs="Sparkasse Rg"/>
          <w:sz w:val="24"/>
          <w:szCs w:val="24"/>
        </w:rPr>
      </w:pPr>
      <w:r>
        <w:rPr>
          <w:rFonts w:ascii="Sparkasse Rg" w:eastAsia="Sparkasse Rg" w:hAnsi="Sparkasse Rg" w:cs="Sparkasse Rg"/>
          <w:sz w:val="24"/>
          <w:szCs w:val="24"/>
        </w:rPr>
        <w:t>Münchner sammeln 3 Mio. Euro für regionale Projekte</w:t>
      </w:r>
      <w:r w:rsidR="00587EEF">
        <w:rPr>
          <w:rFonts w:ascii="Sparkasse Rg" w:eastAsia="Sparkasse Rg" w:hAnsi="Sparkasse Rg" w:cs="Sparkasse Rg"/>
          <w:sz w:val="24"/>
          <w:szCs w:val="24"/>
        </w:rPr>
        <w:t xml:space="preserve"> – </w:t>
      </w:r>
      <w:r>
        <w:rPr>
          <w:rFonts w:ascii="Sparkasse Rg" w:eastAsia="Sparkasse Rg" w:hAnsi="Sparkasse Rg" w:cs="Sparkasse Rg"/>
          <w:sz w:val="24"/>
          <w:szCs w:val="24"/>
        </w:rPr>
        <w:t>gut-fuer-muenchen.de bietet einfache digitale Spendenmöglichkeit</w:t>
      </w:r>
    </w:p>
    <w:p w:rsidR="00756D7C" w:rsidRDefault="00756D7C"/>
    <w:p w:rsidR="00756D7C" w:rsidRDefault="00B03DAC">
      <w:pPr>
        <w:pBdr>
          <w:top w:val="nil"/>
          <w:left w:val="nil"/>
          <w:bottom w:val="nil"/>
          <w:right w:val="nil"/>
          <w:between w:val="nil"/>
        </w:pBdr>
        <w:spacing w:after="120" w:line="360" w:lineRule="auto"/>
        <w:ind w:right="1983"/>
        <w:rPr>
          <w:color w:val="000000"/>
        </w:rPr>
      </w:pPr>
      <w:r>
        <w:rPr>
          <w:b/>
          <w:color w:val="000000"/>
        </w:rPr>
        <w:t>München (</w:t>
      </w:r>
      <w:proofErr w:type="spellStart"/>
      <w:r>
        <w:rPr>
          <w:b/>
          <w:color w:val="000000"/>
        </w:rPr>
        <w:t>sskm</w:t>
      </w:r>
      <w:proofErr w:type="spellEnd"/>
      <w:r>
        <w:rPr>
          <w:b/>
          <w:color w:val="000000"/>
        </w:rPr>
        <w:t>).</w:t>
      </w:r>
      <w:r>
        <w:rPr>
          <w:color w:val="000000"/>
        </w:rPr>
        <w:t xml:space="preserve"> </w:t>
      </w:r>
      <w:r w:rsidRPr="00587EEF">
        <w:t>In den vergangenen</w:t>
      </w:r>
      <w:r>
        <w:rPr>
          <w:color w:val="000000"/>
        </w:rPr>
        <w:t xml:space="preserve"> zweieinhalb Jahren haben die Münchner mit ihren Spenden </w:t>
      </w:r>
      <w:r w:rsidRPr="00587EEF">
        <w:t>dazu beigetragen</w:t>
      </w:r>
      <w:r>
        <w:rPr>
          <w:color w:val="000000"/>
        </w:rPr>
        <w:t>, dass auf der Online-Plattform www.gut-fuer-muenchen.de jetzt die 3 </w:t>
      </w:r>
      <w:proofErr w:type="spellStart"/>
      <w:r>
        <w:rPr>
          <w:color w:val="000000"/>
        </w:rPr>
        <w:t>Mio</w:t>
      </w:r>
      <w:proofErr w:type="spellEnd"/>
      <w:r>
        <w:rPr>
          <w:color w:val="000000"/>
        </w:rPr>
        <w:t>-Euro-Marke geknackt ist. „Wir sind total überwältigt, wie stark die Münchnerinnen und Münchner die von uns eingerichtete Spendenplattform annehmen“, freut sich Ralf Fleischer, Vorstandsvorsitzender der Stadtsparkasse München. Knapp 700 Projekte haben seit dem Start der Plattform im November 2015 bereits von der enormen Spendenbe</w:t>
      </w:r>
      <w:r w:rsidR="00587EEF">
        <w:rPr>
          <w:color w:val="000000"/>
        </w:rPr>
        <w:t xml:space="preserve">reitschaft der Münchner Bürger </w:t>
      </w:r>
      <w:r>
        <w:rPr>
          <w:color w:val="000000"/>
        </w:rPr>
        <w:t>profitiert. Die Stadtsparkasse trägt so dazu bei, das Leben in München noch lebenswerter zu machen.</w:t>
      </w:r>
    </w:p>
    <w:p w:rsidR="00756D7C" w:rsidRDefault="00B03DAC">
      <w:pPr>
        <w:pBdr>
          <w:top w:val="nil"/>
          <w:left w:val="nil"/>
          <w:bottom w:val="nil"/>
          <w:right w:val="nil"/>
          <w:between w:val="nil"/>
        </w:pBdr>
        <w:spacing w:after="120" w:line="360" w:lineRule="auto"/>
        <w:ind w:right="1983"/>
        <w:rPr>
          <w:color w:val="000000"/>
        </w:rPr>
      </w:pPr>
      <w:r>
        <w:rPr>
          <w:color w:val="000000"/>
        </w:rPr>
        <w:t xml:space="preserve">Auf </w:t>
      </w:r>
      <w:r>
        <w:rPr>
          <w:b/>
          <w:color w:val="000000"/>
        </w:rPr>
        <w:t>www.gut-fuer-muenchen.de</w:t>
      </w:r>
      <w:r>
        <w:rPr>
          <w:color w:val="000000"/>
        </w:rPr>
        <w:t xml:space="preserve"> bringen die Stadtsparkasse München und betterplace.org, Deutschlands größte Spendenplattform, Münchner Hilfsprojekte und Spender im Internet zusammen. Die Nutzung der Spendenplattform ist sowohl für die Projektverantwortlichen als auch für die Spender kostenfrei. Möglich ist dies, da die Stadtsparkasse München die kompletten Kosten für den Portalbetrieb übernimmt. Die Spenden kommen so ohne jeden Abzug zu 100 Prozent den projekttragenden Organisationen zugute.</w:t>
      </w:r>
    </w:p>
    <w:p w:rsidR="00756D7C" w:rsidRDefault="00B03DAC">
      <w:pPr>
        <w:pBdr>
          <w:top w:val="nil"/>
          <w:left w:val="nil"/>
          <w:bottom w:val="nil"/>
          <w:right w:val="nil"/>
          <w:between w:val="nil"/>
        </w:pBdr>
        <w:spacing w:after="120" w:line="360" w:lineRule="auto"/>
        <w:ind w:right="1983"/>
        <w:rPr>
          <w:color w:val="000000"/>
        </w:rPr>
      </w:pPr>
      <w:r>
        <w:rPr>
          <w:color w:val="000000"/>
        </w:rPr>
        <w:t>Mehrmals bereits hat die Stadtsparkasse zu besonderen Terminen die eingehenden Spenden verdoppelt, beispielsweise mit 10.000 Euro zum „</w:t>
      </w:r>
      <w:proofErr w:type="spellStart"/>
      <w:r>
        <w:rPr>
          <w:color w:val="000000"/>
        </w:rPr>
        <w:t>Giving</w:t>
      </w:r>
      <w:proofErr w:type="spellEnd"/>
      <w:r>
        <w:rPr>
          <w:color w:val="000000"/>
        </w:rPr>
        <w:t xml:space="preserve"> </w:t>
      </w:r>
      <w:proofErr w:type="spellStart"/>
      <w:r>
        <w:rPr>
          <w:color w:val="000000"/>
        </w:rPr>
        <w:t>Tuesday</w:t>
      </w:r>
      <w:proofErr w:type="spellEnd"/>
      <w:r>
        <w:rPr>
          <w:color w:val="000000"/>
        </w:rPr>
        <w:t>“ vergangenen November.</w:t>
      </w:r>
    </w:p>
    <w:p w:rsidR="00756D7C" w:rsidRDefault="00B03DAC">
      <w:pPr>
        <w:pBdr>
          <w:top w:val="nil"/>
          <w:left w:val="nil"/>
          <w:bottom w:val="nil"/>
          <w:right w:val="nil"/>
          <w:between w:val="nil"/>
        </w:pBdr>
        <w:spacing w:after="120" w:line="360" w:lineRule="auto"/>
        <w:ind w:right="1983"/>
        <w:rPr>
          <w:color w:val="000000"/>
        </w:rPr>
      </w:pPr>
      <w:r>
        <w:rPr>
          <w:color w:val="000000"/>
        </w:rPr>
        <w:t xml:space="preserve">Voraussetzung für das Nutzen der Plattform zum Spendensammeln ist, dass es sich um Projekte handelt, die ihren Wirkungsort in München haben, das Projekt als gemeinnützig anerkannt für soziale oder kulturelle Zwecke ohne wirtschaftlichen Hintergrund </w:t>
      </w:r>
      <w:r w:rsidR="00587EEF">
        <w:rPr>
          <w:color w:val="000000"/>
        </w:rPr>
        <w:t xml:space="preserve">ist </w:t>
      </w:r>
      <w:r>
        <w:rPr>
          <w:color w:val="000000"/>
        </w:rPr>
        <w:t xml:space="preserve">und die Verwendung der Spenden offen nachvollziehbar dokumentiert wird. Münchner können das Portal zum Spenden ganz einfach nutzen: Sie wählen ihr Lieblingsprojekt aus, entscheiden, wie viel sie spenden möchten und geben die Zahlung </w:t>
      </w:r>
      <w:r w:rsidR="00085EFF">
        <w:rPr>
          <w:color w:val="000000"/>
        </w:rPr>
        <w:t>zum Beispiel</w:t>
      </w:r>
      <w:bookmarkStart w:id="0" w:name="_GoBack"/>
      <w:bookmarkEnd w:id="0"/>
      <w:r>
        <w:rPr>
          <w:color w:val="000000"/>
        </w:rPr>
        <w:t xml:space="preserve"> per Lastschrifteinzug frei. Eine anerkannte Spendenbescheinigung sendet der Partner </w:t>
      </w:r>
      <w:r>
        <w:rPr>
          <w:color w:val="000000"/>
        </w:rPr>
        <w:lastRenderedPageBreak/>
        <w:t xml:space="preserve">betterplace.org am Jahresende allen Spendern automatisch zu, </w:t>
      </w:r>
      <w:r w:rsidR="00587EEF">
        <w:rPr>
          <w:color w:val="000000"/>
        </w:rPr>
        <w:t>damit</w:t>
      </w:r>
      <w:r>
        <w:rPr>
          <w:color w:val="000000"/>
        </w:rPr>
        <w:t xml:space="preserve"> sie </w:t>
      </w:r>
      <w:r w:rsidR="00587EEF">
        <w:rPr>
          <w:color w:val="000000"/>
        </w:rPr>
        <w:t xml:space="preserve">diese </w:t>
      </w:r>
      <w:r>
        <w:rPr>
          <w:color w:val="000000"/>
        </w:rPr>
        <w:t>für die Steuererklärung nutzen können.</w:t>
      </w:r>
    </w:p>
    <w:p w:rsidR="00756D7C" w:rsidRDefault="00B03DAC">
      <w:pPr>
        <w:pBdr>
          <w:top w:val="nil"/>
          <w:left w:val="nil"/>
          <w:bottom w:val="nil"/>
          <w:right w:val="nil"/>
          <w:between w:val="nil"/>
        </w:pBdr>
        <w:spacing w:after="120" w:line="360" w:lineRule="auto"/>
        <w:ind w:right="1983"/>
        <w:rPr>
          <w:color w:val="000000"/>
        </w:rPr>
      </w:pPr>
      <w:r>
        <w:rPr>
          <w:color w:val="000000"/>
        </w:rPr>
        <w:t>Für die Stadtsparkasse München gehört es zu ihrem Selbstverständnis, sich mit sozialem und kulturellem Engagement für die Region einzubringen und das Leben somit für die Bewohner noch lebenswerter zu machen.</w:t>
      </w:r>
    </w:p>
    <w:p w:rsidR="00756D7C" w:rsidRDefault="00756D7C"/>
    <w:p w:rsidR="00756D7C" w:rsidRDefault="00B03DAC">
      <w:pPr>
        <w:pBdr>
          <w:top w:val="single" w:sz="4" w:space="1" w:color="000000"/>
          <w:left w:val="single" w:sz="4" w:space="1" w:color="000000"/>
          <w:bottom w:val="single" w:sz="4" w:space="1" w:color="000000"/>
          <w:right w:val="single" w:sz="4" w:space="9" w:color="000000"/>
        </w:pBdr>
        <w:spacing w:after="60"/>
        <w:ind w:right="140"/>
        <w:rPr>
          <w:b/>
          <w:sz w:val="20"/>
          <w:szCs w:val="20"/>
        </w:rPr>
      </w:pPr>
      <w:r>
        <w:rPr>
          <w:b/>
          <w:sz w:val="20"/>
          <w:szCs w:val="20"/>
        </w:rPr>
        <w:t>Die Stadtsparkasse München</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Fast jeder zweite Münchner vertraut in Geldfragen auf die Stadtsparkasse München, die seit 1824 besteht. Der Marktführer unter den Münchner Banken im Privatkundenbereich, bezogen auf Hauptbankverbindungen, bietet mit 58 Standorten das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w:t>
      </w:r>
    </w:p>
    <w:sectPr w:rsidR="00756D7C" w:rsidSect="00085EFF">
      <w:headerReference w:type="default" r:id="rId7"/>
      <w:footerReference w:type="default" r:id="rId8"/>
      <w:footerReference w:type="first" r:id="rId9"/>
      <w:pgSz w:w="11906" w:h="16838"/>
      <w:pgMar w:top="1843" w:right="1559" w:bottom="2127"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C9" w:rsidRDefault="00B03DAC">
      <w:r>
        <w:separator/>
      </w:r>
    </w:p>
  </w:endnote>
  <w:endnote w:type="continuationSeparator" w:id="0">
    <w:p w:rsidR="003129C9" w:rsidRDefault="00B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183"/>
        <w:tab w:val="left" w:pos="4678"/>
        <w:tab w:val="left" w:pos="5245"/>
        <w:tab w:val="left" w:pos="6662"/>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B03DAC">
    <w:pPr>
      <w:pBdr>
        <w:top w:val="nil"/>
        <w:left w:val="nil"/>
        <w:bottom w:val="nil"/>
        <w:right w:val="nil"/>
        <w:between w:val="nil"/>
      </w:pBdr>
      <w:tabs>
        <w:tab w:val="left" w:pos="2183"/>
        <w:tab w:val="left" w:pos="4678"/>
        <w:tab w:val="left" w:pos="5245"/>
        <w:tab w:val="left" w:pos="6662"/>
      </w:tabs>
      <w:rPr>
        <w:color w:val="000000"/>
        <w:sz w:val="14"/>
        <w:szCs w:val="14"/>
      </w:rPr>
    </w:pPr>
    <w:r>
      <w:rPr>
        <w:color w:val="000000"/>
        <w:sz w:val="14"/>
        <w:szCs w:val="14"/>
      </w:rPr>
      <w:t>Anstalt des öffentlichen Rechts</w:t>
    </w:r>
    <w:r>
      <w:rPr>
        <w:color w:val="000000"/>
        <w:sz w:val="14"/>
        <w:szCs w:val="14"/>
      </w:rPr>
      <w:tab/>
      <w:t>Unternehmenskommunikation</w:t>
    </w:r>
    <w:r>
      <w:rPr>
        <w:color w:val="000000"/>
        <w:sz w:val="14"/>
        <w:szCs w:val="14"/>
      </w:rPr>
      <w:tab/>
      <w:t>Telefax:</w:t>
    </w:r>
    <w:r>
      <w:rPr>
        <w:color w:val="000000"/>
        <w:sz w:val="14"/>
        <w:szCs w:val="14"/>
      </w:rPr>
      <w:tab/>
      <w:t>089 2167-947301</w:t>
    </w:r>
    <w:r>
      <w:rPr>
        <w:color w:val="000000"/>
        <w:sz w:val="14"/>
        <w:szCs w:val="14"/>
      </w:rPr>
      <w:tab/>
      <w:t>Pressesprecher</w:t>
    </w:r>
  </w:p>
  <w:p w:rsidR="00756D7C" w:rsidRDefault="00B03DAC">
    <w:pPr>
      <w:pBdr>
        <w:top w:val="nil"/>
        <w:left w:val="nil"/>
        <w:bottom w:val="nil"/>
        <w:right w:val="nil"/>
        <w:between w:val="nil"/>
      </w:pBdr>
      <w:tabs>
        <w:tab w:val="left" w:pos="2183"/>
        <w:tab w:val="left" w:pos="4678"/>
        <w:tab w:val="left" w:pos="5245"/>
        <w:tab w:val="left" w:pos="6662"/>
      </w:tabs>
      <w:rPr>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1">
      <w:r>
        <w:rPr>
          <w:color w:val="000000"/>
          <w:sz w:val="14"/>
          <w:szCs w:val="14"/>
        </w:rPr>
        <w:t>presse@sskm.de</w:t>
      </w:r>
    </w:hyperlink>
    <w:r w:rsidR="00085EFF">
      <w:rPr>
        <w:color w:val="000000"/>
        <w:sz w:val="14"/>
        <w:szCs w:val="14"/>
      </w:rPr>
      <w:tab/>
      <w:t>23</w:t>
    </w:r>
    <w:r>
      <w:rPr>
        <w:color w:val="000000"/>
        <w:sz w:val="14"/>
        <w:szCs w:val="14"/>
      </w:rPr>
      <w:t>.05.2018</w:t>
    </w:r>
    <w:r>
      <w:rPr>
        <w:noProof/>
      </w:rPr>
      <w:drawing>
        <wp:anchor distT="0" distB="0" distL="114300" distR="114300" simplePos="0" relativeHeight="251659264" behindDoc="0" locked="0" layoutInCell="1" hidden="0" allowOverlap="1" wp14:anchorId="541BEA08" wp14:editId="4DEE2633">
          <wp:simplePos x="0" y="0"/>
          <wp:positionH relativeFrom="margin">
            <wp:posOffset>5194300</wp:posOffset>
          </wp:positionH>
          <wp:positionV relativeFrom="paragraph">
            <wp:posOffset>9198610</wp:posOffset>
          </wp:positionV>
          <wp:extent cx="398145" cy="237490"/>
          <wp:effectExtent l="0" t="0" r="0"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8145" cy="2374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43C3E94" wp14:editId="56399B9D">
          <wp:simplePos x="0" y="0"/>
          <wp:positionH relativeFrom="margin">
            <wp:posOffset>5625465</wp:posOffset>
          </wp:positionH>
          <wp:positionV relativeFrom="paragraph">
            <wp:posOffset>9229725</wp:posOffset>
          </wp:positionV>
          <wp:extent cx="128270" cy="128270"/>
          <wp:effectExtent l="0" t="0" r="0" b="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3"/>
                  <a:srcRect/>
                  <a:stretch>
                    <a:fillRect/>
                  </a:stretch>
                </pic:blipFill>
                <pic:spPr>
                  <a:xfrm>
                    <a:off x="0" y="0"/>
                    <a:ext cx="128270" cy="128270"/>
                  </a:xfrm>
                  <a:prstGeom prst="rect">
                    <a:avLst/>
                  </a:prstGeom>
                  <a:ln/>
                </pic:spPr>
              </pic:pic>
            </a:graphicData>
          </a:graphic>
        </wp:anchor>
      </w:drawing>
    </w:r>
  </w:p>
  <w:p w:rsidR="00756D7C" w:rsidRDefault="00B03DAC">
    <w:pPr>
      <w:pBdr>
        <w:top w:val="nil"/>
        <w:left w:val="nil"/>
        <w:bottom w:val="nil"/>
        <w:right w:val="nil"/>
        <w:between w:val="nil"/>
      </w:pBdr>
      <w:tabs>
        <w:tab w:val="left" w:pos="2183"/>
        <w:tab w:val="left" w:pos="4678"/>
        <w:tab w:val="left" w:pos="5245"/>
        <w:tab w:val="left" w:pos="6662"/>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 xml:space="preserve">Seite </w:t>
    </w:r>
    <w:r>
      <w:rPr>
        <w:color w:val="000000"/>
        <w:sz w:val="14"/>
        <w:szCs w:val="14"/>
      </w:rPr>
      <w:fldChar w:fldCharType="begin"/>
    </w:r>
    <w:r>
      <w:rPr>
        <w:color w:val="000000"/>
        <w:sz w:val="14"/>
        <w:szCs w:val="14"/>
      </w:rPr>
      <w:instrText>PAGE</w:instrText>
    </w:r>
    <w:r>
      <w:rPr>
        <w:color w:val="000000"/>
        <w:sz w:val="14"/>
        <w:szCs w:val="14"/>
      </w:rPr>
      <w:fldChar w:fldCharType="separate"/>
    </w:r>
    <w:r w:rsidR="00085EFF">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085EFF">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C9" w:rsidRDefault="00B03DAC">
      <w:r>
        <w:separator/>
      </w:r>
    </w:p>
  </w:footnote>
  <w:footnote w:type="continuationSeparator" w:id="0">
    <w:p w:rsidR="003129C9" w:rsidRDefault="00B0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7A80931F" wp14:editId="3198F5D6">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6D7C"/>
    <w:rsid w:val="00085EFF"/>
    <w:rsid w:val="003129C9"/>
    <w:rsid w:val="00587EEF"/>
    <w:rsid w:val="00756D7C"/>
    <w:rsid w:val="00B03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EC53FDC6.dotm</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Joachim Fröhler</cp:lastModifiedBy>
  <cp:revision>2</cp:revision>
  <dcterms:created xsi:type="dcterms:W3CDTF">2018-05-23T12:23:00Z</dcterms:created>
  <dcterms:modified xsi:type="dcterms:W3CDTF">2018-05-23T12:23:00Z</dcterms:modified>
</cp:coreProperties>
</file>