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56472C" w:rsidRDefault="007A3A2F" w:rsidP="007A3A2F">
      <w:pPr>
        <w:pStyle w:val="titel"/>
        <w:rPr>
          <w:sz w:val="22"/>
          <w:szCs w:val="22"/>
          <w:lang w:val="en-US"/>
        </w:rPr>
      </w:pPr>
      <w:r w:rsidRPr="0056472C">
        <w:rPr>
          <w:sz w:val="22"/>
          <w:szCs w:val="22"/>
          <w:lang w:val="en-US"/>
        </w:rPr>
        <w:t>GOETHEANUM</w:t>
      </w:r>
      <w:r w:rsidRPr="0056472C">
        <w:rPr>
          <w:sz w:val="22"/>
          <w:szCs w:val="22"/>
          <w:lang w:val="en-US"/>
        </w:rPr>
        <w:tab/>
      </w:r>
      <w:r w:rsidR="00B90BB3" w:rsidRPr="0056472C">
        <w:rPr>
          <w:sz w:val="22"/>
          <w:szCs w:val="22"/>
          <w:lang w:val="en-US"/>
        </w:rPr>
        <w:t xml:space="preserve"> </w:t>
      </w:r>
      <w:r w:rsidR="0081275A" w:rsidRPr="0056472C">
        <w:rPr>
          <w:sz w:val="22"/>
          <w:szCs w:val="22"/>
          <w:lang w:val="en-US"/>
        </w:rPr>
        <w:t>COMUNICACIÓN</w:t>
      </w:r>
    </w:p>
    <w:p w14:paraId="2CA980B4" w14:textId="77777777" w:rsidR="007A3A2F" w:rsidRPr="0056472C" w:rsidRDefault="007A3A2F" w:rsidP="007A3A2F">
      <w:pPr>
        <w:pStyle w:val="titel"/>
        <w:jc w:val="right"/>
        <w:rPr>
          <w:sz w:val="22"/>
          <w:szCs w:val="22"/>
          <w:lang w:val="en-US"/>
        </w:rPr>
      </w:pPr>
    </w:p>
    <w:p w14:paraId="06ECDFB8" w14:textId="77777777" w:rsidR="0056472C" w:rsidRPr="0056472C" w:rsidRDefault="0056472C" w:rsidP="0056472C">
      <w:pPr>
        <w:pStyle w:val="titel"/>
        <w:jc w:val="right"/>
        <w:rPr>
          <w:spacing w:val="1"/>
          <w:sz w:val="22"/>
          <w:szCs w:val="22"/>
          <w:lang w:val="en-US"/>
        </w:rPr>
      </w:pPr>
      <w:r w:rsidRPr="0056472C">
        <w:rPr>
          <w:sz w:val="22"/>
          <w:szCs w:val="22"/>
          <w:lang w:val="en-US"/>
        </w:rPr>
        <w:tab/>
        <w:t xml:space="preserve">Goetheanum, Dornach, Suiza, 22 </w:t>
      </w:r>
      <w:r w:rsidRPr="0056472C">
        <w:rPr>
          <w:spacing w:val="1"/>
          <w:sz w:val="22"/>
          <w:szCs w:val="22"/>
          <w:lang w:val="en-US"/>
        </w:rPr>
        <w:t>de diciembre de 2022</w:t>
      </w:r>
    </w:p>
    <w:p w14:paraId="484F48F2" w14:textId="77777777" w:rsidR="0056472C" w:rsidRPr="0056472C" w:rsidRDefault="0056472C" w:rsidP="0056472C">
      <w:pPr>
        <w:pStyle w:val="body"/>
        <w:rPr>
          <w:lang w:val="en-US"/>
        </w:rPr>
      </w:pPr>
    </w:p>
    <w:p w14:paraId="24AE411C" w14:textId="77777777" w:rsidR="0056472C" w:rsidRPr="0056472C" w:rsidRDefault="0056472C" w:rsidP="0056472C">
      <w:pPr>
        <w:pStyle w:val="titel"/>
        <w:spacing w:before="57"/>
        <w:rPr>
          <w:b/>
          <w:bCs/>
          <w:sz w:val="28"/>
          <w:szCs w:val="28"/>
          <w:lang w:val="en-US"/>
        </w:rPr>
      </w:pPr>
      <w:r w:rsidRPr="0056472C">
        <w:rPr>
          <w:b/>
          <w:bCs/>
          <w:sz w:val="28"/>
          <w:szCs w:val="28"/>
          <w:lang w:val="en-US"/>
        </w:rPr>
        <w:t>«Carácter seductor»</w:t>
      </w:r>
    </w:p>
    <w:p w14:paraId="4C0496CE" w14:textId="77777777" w:rsidR="0056472C" w:rsidRPr="0056472C" w:rsidRDefault="0056472C" w:rsidP="0056472C">
      <w:pPr>
        <w:pStyle w:val="titel"/>
        <w:spacing w:before="57"/>
        <w:rPr>
          <w:b/>
          <w:bCs/>
          <w:sz w:val="24"/>
          <w:szCs w:val="24"/>
          <w:lang w:val="en-US"/>
        </w:rPr>
      </w:pPr>
      <w:r w:rsidRPr="0056472C">
        <w:rPr>
          <w:b/>
          <w:bCs/>
          <w:sz w:val="24"/>
          <w:szCs w:val="24"/>
          <w:lang w:val="en-US"/>
        </w:rPr>
        <w:t>La Sección de Literatura y Humanidades señala los límites del transhumanismo</w:t>
      </w:r>
    </w:p>
    <w:p w14:paraId="671A2930" w14:textId="77777777" w:rsidR="0056472C" w:rsidRPr="0056472C" w:rsidRDefault="0056472C" w:rsidP="0056472C">
      <w:pPr>
        <w:pStyle w:val="body"/>
        <w:rPr>
          <w:b/>
          <w:bCs/>
          <w:lang w:val="en-US"/>
        </w:rPr>
      </w:pPr>
    </w:p>
    <w:p w14:paraId="71AAF3CC" w14:textId="77777777" w:rsidR="0056472C" w:rsidRPr="0056472C" w:rsidRDefault="0056472C" w:rsidP="0056472C">
      <w:pPr>
        <w:pStyle w:val="body"/>
        <w:rPr>
          <w:rFonts w:ascii="Titillium" w:hAnsi="Titillium" w:cs="Titillium"/>
          <w:b/>
          <w:bCs/>
          <w:spacing w:val="-1"/>
          <w:sz w:val="20"/>
          <w:szCs w:val="20"/>
          <w:lang w:val="en-US"/>
        </w:rPr>
      </w:pPr>
      <w:r w:rsidRPr="0056472C">
        <w:rPr>
          <w:rFonts w:ascii="Titillium" w:hAnsi="Titillium" w:cs="Titillium"/>
          <w:b/>
          <w:bCs/>
          <w:spacing w:val="-1"/>
          <w:sz w:val="20"/>
          <w:szCs w:val="20"/>
          <w:lang w:val="en-US"/>
        </w:rPr>
        <w:t>La visión transhumanista promete la perfección del ser humano y ofrece la posibilidad de sustituir al ser humano por la tecnología. La Sección de Literatura y Humanidades del Goetheanum examina este punto de vista a partir de categorías de la condición humana como cuerpo, mente, libertad, voluntad y mortalidad.</w:t>
      </w:r>
    </w:p>
    <w:p w14:paraId="4657BF63" w14:textId="77777777" w:rsidR="0056472C" w:rsidRPr="0056472C" w:rsidRDefault="0056472C" w:rsidP="0056472C">
      <w:pPr>
        <w:pStyle w:val="body"/>
        <w:rPr>
          <w:rFonts w:ascii="Titillium" w:hAnsi="Titillium" w:cs="Titillium"/>
          <w:spacing w:val="1"/>
          <w:sz w:val="20"/>
          <w:szCs w:val="20"/>
          <w:lang w:val="en-US"/>
        </w:rPr>
      </w:pPr>
    </w:p>
    <w:p w14:paraId="2F56108F" w14:textId="77777777" w:rsidR="0056472C" w:rsidRPr="0056472C" w:rsidRDefault="0056472C" w:rsidP="0056472C">
      <w:pPr>
        <w:pStyle w:val="body"/>
        <w:rPr>
          <w:rFonts w:ascii="Titillium" w:hAnsi="Titillium" w:cs="Titillium"/>
          <w:spacing w:val="1"/>
          <w:sz w:val="20"/>
          <w:szCs w:val="20"/>
          <w:lang w:val="en-US"/>
        </w:rPr>
      </w:pPr>
      <w:r w:rsidRPr="0056472C">
        <w:rPr>
          <w:rFonts w:ascii="Titillium" w:hAnsi="Titillium" w:cs="Titillium"/>
          <w:spacing w:val="1"/>
          <w:sz w:val="20"/>
          <w:szCs w:val="20"/>
          <w:lang w:val="en-US"/>
        </w:rPr>
        <w:t xml:space="preserve">«Probablemente existan muy pocos ámbitos de la vida en los que no hayamos traspasado la responsabilidad y la toma de decisiones a algoritmos supuestamente superiores a la mente humana». Así lo afirman Ariane Eichenberg y Christiane Haid, de la Sección de Literatura y Humanidades del Goetheanum. Desde 2018, la Sección investiga el enfoque transhumanista de perfeccionar al ser humano, con especial atención en su justificación epistemológica y concepción del ser humano en general. </w:t>
      </w:r>
    </w:p>
    <w:p w14:paraId="13C5FE64" w14:textId="77777777" w:rsidR="0056472C" w:rsidRPr="0056472C" w:rsidRDefault="0056472C" w:rsidP="0056472C">
      <w:pPr>
        <w:pStyle w:val="body"/>
        <w:rPr>
          <w:rFonts w:ascii="Titillium" w:hAnsi="Titillium" w:cs="Titillium"/>
          <w:spacing w:val="1"/>
          <w:sz w:val="20"/>
          <w:szCs w:val="20"/>
          <w:lang w:val="en-US"/>
        </w:rPr>
      </w:pPr>
    </w:p>
    <w:p w14:paraId="2DBCFDE6" w14:textId="77777777" w:rsidR="0056472C" w:rsidRDefault="0056472C" w:rsidP="0056472C">
      <w:pPr>
        <w:pStyle w:val="body"/>
        <w:rPr>
          <w:rFonts w:ascii="Titillium" w:hAnsi="Titillium" w:cs="Titillium"/>
          <w:spacing w:val="1"/>
          <w:sz w:val="20"/>
          <w:szCs w:val="20"/>
        </w:rPr>
      </w:pPr>
      <w:r w:rsidRPr="0056472C">
        <w:rPr>
          <w:rFonts w:ascii="Titillium" w:hAnsi="Titillium" w:cs="Titillium"/>
          <w:spacing w:val="1"/>
          <w:sz w:val="20"/>
          <w:szCs w:val="20"/>
          <w:lang w:val="en-US"/>
        </w:rPr>
        <w:t xml:space="preserve">Las facultades esenciales del ser humano incluyen la percepción sensorial, el pensamiento y la actividad creadora en el mundo. Las tecnologías siguen los algoritmos inscritos en ellas; no operan en libertad y solo son capaces de acciones pseudo-espontáneas programadas por generadores aleatorios. La respuesta y reacción humanas a percepciones son sustituidas y simuladas por el procesamiento automático de señales. Si el pensamiento se basara únicamente en manipulaciones tecnológicas, todas las personas pensarían igual. Sin embargo, en el caso de la manipulación del material genético, el pensamiento tendría un carácter aleatorio. </w:t>
      </w:r>
      <w:r>
        <w:rPr>
          <w:rFonts w:ascii="Titillium" w:hAnsi="Titillium" w:cs="Titillium"/>
          <w:spacing w:val="1"/>
          <w:sz w:val="20"/>
          <w:szCs w:val="20"/>
        </w:rPr>
        <w:t xml:space="preserve">En ambos casos, el efecto es incompatible con la naturaleza del pensamiento como acto soberano de dirigir los procesos de la conciencia. Las tecnologías automatizadas son producto del ser humano, no se organizan por sí mismas. Su capacidad de reproducir procesos existentes y ejecutar tareas definidas conducen a resultados notables, de una eficacia similar a las especializaciones en el reino animal, pero no por ello comprehenden la naturaleza humana integral. </w:t>
      </w:r>
    </w:p>
    <w:p w14:paraId="4665238A" w14:textId="77777777" w:rsidR="0056472C" w:rsidRDefault="0056472C" w:rsidP="0056472C">
      <w:pPr>
        <w:pStyle w:val="body"/>
        <w:rPr>
          <w:rFonts w:ascii="Titillium" w:hAnsi="Titillium" w:cs="Titillium"/>
          <w:spacing w:val="1"/>
          <w:sz w:val="20"/>
          <w:szCs w:val="20"/>
        </w:rPr>
      </w:pPr>
    </w:p>
    <w:p w14:paraId="31114DCF" w14:textId="77777777" w:rsidR="0056472C" w:rsidRDefault="0056472C" w:rsidP="0056472C">
      <w:pPr>
        <w:pStyle w:val="body"/>
        <w:rPr>
          <w:rFonts w:ascii="Titillium" w:hAnsi="Titillium" w:cs="Titillium"/>
          <w:spacing w:val="1"/>
          <w:sz w:val="20"/>
          <w:szCs w:val="20"/>
        </w:rPr>
      </w:pPr>
      <w:r>
        <w:rPr>
          <w:rFonts w:ascii="Titillium" w:hAnsi="Titillium" w:cs="Titillium"/>
          <w:spacing w:val="1"/>
          <w:sz w:val="20"/>
          <w:szCs w:val="20"/>
        </w:rPr>
        <w:t>En sus reflexiones sobre la creación cinematográfica en la revista ‹Stil›, el médico Sebastian Lorenz señala el principal modo de acción del transhumanismo: «En lo que respecta a la superación del cuerpo humano y de las limitaciones humanas, la programática imaginativa y la fascinación adictiva de las sucesivas imágenes en movimiento son un medio eficaz y seductor».</w:t>
      </w:r>
    </w:p>
    <w:p w14:paraId="7FE2CE85" w14:textId="77777777" w:rsidR="0056472C" w:rsidRDefault="0056472C" w:rsidP="0056472C">
      <w:pPr>
        <w:pStyle w:val="body"/>
        <w:jc w:val="right"/>
        <w:rPr>
          <w:rFonts w:ascii="Titillium" w:hAnsi="Titillium" w:cs="Titillium"/>
          <w:spacing w:val="1"/>
          <w:sz w:val="20"/>
          <w:szCs w:val="20"/>
        </w:rPr>
      </w:pPr>
      <w:r>
        <w:rPr>
          <w:rFonts w:ascii="Titillium" w:hAnsi="Titillium" w:cs="Titillium"/>
          <w:sz w:val="20"/>
          <w:szCs w:val="20"/>
        </w:rPr>
        <w:t>(2261 caracteres/SJ; traducido por Michael Kranawetvogl)</w:t>
      </w:r>
    </w:p>
    <w:p w14:paraId="3B19B9BB" w14:textId="77777777" w:rsidR="0056472C" w:rsidRDefault="0056472C" w:rsidP="0056472C">
      <w:pPr>
        <w:pStyle w:val="body"/>
        <w:spacing w:before="57"/>
        <w:rPr>
          <w:rFonts w:ascii="Titillium" w:hAnsi="Titillium" w:cs="Titillium"/>
          <w:spacing w:val="1"/>
          <w:sz w:val="20"/>
          <w:szCs w:val="20"/>
        </w:rPr>
      </w:pPr>
      <w:r>
        <w:rPr>
          <w:rFonts w:ascii="Titillium Bd" w:hAnsi="Titillium Bd" w:cs="Titillium Bd"/>
          <w:b/>
          <w:bCs/>
          <w:spacing w:val="1"/>
          <w:sz w:val="20"/>
          <w:szCs w:val="20"/>
        </w:rPr>
        <w:t>Conferencia (en alemán)</w:t>
      </w:r>
      <w:r>
        <w:rPr>
          <w:rFonts w:ascii="Titillium" w:hAnsi="Titillium" w:cs="Titillium"/>
          <w:spacing w:val="1"/>
          <w:sz w:val="20"/>
          <w:szCs w:val="20"/>
        </w:rPr>
        <w:t xml:space="preserve"> ¿El fin de la humanidad? Caminos y salidas del transhumanismo, 24-26 de marzo de 2023 Goetheanum </w:t>
      </w:r>
    </w:p>
    <w:p w14:paraId="64F706AF" w14:textId="77777777" w:rsidR="0056472C" w:rsidRDefault="0056472C" w:rsidP="0056472C">
      <w:pPr>
        <w:pStyle w:val="body"/>
        <w:rPr>
          <w:rFonts w:ascii="Titillium" w:hAnsi="Titillium" w:cs="Titillium"/>
          <w:spacing w:val="1"/>
          <w:sz w:val="20"/>
          <w:szCs w:val="20"/>
        </w:rPr>
      </w:pPr>
      <w:r>
        <w:rPr>
          <w:rFonts w:ascii="Titillium Bd" w:hAnsi="Titillium Bd" w:cs="Titillium Bd"/>
          <w:b/>
          <w:bCs/>
          <w:spacing w:val="1"/>
          <w:sz w:val="20"/>
          <w:szCs w:val="20"/>
        </w:rPr>
        <w:t>Web (en alemán)</w:t>
      </w:r>
      <w:r>
        <w:rPr>
          <w:rFonts w:ascii="Titillium" w:hAnsi="Titillium" w:cs="Titillium"/>
          <w:spacing w:val="1"/>
          <w:sz w:val="20"/>
          <w:szCs w:val="20"/>
        </w:rPr>
        <w:t xml:space="preserve"> www.goetheanum.org/fileadmin/vk/9999_Vibus/105-ssw-Transhumanismus-3-DINA5-2022-12-06-1-screen.pdf</w:t>
      </w:r>
    </w:p>
    <w:p w14:paraId="73C859E9" w14:textId="77777777" w:rsidR="0056472C" w:rsidRDefault="0056472C" w:rsidP="0056472C">
      <w:pPr>
        <w:pStyle w:val="body"/>
        <w:spacing w:before="57"/>
        <w:rPr>
          <w:rFonts w:ascii="Titillium" w:hAnsi="Titillium" w:cs="Titillium"/>
          <w:spacing w:val="1"/>
          <w:sz w:val="20"/>
          <w:szCs w:val="20"/>
        </w:rPr>
      </w:pPr>
      <w:r>
        <w:rPr>
          <w:rFonts w:ascii="Titillium Bd" w:hAnsi="Titillium Bd" w:cs="Titillium Bd"/>
          <w:b/>
          <w:bCs/>
          <w:spacing w:val="1"/>
          <w:sz w:val="20"/>
          <w:szCs w:val="20"/>
        </w:rPr>
        <w:t>Edición temática del boletín ‹Stil› (en alemán)</w:t>
      </w:r>
      <w:r>
        <w:rPr>
          <w:rFonts w:ascii="Titillium" w:hAnsi="Titillium" w:cs="Titillium"/>
          <w:spacing w:val="1"/>
          <w:sz w:val="20"/>
          <w:szCs w:val="20"/>
        </w:rPr>
        <w:t xml:space="preserve"> Transhumanismo, editado por las Secciones de Literatura y Humanidades, de Artes Plásticas y del Arte de la Palabra y de la Música, 76 páginas, Verlag am Goetheanum, 2022, 20 francos.</w:t>
      </w:r>
    </w:p>
    <w:p w14:paraId="7DBB424B" w14:textId="682E46E3" w:rsidR="006E7E7B" w:rsidRDefault="0056472C" w:rsidP="0056472C">
      <w:r>
        <w:rPr>
          <w:rFonts w:ascii="Titillium Bd" w:hAnsi="Titillium Bd" w:cs="Titillium Bd"/>
          <w:b/>
          <w:bCs/>
          <w:spacing w:val="1"/>
          <w:sz w:val="20"/>
          <w:szCs w:val="20"/>
        </w:rPr>
        <w:t>Contacto</w:t>
      </w:r>
      <w:r>
        <w:rPr>
          <w:rFonts w:ascii="Titillium" w:hAnsi="Titillium" w:cs="Titillium"/>
          <w:spacing w:val="1"/>
          <w:sz w:val="20"/>
          <w:szCs w:val="20"/>
        </w:rPr>
        <w:t xml:space="preserve"> Christiane Haid, ssw@goetheanum.ch</w:t>
      </w:r>
    </w:p>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56472C"/>
    <w:rsid w:val="006E7E7B"/>
    <w:rsid w:val="006F57DB"/>
    <w:rsid w:val="007A3A2F"/>
    <w:rsid w:val="0081275A"/>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2602</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2022-12-22T08:03:00Z</dcterms:modified>
</cp:coreProperties>
</file>