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B2" w:rsidRDefault="007D77F7" w:rsidP="00F47FEF">
      <w:pPr>
        <w:pStyle w:val="StandardWeb"/>
        <w:rPr>
          <w:rFonts w:ascii="Lucida Sans" w:eastAsia="Lucida Sans" w:hAnsi="Lucida Sans" w:cs="Lucida Sans"/>
          <w:b/>
          <w:bCs/>
          <w:sz w:val="20"/>
          <w:szCs w:val="20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84DD651" wp14:editId="1D23BA12">
            <wp:simplePos x="0" y="0"/>
            <wp:positionH relativeFrom="page">
              <wp:posOffset>1781175</wp:posOffset>
            </wp:positionH>
            <wp:positionV relativeFrom="page">
              <wp:posOffset>1680210</wp:posOffset>
            </wp:positionV>
            <wp:extent cx="1809750" cy="922470"/>
            <wp:effectExtent l="0" t="0" r="0" b="0"/>
            <wp:wrapNone/>
            <wp:docPr id="10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2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CAC">
        <w:rPr>
          <w:rFonts w:ascii="Lucida Sans" w:eastAsia="Lucida Sans" w:hAnsi="Lucida Sans" w:cs="Lucida Sans"/>
          <w:noProof/>
          <w:color w:val="948A54"/>
          <w:sz w:val="20"/>
          <w:szCs w:val="20"/>
          <w:u w:color="948A54"/>
        </w:rPr>
        <w:drawing>
          <wp:anchor distT="57150" distB="57150" distL="57150" distR="57150" simplePos="0" relativeHeight="251659264" behindDoc="0" locked="0" layoutInCell="1" allowOverlap="1" wp14:anchorId="3268D50E" wp14:editId="7AC23BCB">
            <wp:simplePos x="0" y="0"/>
            <wp:positionH relativeFrom="page">
              <wp:posOffset>713105</wp:posOffset>
            </wp:positionH>
            <wp:positionV relativeFrom="paragraph">
              <wp:posOffset>62865</wp:posOffset>
            </wp:positionV>
            <wp:extent cx="1285875" cy="1178560"/>
            <wp:effectExtent l="0" t="0" r="9525" b="254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Grafik 6" descr="Grafik 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78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727B2" w:rsidRDefault="007D77F7" w:rsidP="00F47FEF">
      <w:pPr>
        <w:rPr>
          <w:rFonts w:ascii="Lucida Sans" w:eastAsia="Lucida Sans" w:hAnsi="Lucida Sans" w:cs="Lucida Sans"/>
          <w:i/>
          <w:iCs/>
          <w:color w:val="FF0000"/>
          <w:sz w:val="20"/>
          <w:szCs w:val="20"/>
          <w:u w:color="FF0000"/>
        </w:rPr>
      </w:pPr>
      <w:r>
        <w:rPr>
          <w:rFonts w:ascii="Arial Narrow" w:hAnsi="Arial Narrow"/>
          <w:noProof/>
          <w:color w:val="76923C" w:themeColor="accent3" w:themeShade="BF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87CE66B" wp14:editId="3AA03A2A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984885" cy="714375"/>
            <wp:effectExtent l="0" t="0" r="5715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76923C" w:themeColor="accent3" w:themeShade="B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FE425F1" wp14:editId="5E90495E">
            <wp:simplePos x="0" y="0"/>
            <wp:positionH relativeFrom="column">
              <wp:posOffset>2767330</wp:posOffset>
            </wp:positionH>
            <wp:positionV relativeFrom="paragraph">
              <wp:posOffset>9525</wp:posOffset>
            </wp:positionV>
            <wp:extent cx="1743075" cy="658495"/>
            <wp:effectExtent l="0" t="0" r="9525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CAC" w:rsidRDefault="00373CAC" w:rsidP="00F47FEF">
      <w:pPr>
        <w:rPr>
          <w:rFonts w:ascii="Lucida Sans" w:eastAsia="Lucida Sans" w:hAnsi="Lucida Sans" w:cs="Lucida Sans"/>
          <w:b/>
          <w:bCs/>
          <w:sz w:val="20"/>
          <w:szCs w:val="20"/>
        </w:rPr>
      </w:pPr>
    </w:p>
    <w:p w:rsidR="00373CAC" w:rsidRDefault="00373CAC" w:rsidP="00D664FA">
      <w:pPr>
        <w:jc w:val="center"/>
        <w:rPr>
          <w:rFonts w:ascii="Lucida Sans" w:eastAsia="Lucida Sans" w:hAnsi="Lucida Sans" w:cs="Lucida Sans"/>
          <w:b/>
          <w:bCs/>
          <w:sz w:val="28"/>
          <w:szCs w:val="28"/>
        </w:rPr>
      </w:pPr>
    </w:p>
    <w:p w:rsidR="00373CAC" w:rsidRDefault="00373CAC" w:rsidP="00F47FEF">
      <w:pPr>
        <w:rPr>
          <w:rFonts w:ascii="Lucida Sans" w:eastAsia="Lucida Sans" w:hAnsi="Lucida Sans" w:cs="Lucida Sans"/>
          <w:b/>
          <w:bCs/>
          <w:sz w:val="32"/>
          <w:szCs w:val="32"/>
        </w:rPr>
      </w:pPr>
    </w:p>
    <w:p w:rsidR="00DD32E6" w:rsidRDefault="00D664FA" w:rsidP="00F47FEF">
      <w:pPr>
        <w:rPr>
          <w:rFonts w:ascii="Lucida Sans" w:eastAsia="Lucida Sans" w:hAnsi="Lucida Sans" w:cs="Lucida Sans"/>
          <w:b/>
          <w:bCs/>
          <w:sz w:val="28"/>
          <w:szCs w:val="28"/>
        </w:rPr>
      </w:pPr>
      <w:r>
        <w:rPr>
          <w:rFonts w:ascii="Lucida Sans" w:eastAsia="Lucida Sans" w:hAnsi="Lucida Sans" w:cs="Lucida Sans"/>
          <w:b/>
          <w:bCs/>
          <w:sz w:val="32"/>
          <w:szCs w:val="32"/>
        </w:rPr>
        <w:t>MINT-Tag am Sängerstadt-Gymnasium Finsterwalde</w:t>
      </w:r>
    </w:p>
    <w:p w:rsidR="00D664FA" w:rsidRDefault="00D664FA" w:rsidP="00F47FEF">
      <w:pPr>
        <w:pStyle w:val="StandardWeb"/>
        <w:rPr>
          <w:rFonts w:ascii="Lucida Sans" w:eastAsia="Lucida Sans" w:hAnsi="Lucida Sans" w:cs="Lucida Sans"/>
          <w:b/>
          <w:bCs/>
          <w:sz w:val="20"/>
          <w:szCs w:val="20"/>
        </w:rPr>
      </w:pPr>
      <w:r>
        <w:rPr>
          <w:rFonts w:ascii="Lucida Sans" w:eastAsia="Lucida Sans" w:hAnsi="Lucida Sans" w:cs="Lucida Sans"/>
          <w:b/>
          <w:bCs/>
          <w:noProof/>
          <w:sz w:val="20"/>
          <w:szCs w:val="20"/>
        </w:rPr>
        <w:drawing>
          <wp:inline distT="0" distB="0" distL="0" distR="0">
            <wp:extent cx="5753100" cy="38385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FA" w:rsidRPr="005532B8" w:rsidRDefault="00D664FA" w:rsidP="00F47FEF">
      <w:pPr>
        <w:pStyle w:val="StandardWeb"/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</w:p>
    <w:p w:rsidR="003727B2" w:rsidRPr="005532B8" w:rsidRDefault="00F7160A" w:rsidP="00F47FEF">
      <w:pPr>
        <w:pStyle w:val="StandardWeb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Bildunterschrift: 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Ende Mai zeigten verschiedene Unternehmen und Dozierende der TH Wildau und BTU Cottbus-Senftenberg am Sängerstadt-Gymnasium Finsterwalde, dass Berufe und Studiengänge im MINT-Bereich spannend sind.</w:t>
      </w:r>
    </w:p>
    <w:p w:rsidR="003727B2" w:rsidRPr="005532B8" w:rsidRDefault="00F7160A" w:rsidP="00F47FEF">
      <w:pPr>
        <w:rPr>
          <w:rFonts w:ascii="Lucida Sans Unicode" w:eastAsia="Lucida Sans" w:hAnsi="Lucida Sans Unicode" w:cs="Lucida Sans Unicode"/>
          <w:sz w:val="20"/>
          <w:szCs w:val="20"/>
        </w:rPr>
      </w:pPr>
      <w:bookmarkStart w:id="0" w:name="_Hlk98771308"/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Bild:</w:t>
      </w:r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 </w:t>
      </w:r>
      <w:bookmarkEnd w:id="0"/>
      <w:r w:rsidR="00D664FA" w:rsidRPr="005532B8">
        <w:rPr>
          <w:rFonts w:ascii="Lucida Sans Unicode" w:eastAsia="Lucida Sans" w:hAnsi="Lucida Sans Unicode" w:cs="Lucida Sans Unicode"/>
          <w:sz w:val="20"/>
          <w:szCs w:val="20"/>
        </w:rPr>
        <w:t>Dominique Franke-Sakuth</w:t>
      </w:r>
    </w:p>
    <w:p w:rsidR="00373CAC" w:rsidRPr="005532B8" w:rsidRDefault="00F7160A" w:rsidP="00F47FEF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Subheadline:</w:t>
      </w:r>
      <w:r w:rsid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 </w:t>
      </w:r>
      <w:r w:rsidR="00E52EBA" w:rsidRPr="005532B8">
        <w:rPr>
          <w:rFonts w:ascii="Lucida Sans Unicode" w:eastAsia="Lucida Sans" w:hAnsi="Lucida Sans Unicode" w:cs="Lucida Sans Unicode"/>
          <w:sz w:val="20"/>
          <w:szCs w:val="20"/>
        </w:rPr>
        <w:t>MINT-Studienorientierung</w:t>
      </w:r>
    </w:p>
    <w:p w:rsidR="003727B2" w:rsidRPr="005532B8" w:rsidRDefault="00F7160A" w:rsidP="00F47FEF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Teaser: </w:t>
      </w:r>
    </w:p>
    <w:p w:rsidR="00AB6571" w:rsidRPr="005532B8" w:rsidRDefault="00D664FA" w:rsidP="00F47FEF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bookmarkStart w:id="1" w:name="_GoBack"/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MINT ist langweilig? Von wegen! Am 23.</w:t>
      </w:r>
      <w:r w:rsidR="00E52EBA"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 Mai </w:t>
      </w: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2023 zeigten verschiedene Unternehmen </w:t>
      </w:r>
      <w:r w:rsidR="00E52EBA"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sowie</w:t>
      </w: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 Dozentinnen und Dozenten der TH Wildau und BTU Cottbus-Senftenberg am Sängerstadt-</w:t>
      </w: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lastRenderedPageBreak/>
        <w:t>Gymnasium Finsterwalde, dass Berufe und Studiengänge in den Bereichen Mathe</w:t>
      </w:r>
      <w:r w:rsid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matik</w:t>
      </w: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, Informatik, Naturwissenschaft und Technik spannend sind.</w:t>
      </w:r>
    </w:p>
    <w:p w:rsidR="00672168" w:rsidRPr="005532B8" w:rsidRDefault="00F7160A" w:rsidP="00672168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Text: </w:t>
      </w:r>
      <w:r w:rsidR="00575D0E"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 </w:t>
      </w:r>
    </w:p>
    <w:p w:rsidR="00672168" w:rsidRPr="005532B8" w:rsidRDefault="00672168" w:rsidP="00672168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Am 23.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Mai 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2023 bot das Sängerstadt-Gymnasium Finsterwalde 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sowie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beteiligte Akteur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innen und Akteuren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den </w:t>
      </w:r>
      <w:r w:rsidR="005532B8">
        <w:rPr>
          <w:rFonts w:ascii="Lucida Sans Unicode" w:eastAsia="Lucida Sans" w:hAnsi="Lucida Sans Unicode" w:cs="Lucida Sans Unicode"/>
          <w:bCs/>
          <w:sz w:val="20"/>
          <w:szCs w:val="20"/>
        </w:rPr>
        <w:t>Schülerinnen und Schülern der achten und neunte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 Klassen eine besondere Abwechslung vom Schulalltag. Mit Unterstützung der Schulsozialarbeiterin, Astrid Kämmerer, der Berufsberaterin der Agentur für Arbeit, Melanie Krengel, und der Mitarbeitenden der Präsenzstelle Westlausitz | Finsterwalde wurden sowohl Unternehmen als auch Hochschulmitarbeitende der 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Technischen Hochschule Wildau (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TH Wildau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)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und 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Brandenburgische Technische Universität Cottbus-Senftenberg (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BTU Cottbus-Senftenberg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)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an die Schule eingeladen, um eine bunte Mischung an Workshops und Mitmachstationen aus de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MINT-Bereich anzubieten.</w:t>
      </w:r>
    </w:p>
    <w:p w:rsidR="00672168" w:rsidRPr="005532B8" w:rsidRDefault="00672168" w:rsidP="00672168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Eröffnet wurde der MINT-Tag durch Schulleiter Ulli </w:t>
      </w:r>
      <w:proofErr w:type="spellStart"/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Biesold</w:t>
      </w:r>
      <w:proofErr w:type="spellEnd"/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. Anlass für den Aktionstag gab die stetig sinkende Nachfrage nach MINT-Berufen und 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-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Studiengängen. Die Organisator</w:t>
      </w:r>
      <w:r w:rsidR="00E52EBA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innen und Organisatoren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wollten den Schülerinnen und Schülern einen besseren Einblick in diesen vielseitigen Bereich bieten und Hemmschwellen abbauen.</w:t>
      </w:r>
    </w:p>
    <w:p w:rsidR="00672168" w:rsidRPr="005532B8" w:rsidRDefault="00E52EBA" w:rsidP="00672168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Gegliedert</w:t>
      </w:r>
      <w:r w:rsidR="0067216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wurde der Tag in zwei Teile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  <w:r w:rsidR="0067216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Ein Teil umfasste 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einstündige </w:t>
      </w:r>
      <w:r w:rsidR="0067216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Workshops, die von Mitarbeitenden der TH Wildau und BTU Cottbus-Senftenberg begleitet wurden. 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In den </w:t>
      </w:r>
      <w:r w:rsidR="0067216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Workshops 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ging es um</w:t>
      </w:r>
      <w:r w:rsidR="0067216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Themenbereiche 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wie</w:t>
      </w:r>
      <w:r w:rsidR="0067216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Leichtbau, Maschinenbau, Automatisierungstechnik, Robotik, Mathematik, Informatik und Medizintechnik.</w:t>
      </w:r>
    </w:p>
    <w:p w:rsidR="00672168" w:rsidRPr="005532B8" w:rsidRDefault="00672168" w:rsidP="00672168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Der zweite Teil umfasste acht Stationen in und außerhalb der Turnhalle. Als Aussteller waren vor Ort: Agentur für Arbeit, FBU, </w:t>
      </w:r>
      <w:proofErr w:type="spellStart"/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enviaM</w:t>
      </w:r>
      <w:proofErr w:type="spellEnd"/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, BASF, DB Netz, PILZ GmbH und </w:t>
      </w:r>
      <w:proofErr w:type="spellStart"/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Kjellberg</w:t>
      </w:r>
      <w:proofErr w:type="spellEnd"/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. Die Schülerinnen und Schüler konnten an den Mitmachstationen VR-Brillen testen, programmieren, eine Mauer bauen, ein Pflaster setzen, vermessen und vieles mehr.</w:t>
      </w:r>
    </w:p>
    <w:p w:rsidR="003727B2" w:rsidRPr="005532B8" w:rsidRDefault="00F7160A" w:rsidP="00F47FEF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Mitwirkende der TH Wildau</w:t>
      </w:r>
    </w:p>
    <w:p w:rsidR="00672168" w:rsidRPr="005532B8" w:rsidRDefault="00672168" w:rsidP="00F47FEF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Seitens der TH Wildau wurden folgende Workshops angeboten:</w:t>
      </w:r>
    </w:p>
    <w:p w:rsidR="00672168" w:rsidRPr="005532B8" w:rsidRDefault="00672168" w:rsidP="00F47FEF">
      <w:pPr>
        <w:rPr>
          <w:rFonts w:ascii="Lucida Sans Unicode" w:hAnsi="Lucida Sans Unicode" w:cs="Lucida Sans Unicode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Prof. Dr.-Ing. Alexander Köthe, Automatisierungstechnik: „Es wird spannend. </w:t>
      </w:r>
      <w:r w:rsidRPr="005532B8">
        <w:rPr>
          <w:rFonts w:ascii="Lucida Sans Unicode" w:hAnsi="Lucida Sans Unicode" w:cs="Lucida Sans Unicode"/>
        </w:rPr>
        <w:t>Warum Automatisierungstechnik notwendig ist, um unser Handy zu laden.“</w:t>
      </w:r>
    </w:p>
    <w:p w:rsidR="00672168" w:rsidRPr="005532B8" w:rsidRDefault="00672168" w:rsidP="00F47FEF">
      <w:pPr>
        <w:rPr>
          <w:rFonts w:ascii="Lucida Sans Unicode" w:hAnsi="Lucida Sans Unicode" w:cs="Lucida Sans Unicode"/>
          <w:bCs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Janine Breßler, Telematik: „</w:t>
      </w:r>
      <w:r w:rsidRPr="005532B8">
        <w:rPr>
          <w:rFonts w:ascii="Lucida Sans Unicode" w:hAnsi="Lucida Sans Unicode" w:cs="Lucida Sans Unicode"/>
          <w:bCs/>
        </w:rPr>
        <w:t xml:space="preserve">NAO </w:t>
      </w:r>
      <w:proofErr w:type="spellStart"/>
      <w:r w:rsidRPr="005532B8">
        <w:rPr>
          <w:rFonts w:ascii="Lucida Sans Unicode" w:hAnsi="Lucida Sans Unicode" w:cs="Lucida Sans Unicode"/>
          <w:bCs/>
        </w:rPr>
        <w:t>goes</w:t>
      </w:r>
      <w:proofErr w:type="spellEnd"/>
      <w:r w:rsidRPr="005532B8">
        <w:rPr>
          <w:rFonts w:ascii="Lucida Sans Unicode" w:hAnsi="Lucida Sans Unicode" w:cs="Lucida Sans Unicode"/>
          <w:bCs/>
        </w:rPr>
        <w:t xml:space="preserve"> Telematik, wie humanoide Roboter unser Leben bereichern.“ </w:t>
      </w:r>
    </w:p>
    <w:p w:rsidR="00D664FA" w:rsidRPr="005532B8" w:rsidRDefault="00D664FA" w:rsidP="00D664FA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Über die Präsenzstellen der Hochschulen des Landes Brandenburg</w:t>
      </w:r>
    </w:p>
    <w:p w:rsidR="00D664FA" w:rsidRPr="005532B8" w:rsidRDefault="00D664FA" w:rsidP="00D664FA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lastRenderedPageBreak/>
        <w:t xml:space="preserve">Die Präsenzstellen der Hochschulen des Landes Brandenburg erleichtern als regionale Schaufenster den Zugang zu den Angeboten aller Brandenburger Hochschulen. Das Konzept beruht auf der Transferstrategie des Landes: Sie nimmt die Hochschulen und die außeruniversitären Forschungseinrichtungen gleichermaßen in den Blick und </w:t>
      </w:r>
      <w:r w:rsidR="007D77F7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möchte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die Zusammenarbeit von Wissenschaft mit Wirtschaft, Politik und Zivilgesellschaft stärken.</w:t>
      </w:r>
    </w:p>
    <w:p w:rsidR="00D664FA" w:rsidRPr="005532B8" w:rsidRDefault="00D664FA" w:rsidP="00D664FA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Über die Berufsberatung der Arbeitsagentur</w:t>
      </w:r>
    </w:p>
    <w:p w:rsidR="00D664FA" w:rsidRPr="005532B8" w:rsidRDefault="00D664FA" w:rsidP="00D664FA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Die Berufsberatung der Arbeitsagentur unterstützt Jugendliche im Übergang Schule-Beruf und bietet an allen Schulen Berufsorientierung und berufliche Beratung an. </w:t>
      </w:r>
    </w:p>
    <w:p w:rsidR="00D664FA" w:rsidRPr="005532B8" w:rsidRDefault="00D664FA" w:rsidP="00D664FA">
      <w:pPr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Über Schulsozialarbeit und den Verein Familienhilfe e.</w:t>
      </w:r>
      <w:r w:rsidR="007D77F7"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 </w:t>
      </w: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V. Finsterwalde</w:t>
      </w:r>
    </w:p>
    <w:p w:rsidR="003727B2" w:rsidRPr="005532B8" w:rsidRDefault="00D664FA" w:rsidP="00D664FA">
      <w:pPr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Schulsozialarbeit ist eine Leistung der Jugendhilfe, die flankierend das Bildungsangebot der Schule </w:t>
      </w:r>
      <w:r w:rsidR="007D77F7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mit präventivem Ansatz am Ort Schule 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ergänzt und auf der Kooperation zwischen den pädagogischen Fachkräften, der Schule, und der Kinder- und Jugendhilfe</w:t>
      </w:r>
      <w:r w:rsidR="007D77F7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basiert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. Schulsozialarbeit unterstützt Schülerinnen und Schüler bei persönlichen, familiären und schulischen Problemen. Die Schulsozialarbeit wird durch den Landkreis Elbe-</w:t>
      </w:r>
      <w:r w:rsidR="005532B8"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Elster ermöglicht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>, vom Familienhilfe e.V. Finsterwalde umgesetzt und am Sängerstadt-Gymnasium für alle Beteiligten nutzbar gemacht.</w:t>
      </w:r>
      <w:r w:rsidRPr="005532B8">
        <w:rPr>
          <w:rFonts w:ascii="Lucida Sans Unicode" w:eastAsia="Lucida Sans" w:hAnsi="Lucida Sans Unicode" w:cs="Lucida Sans Unicode"/>
          <w:bCs/>
          <w:sz w:val="20"/>
          <w:szCs w:val="20"/>
        </w:rPr>
        <w:tab/>
      </w:r>
    </w:p>
    <w:p w:rsidR="003727B2" w:rsidRPr="005532B8" w:rsidRDefault="003727B2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</w:p>
    <w:p w:rsidR="005532B8" w:rsidRDefault="00F7160A" w:rsidP="00F47FEF">
      <w:pPr>
        <w:spacing w:after="0"/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 xml:space="preserve">Ansprechpersonen: </w:t>
      </w:r>
    </w:p>
    <w:p w:rsidR="00373CAC" w:rsidRPr="005532B8" w:rsidRDefault="00F7160A" w:rsidP="00F47FEF">
      <w:pPr>
        <w:spacing w:after="0"/>
        <w:rPr>
          <w:rFonts w:ascii="Lucida Sans Unicode" w:eastAsia="Lucida Sans" w:hAnsi="Lucida Sans Unicode" w:cs="Lucida Sans Unicode"/>
          <w:b/>
          <w:bCs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Präsenzstelle Finsterwalde I Westlausitz </w:t>
      </w:r>
    </w:p>
    <w:p w:rsidR="003727B2" w:rsidRPr="005532B8" w:rsidRDefault="00F7160A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Dominique Franke-Sakuth </w:t>
      </w:r>
    </w:p>
    <w:p w:rsidR="003727B2" w:rsidRPr="005532B8" w:rsidRDefault="00F7160A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M +49 151 275 342 53 </w:t>
      </w:r>
    </w:p>
    <w:p w:rsidR="003727B2" w:rsidRPr="005532B8" w:rsidRDefault="00F7160A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F +49 3375 508 791 </w:t>
      </w:r>
    </w:p>
    <w:p w:rsidR="003727B2" w:rsidRPr="005532B8" w:rsidRDefault="00F7160A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E </w:t>
      </w:r>
      <w:hyperlink r:id="rId11" w:history="1">
        <w:r w:rsidRPr="005532B8">
          <w:rPr>
            <w:rStyle w:val="Hyperlink0"/>
            <w:rFonts w:ascii="Lucida Sans Unicode" w:hAnsi="Lucida Sans Unicode" w:cs="Lucida Sans Unicode"/>
          </w:rPr>
          <w:t>dominique.franke-sakuth@th-wildau.de</w:t>
        </w:r>
      </w:hyperlink>
      <w:r w:rsidRPr="005532B8">
        <w:rPr>
          <w:rFonts w:ascii="Lucida Sans Unicode" w:eastAsia="Lucida Sans" w:hAnsi="Lucida Sans Unicode" w:cs="Lucida Sans Unicode"/>
          <w:sz w:val="20"/>
          <w:szCs w:val="20"/>
        </w:rPr>
        <w:t xml:space="preserve"> </w:t>
      </w:r>
    </w:p>
    <w:p w:rsidR="003727B2" w:rsidRPr="005532B8" w:rsidRDefault="00F7160A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Style w:val="Hyperlink0"/>
          <w:rFonts w:ascii="Lucida Sans Unicode" w:hAnsi="Lucida Sans Unicode" w:cs="Lucida Sans Unicode"/>
        </w:rPr>
        <w:t>www.praesenzstelle-finsterwalde.de</w:t>
      </w:r>
    </w:p>
    <w:p w:rsidR="003727B2" w:rsidRPr="005532B8" w:rsidRDefault="003727B2" w:rsidP="00F47FEF">
      <w:pPr>
        <w:spacing w:after="0"/>
        <w:rPr>
          <w:rFonts w:ascii="Lucida Sans Unicode" w:eastAsia="Lucida Sans" w:hAnsi="Lucida Sans Unicode" w:cs="Lucida Sans Unicode"/>
          <w:sz w:val="20"/>
          <w:szCs w:val="20"/>
        </w:rPr>
      </w:pPr>
    </w:p>
    <w:p w:rsidR="003727B2" w:rsidRPr="005532B8" w:rsidRDefault="00F7160A" w:rsidP="00F47FEF">
      <w:pPr>
        <w:spacing w:line="240" w:lineRule="auto"/>
        <w:rPr>
          <w:rFonts w:ascii="Lucida Sans Unicode" w:eastAsia="Lucida Sans" w:hAnsi="Lucida Sans Unicode" w:cs="Lucida Sans Unicode"/>
          <w:sz w:val="20"/>
          <w:szCs w:val="20"/>
        </w:rPr>
      </w:pPr>
      <w:r w:rsidRPr="005532B8">
        <w:rPr>
          <w:rFonts w:ascii="Lucida Sans Unicode" w:eastAsia="Lucida Sans" w:hAnsi="Lucida Sans Unicode" w:cs="Lucida Sans Unicode"/>
          <w:b/>
          <w:bCs/>
          <w:sz w:val="20"/>
          <w:szCs w:val="20"/>
        </w:rPr>
        <w:t>Ansprechpersonen Externe Kommunikation TH Wildau:</w:t>
      </w:r>
    </w:p>
    <w:p w:rsidR="003727B2" w:rsidRPr="005532B8" w:rsidRDefault="00F7160A" w:rsidP="00F47FEF">
      <w:pPr>
        <w:spacing w:line="240" w:lineRule="auto"/>
        <w:rPr>
          <w:rFonts w:ascii="Lucida Sans Unicode" w:hAnsi="Lucida Sans Unicode" w:cs="Lucida Sans Unicode"/>
        </w:rPr>
      </w:pPr>
      <w:r w:rsidRPr="005532B8">
        <w:rPr>
          <w:rFonts w:ascii="Lucida Sans Unicode" w:eastAsia="Lucida Sans" w:hAnsi="Lucida Sans Unicode" w:cs="Lucida Sans Unicode"/>
          <w:sz w:val="20"/>
          <w:szCs w:val="20"/>
        </w:rPr>
        <w:t>Mike Lange / Mareike Rammelt</w:t>
      </w:r>
      <w:r w:rsidRPr="005532B8">
        <w:rPr>
          <w:rFonts w:ascii="Lucida Sans Unicode" w:eastAsia="Lucida Sans" w:hAnsi="Lucida Sans Unicode" w:cs="Lucida Sans Unicode"/>
          <w:sz w:val="20"/>
          <w:szCs w:val="20"/>
        </w:rPr>
        <w:br/>
        <w:t>TH Wildau</w:t>
      </w:r>
      <w:r w:rsidRPr="005532B8">
        <w:rPr>
          <w:rFonts w:ascii="Lucida Sans Unicode" w:eastAsia="Lucida Sans" w:hAnsi="Lucida Sans Unicode" w:cs="Lucida Sans Unicode"/>
          <w:sz w:val="20"/>
          <w:szCs w:val="20"/>
        </w:rPr>
        <w:br/>
        <w:t>Hochschulring 1, 15745 Wildau</w:t>
      </w:r>
      <w:r w:rsidRPr="005532B8">
        <w:rPr>
          <w:rFonts w:ascii="Lucida Sans Unicode" w:eastAsia="Lucida Sans" w:hAnsi="Lucida Sans Unicode" w:cs="Lucida Sans Unicode"/>
          <w:sz w:val="20"/>
          <w:szCs w:val="20"/>
        </w:rPr>
        <w:br/>
        <w:t>Tel. +49 (0)3375 508 211 / -669</w:t>
      </w:r>
      <w:r w:rsidRPr="005532B8">
        <w:rPr>
          <w:rFonts w:ascii="Lucida Sans Unicode" w:eastAsia="Lucida Sans" w:hAnsi="Lucida Sans Unicode" w:cs="Lucida Sans Unicode"/>
          <w:sz w:val="20"/>
          <w:szCs w:val="20"/>
        </w:rPr>
        <w:br/>
        <w:t>E-Mail: presse@th-wildau.de</w:t>
      </w:r>
      <w:bookmarkEnd w:id="1"/>
    </w:p>
    <w:sectPr w:rsidR="003727B2" w:rsidRPr="005532B8">
      <w:headerReference w:type="default" r:id="rId12"/>
      <w:footerReference w:type="default" r:id="rId13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B2" w:rsidRDefault="00992AB2">
      <w:pPr>
        <w:spacing w:after="0" w:line="240" w:lineRule="auto"/>
      </w:pPr>
      <w:r>
        <w:separator/>
      </w:r>
    </w:p>
  </w:endnote>
  <w:endnote w:type="continuationSeparator" w:id="0">
    <w:p w:rsidR="00992AB2" w:rsidRDefault="0099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B2" w:rsidRDefault="00F7160A">
    <w:pPr>
      <w:pStyle w:val="Fuzeile"/>
      <w:tabs>
        <w:tab w:val="clear" w:pos="9072"/>
        <w:tab w:val="right" w:pos="9046"/>
      </w:tabs>
    </w:pPr>
    <w:r>
      <w:fldChar w:fldCharType="begin"/>
    </w:r>
    <w:r>
      <w:instrText xml:space="preserve"> PAGE </w:instrText>
    </w:r>
    <w:r>
      <w:fldChar w:fldCharType="separate"/>
    </w:r>
    <w:r w:rsidR="005532B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B2" w:rsidRDefault="00992AB2">
      <w:pPr>
        <w:spacing w:after="0" w:line="240" w:lineRule="auto"/>
      </w:pPr>
      <w:r>
        <w:separator/>
      </w:r>
    </w:p>
  </w:footnote>
  <w:footnote w:type="continuationSeparator" w:id="0">
    <w:p w:rsidR="00992AB2" w:rsidRDefault="0099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B2" w:rsidRDefault="00E52EBA" w:rsidP="005532B8">
    <w:pPr>
      <w:pStyle w:val="StandardWeb"/>
      <w:tabs>
        <w:tab w:val="left" w:pos="8100"/>
      </w:tabs>
      <w:rPr>
        <w:rFonts w:ascii="Lucida Sans" w:eastAsia="Lucida Sans" w:hAnsi="Lucida Sans" w:cs="Lucida Sans"/>
        <w:sz w:val="20"/>
        <w:szCs w:val="20"/>
        <w:lang w:val="en-US"/>
      </w:rPr>
    </w:pPr>
    <w:r w:rsidRPr="00E52EBA">
      <w:rPr>
        <w:rFonts w:ascii="Lucida Sans" w:eastAsia="Lucida Sans" w:hAnsi="Lucida Sans" w:cs="Lucida Sans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E37904B" wp14:editId="74A754F3">
          <wp:simplePos x="0" y="0"/>
          <wp:positionH relativeFrom="column">
            <wp:posOffset>4205605</wp:posOffset>
          </wp:positionH>
          <wp:positionV relativeFrom="paragraph">
            <wp:posOffset>73025</wp:posOffset>
          </wp:positionV>
          <wp:extent cx="1773555" cy="706283"/>
          <wp:effectExtent l="0" t="0" r="0" b="0"/>
          <wp:wrapNone/>
          <wp:docPr id="5" name="Grafik 5" descr="O:\Hochschulkommunikation\7_Vorlagen_CD\Logo\TH-Wildau-Logo_PC_2015\TH-Wildau-Logo_rgb - K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Hochschulkommunikation\7_Vorlagen_CD\Logo\TH-Wildau-Logo_PC_2015\TH-Wildau-Logo_rgb - Kop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706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60A">
      <w:rPr>
        <w:rFonts w:ascii="Lucida Sans" w:eastAsia="Lucida Sans" w:hAnsi="Lucida Sans" w:cs="Lucida Sans"/>
        <w:sz w:val="20"/>
        <w:szCs w:val="20"/>
        <w:lang w:val="en-US"/>
      </w:rPr>
      <w:t xml:space="preserve">News der TH Wildau </w:t>
    </w:r>
    <w:r>
      <w:rPr>
        <w:rFonts w:ascii="Lucida Sans" w:eastAsia="Lucida Sans" w:hAnsi="Lucida Sans" w:cs="Lucida Sans"/>
        <w:sz w:val="20"/>
        <w:szCs w:val="20"/>
        <w:lang w:val="en-US"/>
      </w:rPr>
      <w:tab/>
    </w:r>
  </w:p>
  <w:p w:rsidR="003727B2" w:rsidRDefault="00E52EBA">
    <w:pPr>
      <w:pStyle w:val="StandardWeb"/>
      <w:rPr>
        <w:rFonts w:ascii="Lucida Sans" w:eastAsia="Lucida Sans" w:hAnsi="Lucida Sans" w:cs="Lucida Sans"/>
        <w:sz w:val="20"/>
        <w:szCs w:val="20"/>
        <w:lang w:val="en-US"/>
      </w:rPr>
    </w:pPr>
    <w:r>
      <w:rPr>
        <w:rFonts w:ascii="Lucida Sans" w:eastAsia="Lucida Sans" w:hAnsi="Lucida Sans" w:cs="Lucida Sans"/>
        <w:sz w:val="20"/>
        <w:szCs w:val="20"/>
        <w:lang w:val="en-US"/>
      </w:rPr>
      <w:t>12</w:t>
    </w:r>
    <w:r w:rsidR="00F7160A">
      <w:rPr>
        <w:rFonts w:ascii="Lucida Sans" w:eastAsia="Lucida Sans" w:hAnsi="Lucida Sans" w:cs="Lucida Sans"/>
        <w:sz w:val="20"/>
        <w:szCs w:val="20"/>
        <w:lang w:val="en-US"/>
      </w:rPr>
      <w:t>.0</w:t>
    </w:r>
    <w:r w:rsidR="00D664FA">
      <w:rPr>
        <w:rFonts w:ascii="Lucida Sans" w:eastAsia="Lucida Sans" w:hAnsi="Lucida Sans" w:cs="Lucida Sans"/>
        <w:sz w:val="20"/>
        <w:szCs w:val="20"/>
        <w:lang w:val="en-US"/>
      </w:rPr>
      <w:t>6</w:t>
    </w:r>
    <w:r w:rsidR="00F7160A">
      <w:rPr>
        <w:rFonts w:ascii="Lucida Sans" w:eastAsia="Lucida Sans" w:hAnsi="Lucida Sans" w:cs="Lucida Sans"/>
        <w:sz w:val="20"/>
        <w:szCs w:val="20"/>
        <w:lang w:val="en-US"/>
      </w:rPr>
      <w:t>.202</w:t>
    </w:r>
    <w:r w:rsidR="00D664FA">
      <w:rPr>
        <w:rFonts w:ascii="Lucida Sans" w:eastAsia="Lucida Sans" w:hAnsi="Lucida Sans" w:cs="Lucida Sans"/>
        <w:sz w:val="20"/>
        <w:szCs w:val="20"/>
        <w:lang w:val="en-US"/>
      </w:rPr>
      <w:t>3</w:t>
    </w:r>
    <w:r w:rsidR="00F7160A">
      <w:rPr>
        <w:rFonts w:ascii="Lucida Sans" w:eastAsia="Lucida Sans" w:hAnsi="Lucida Sans" w:cs="Lucida Sans"/>
        <w:sz w:val="20"/>
        <w:szCs w:val="20"/>
        <w:lang w:val="en-US"/>
      </w:rPr>
      <w:t xml:space="preserve"> </w:t>
    </w:r>
  </w:p>
  <w:p w:rsidR="003727B2" w:rsidRDefault="00F7160A">
    <w:pPr>
      <w:pStyle w:val="StandardWeb"/>
      <w:rPr>
        <w:rFonts w:ascii="Lucida Sans" w:eastAsia="Lucida Sans" w:hAnsi="Lucida Sans" w:cs="Lucida Sans"/>
        <w:sz w:val="20"/>
        <w:szCs w:val="20"/>
        <w:lang w:val="en-US"/>
      </w:rPr>
    </w:pPr>
    <w:r>
      <w:rPr>
        <w:rFonts w:ascii="Lucida Sans" w:eastAsia="Lucida Sans" w:hAnsi="Lucida Sans" w:cs="Lucida Sans"/>
        <w:sz w:val="20"/>
        <w:szCs w:val="20"/>
        <w:lang w:val="en-US"/>
      </w:rPr>
      <w:t>Nr. 202</w:t>
    </w:r>
    <w:r w:rsidR="00D664FA">
      <w:rPr>
        <w:rFonts w:ascii="Lucida Sans" w:eastAsia="Lucida Sans" w:hAnsi="Lucida Sans" w:cs="Lucida Sans"/>
        <w:sz w:val="20"/>
        <w:szCs w:val="20"/>
        <w:lang w:val="en-US"/>
      </w:rPr>
      <w:t>3</w:t>
    </w:r>
    <w:r>
      <w:rPr>
        <w:rFonts w:ascii="Lucida Sans" w:eastAsia="Lucida Sans" w:hAnsi="Lucida Sans" w:cs="Lucida Sans"/>
        <w:sz w:val="20"/>
        <w:szCs w:val="20"/>
        <w:lang w:val="en-US"/>
      </w:rPr>
      <w:t>/</w:t>
    </w:r>
    <w:r w:rsidR="00E52EBA">
      <w:rPr>
        <w:rFonts w:ascii="Lucida Sans" w:eastAsia="Lucida Sans" w:hAnsi="Lucida Sans" w:cs="Lucida Sans"/>
        <w:sz w:val="20"/>
        <w:szCs w:val="20"/>
        <w:lang w:val="en-US"/>
      </w:rPr>
      <w:t>06_06</w:t>
    </w:r>
  </w:p>
  <w:p w:rsidR="007D77F7" w:rsidRDefault="007D77F7">
    <w:pPr>
      <w:pStyle w:val="StandardWeb"/>
      <w:rPr>
        <w:rFonts w:ascii="Lucida Sans" w:eastAsia="Lucida Sans" w:hAnsi="Lucida Sans" w:cs="Lucida Sans"/>
        <w:sz w:val="20"/>
        <w:szCs w:val="20"/>
        <w:lang w:val="en-US"/>
      </w:rPr>
    </w:pPr>
  </w:p>
  <w:p w:rsidR="007D77F7" w:rsidRPr="005532B8" w:rsidRDefault="007D77F7">
    <w:pPr>
      <w:pStyle w:val="StandardWeb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B2"/>
    <w:rsid w:val="00037E07"/>
    <w:rsid w:val="00062DAD"/>
    <w:rsid w:val="00084D4B"/>
    <w:rsid w:val="001548A5"/>
    <w:rsid w:val="00210814"/>
    <w:rsid w:val="002457F0"/>
    <w:rsid w:val="002904BE"/>
    <w:rsid w:val="002E2DC6"/>
    <w:rsid w:val="002E7C79"/>
    <w:rsid w:val="00333C40"/>
    <w:rsid w:val="003727B2"/>
    <w:rsid w:val="00373CAC"/>
    <w:rsid w:val="003C0D94"/>
    <w:rsid w:val="003D7DBF"/>
    <w:rsid w:val="003F410E"/>
    <w:rsid w:val="00424D68"/>
    <w:rsid w:val="005532B8"/>
    <w:rsid w:val="00575D0E"/>
    <w:rsid w:val="00672168"/>
    <w:rsid w:val="006D11B6"/>
    <w:rsid w:val="007C52A0"/>
    <w:rsid w:val="007D77F7"/>
    <w:rsid w:val="0091191B"/>
    <w:rsid w:val="00955BA5"/>
    <w:rsid w:val="009832FB"/>
    <w:rsid w:val="00992AB2"/>
    <w:rsid w:val="00A1318A"/>
    <w:rsid w:val="00A16995"/>
    <w:rsid w:val="00A824F0"/>
    <w:rsid w:val="00AB6571"/>
    <w:rsid w:val="00AD4C6A"/>
    <w:rsid w:val="00BD286B"/>
    <w:rsid w:val="00BF2963"/>
    <w:rsid w:val="00D54D72"/>
    <w:rsid w:val="00D664FA"/>
    <w:rsid w:val="00DD32E6"/>
    <w:rsid w:val="00E51788"/>
    <w:rsid w:val="00E52EBA"/>
    <w:rsid w:val="00EB6D22"/>
    <w:rsid w:val="00F07970"/>
    <w:rsid w:val="00F47FEF"/>
    <w:rsid w:val="00F7160A"/>
    <w:rsid w:val="00F83F9A"/>
    <w:rsid w:val="00F8627F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71F90"/>
  <w15:docId w15:val="{B7848CA9-3141-4FC2-8DAD-1C9BE7A5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Lucida Sans" w:eastAsia="Lucida Sans" w:hAnsi="Lucida Sans" w:cs="Lucida Sans"/>
      <w:outline w:val="0"/>
      <w:color w:val="0000FF"/>
      <w:sz w:val="20"/>
      <w:szCs w:val="20"/>
      <w:u w:val="single" w:color="0000FF"/>
    </w:rPr>
  </w:style>
  <w:style w:type="paragraph" w:styleId="Kopfzeile">
    <w:name w:val="header"/>
    <w:basedOn w:val="Standard"/>
    <w:link w:val="KopfzeileZchn"/>
    <w:uiPriority w:val="99"/>
    <w:unhideWhenUsed/>
    <w:rsid w:val="0037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3CAC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uiPriority w:val="20"/>
    <w:qFormat/>
    <w:rsid w:val="00F47FEF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EBA"/>
    <w:rPr>
      <w:rFonts w:ascii="Segoe UI" w:eastAsia="Calibr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ominique.franke-sakuth@th-wildau.d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3894</Characters>
  <Application>Microsoft Office Word</Application>
  <DocSecurity>0</DocSecurity>
  <Lines>84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d.franke-sakuth</dc:creator>
  <cp:lastModifiedBy>Herr Lange</cp:lastModifiedBy>
  <cp:revision>2</cp:revision>
  <dcterms:created xsi:type="dcterms:W3CDTF">2023-06-12T16:00:00Z</dcterms:created>
  <dcterms:modified xsi:type="dcterms:W3CDTF">2023-06-12T16:00:00Z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29086c33ef3234de06e198cdccbe63fd0d67ee53eea6ba68a65e90a88645ae6a</vt:lpwstr>
  </property>
</Properties>
</file>