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9B182BC" w14:textId="77777777" w:rsidR="003E5918" w:rsidRPr="00B058E3" w:rsidRDefault="003E5918" w:rsidP="003E5918">
      <w:pPr>
        <w:pStyle w:val="VisaDocumentname"/>
        <w:rPr>
          <w:rFonts w:cs="Segoe UI"/>
          <w:color w:val="0023A0"/>
          <w:lang w:val="pl-PL"/>
        </w:rPr>
      </w:pPr>
      <w:r w:rsidRPr="003E5918">
        <w:rPr>
          <w:rFonts w:cs="Segoe UI"/>
          <w:noProof/>
          <w:color w:val="0023A0"/>
          <w:lang w:val="pl-PL" w:eastAsia="pl-PL"/>
        </w:rPr>
        <w:drawing>
          <wp:anchor distT="0" distB="0" distL="114300" distR="114300" simplePos="0" relativeHeight="251661312" behindDoc="0" locked="0" layoutInCell="1" allowOverlap="1" wp14:anchorId="40A776B9" wp14:editId="73827AEF">
            <wp:simplePos x="2057400" y="657225"/>
            <wp:positionH relativeFrom="page">
              <wp:align>right</wp:align>
            </wp:positionH>
            <wp:positionV relativeFrom="page">
              <wp:align>top</wp:align>
            </wp:positionV>
            <wp:extent cx="1481328" cy="832104"/>
            <wp:effectExtent l="0" t="0" r="5080" b="6350"/>
            <wp:wrapNone/>
            <wp:docPr id="2" name="Picture 2"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57B76" w:rsidRPr="00B058E3">
        <w:rPr>
          <w:rFonts w:cs="Segoe UI"/>
          <w:color w:val="0023A0"/>
          <w:lang w:val="pl-PL"/>
        </w:rPr>
        <w:t>INFORMACJA PRASOWA</w:t>
      </w:r>
    </w:p>
    <w:p w14:paraId="33597CE0" w14:textId="5C7D4239" w:rsidR="00B058E3" w:rsidRPr="00B058E3" w:rsidRDefault="0066174C" w:rsidP="0066174C">
      <w:pPr>
        <w:pStyle w:val="VisaHeadline"/>
        <w:jc w:val="center"/>
        <w:rPr>
          <w:rFonts w:cs="Segoe UI"/>
          <w:b/>
          <w:bCs/>
          <w:iCs/>
          <w:sz w:val="20"/>
          <w:lang w:val="pl-PL"/>
        </w:rPr>
      </w:pPr>
      <w:r w:rsidRPr="0066174C">
        <w:rPr>
          <w:rFonts w:eastAsia="Gulim" w:cs="Segoe UI"/>
          <w:color w:val="0023A0"/>
          <w:szCs w:val="40"/>
          <w:lang w:val="pl-PL" w:eastAsia="ko-KR"/>
        </w:rPr>
        <w:t>Do 2025 r. w turystyce międzynarodowej uczestniczyć będzie ponad 280 mln gospodarstw domowych</w:t>
      </w:r>
    </w:p>
    <w:p w14:paraId="2102210A" w14:textId="77777777" w:rsidR="0066174C" w:rsidRDefault="0066174C" w:rsidP="0066174C">
      <w:pPr>
        <w:pBdr>
          <w:top w:val="nil"/>
          <w:left w:val="nil"/>
          <w:bottom w:val="nil"/>
          <w:right w:val="nil"/>
          <w:between w:val="nil"/>
          <w:bar w:val="nil"/>
        </w:pBdr>
        <w:spacing w:after="0" w:line="240" w:lineRule="auto"/>
        <w:ind w:left="720"/>
        <w:rPr>
          <w:rFonts w:ascii="Segoe UI" w:eastAsia="Times New Roman" w:hAnsi="Segoe UI" w:cs="Segoe UI"/>
          <w:b/>
          <w:i/>
          <w:color w:val="000000" w:themeColor="text1"/>
          <w:sz w:val="20"/>
          <w:szCs w:val="20"/>
          <w:lang w:val="pl-PL"/>
        </w:rPr>
      </w:pPr>
    </w:p>
    <w:p w14:paraId="64BE01FF" w14:textId="1523E69F" w:rsidR="0066174C" w:rsidRDefault="0066174C" w:rsidP="0066174C">
      <w:pPr>
        <w:numPr>
          <w:ilvl w:val="0"/>
          <w:numId w:val="2"/>
        </w:numPr>
        <w:pBdr>
          <w:top w:val="nil"/>
          <w:left w:val="nil"/>
          <w:bottom w:val="nil"/>
          <w:right w:val="nil"/>
          <w:between w:val="nil"/>
          <w:bar w:val="nil"/>
        </w:pBdr>
        <w:spacing w:after="0" w:line="240" w:lineRule="auto"/>
        <w:ind w:left="720"/>
        <w:rPr>
          <w:rFonts w:ascii="Segoe UI" w:eastAsia="Times New Roman" w:hAnsi="Segoe UI" w:cs="Segoe UI"/>
          <w:b/>
          <w:i/>
          <w:color w:val="000000" w:themeColor="text1"/>
          <w:sz w:val="20"/>
          <w:szCs w:val="20"/>
          <w:lang w:val="pl-PL"/>
        </w:rPr>
      </w:pPr>
      <w:r w:rsidRPr="0066174C">
        <w:rPr>
          <w:rFonts w:ascii="Segoe UI" w:eastAsia="Times New Roman" w:hAnsi="Segoe UI" w:cs="Segoe UI"/>
          <w:b/>
          <w:i/>
          <w:color w:val="000000" w:themeColor="text1"/>
          <w:sz w:val="20"/>
          <w:szCs w:val="20"/>
          <w:lang w:val="pl-PL"/>
        </w:rPr>
        <w:t>Trendy dotyczące wyjazdó</w:t>
      </w:r>
      <w:r w:rsidR="00B33D73">
        <w:rPr>
          <w:rFonts w:ascii="Segoe UI" w:eastAsia="Times New Roman" w:hAnsi="Segoe UI" w:cs="Segoe UI"/>
          <w:b/>
          <w:i/>
          <w:color w:val="000000" w:themeColor="text1"/>
          <w:sz w:val="20"/>
          <w:szCs w:val="20"/>
          <w:lang w:val="pl-PL"/>
        </w:rPr>
        <w:t>w zagranicznych na świecie: wz</w:t>
      </w:r>
      <w:r w:rsidRPr="0066174C">
        <w:rPr>
          <w:rFonts w:ascii="Segoe UI" w:eastAsia="Times New Roman" w:hAnsi="Segoe UI" w:cs="Segoe UI"/>
          <w:b/>
          <w:i/>
          <w:color w:val="000000" w:themeColor="text1"/>
          <w:sz w:val="20"/>
          <w:szCs w:val="20"/>
          <w:lang w:val="pl-PL"/>
        </w:rPr>
        <w:t xml:space="preserve">rost klasy średniej, zwiększony dostęp do </w:t>
      </w:r>
      <w:proofErr w:type="spellStart"/>
      <w:r w:rsidRPr="0066174C">
        <w:rPr>
          <w:rFonts w:ascii="Segoe UI" w:eastAsia="Times New Roman" w:hAnsi="Segoe UI" w:cs="Segoe UI"/>
          <w:b/>
          <w:i/>
          <w:color w:val="000000" w:themeColor="text1"/>
          <w:sz w:val="20"/>
          <w:szCs w:val="20"/>
          <w:lang w:val="pl-PL"/>
        </w:rPr>
        <w:t>internetu</w:t>
      </w:r>
      <w:proofErr w:type="spellEnd"/>
      <w:r w:rsidRPr="0066174C">
        <w:rPr>
          <w:rFonts w:ascii="Segoe UI" w:eastAsia="Times New Roman" w:hAnsi="Segoe UI" w:cs="Segoe UI"/>
          <w:b/>
          <w:i/>
          <w:color w:val="000000" w:themeColor="text1"/>
          <w:sz w:val="20"/>
          <w:szCs w:val="20"/>
          <w:lang w:val="pl-PL"/>
        </w:rPr>
        <w:t>, wygodniejsze podróżowanie, rosnący udział osób starszych</w:t>
      </w:r>
    </w:p>
    <w:p w14:paraId="5AF6A937" w14:textId="54195FCB" w:rsidR="0066174C" w:rsidRPr="00325B9C" w:rsidRDefault="00325B9C" w:rsidP="00325B9C">
      <w:pPr>
        <w:numPr>
          <w:ilvl w:val="0"/>
          <w:numId w:val="7"/>
        </w:numPr>
        <w:spacing w:after="0" w:line="240" w:lineRule="auto"/>
        <w:ind w:left="720"/>
        <w:rPr>
          <w:rFonts w:ascii="Segoe UI" w:hAnsi="Segoe UI" w:cs="Segoe UI"/>
          <w:b/>
          <w:bCs/>
          <w:i/>
          <w:iCs/>
          <w:color w:val="000000"/>
          <w:sz w:val="20"/>
          <w:szCs w:val="20"/>
          <w:lang w:val="pl-PL"/>
        </w:rPr>
      </w:pPr>
      <w:r w:rsidRPr="00325B9C">
        <w:rPr>
          <w:rFonts w:ascii="Segoe UI" w:hAnsi="Segoe UI" w:cs="Segoe UI"/>
          <w:b/>
          <w:bCs/>
          <w:i/>
          <w:iCs/>
          <w:color w:val="000000"/>
          <w:sz w:val="20"/>
          <w:szCs w:val="20"/>
          <w:lang w:val="pl-PL"/>
        </w:rPr>
        <w:t xml:space="preserve">W ciągu najbliższej dekady wydatki </w:t>
      </w:r>
      <w:r w:rsidR="004003E5" w:rsidRPr="00325B9C">
        <w:rPr>
          <w:rFonts w:ascii="Segoe UI" w:hAnsi="Segoe UI" w:cs="Segoe UI"/>
          <w:b/>
          <w:bCs/>
          <w:i/>
          <w:iCs/>
          <w:color w:val="000000"/>
          <w:sz w:val="20"/>
          <w:szCs w:val="20"/>
          <w:lang w:val="pl-PL"/>
        </w:rPr>
        <w:t xml:space="preserve">na </w:t>
      </w:r>
      <w:r w:rsidR="004003E5">
        <w:rPr>
          <w:rFonts w:ascii="Segoe UI" w:hAnsi="Segoe UI" w:cs="Segoe UI"/>
          <w:b/>
          <w:bCs/>
          <w:i/>
          <w:iCs/>
          <w:color w:val="000000"/>
          <w:sz w:val="20"/>
          <w:szCs w:val="20"/>
          <w:lang w:val="pl-PL"/>
        </w:rPr>
        <w:t xml:space="preserve">ten cel </w:t>
      </w:r>
      <w:r w:rsidR="0081383C">
        <w:rPr>
          <w:rFonts w:ascii="Segoe UI" w:hAnsi="Segoe UI" w:cs="Segoe UI"/>
          <w:b/>
          <w:bCs/>
          <w:i/>
          <w:iCs/>
          <w:color w:val="000000"/>
          <w:sz w:val="20"/>
          <w:szCs w:val="20"/>
          <w:lang w:val="pl-PL"/>
        </w:rPr>
        <w:t xml:space="preserve">wśród </w:t>
      </w:r>
      <w:r w:rsidRPr="00325B9C">
        <w:rPr>
          <w:rFonts w:ascii="Segoe UI" w:hAnsi="Segoe UI" w:cs="Segoe UI"/>
          <w:b/>
          <w:bCs/>
          <w:i/>
          <w:iCs/>
          <w:color w:val="000000"/>
          <w:sz w:val="20"/>
          <w:szCs w:val="20"/>
          <w:lang w:val="pl-PL"/>
        </w:rPr>
        <w:t>podróżujących za granicę Polaków zwiększą się o ponad 90%</w:t>
      </w:r>
    </w:p>
    <w:p w14:paraId="24C6C200" w14:textId="77777777" w:rsidR="00B058E3" w:rsidRPr="00B07B55" w:rsidRDefault="003E5918" w:rsidP="00B058E3">
      <w:pPr>
        <w:pBdr>
          <w:top w:val="nil"/>
          <w:left w:val="nil"/>
          <w:bottom w:val="nil"/>
          <w:right w:val="nil"/>
          <w:between w:val="nil"/>
          <w:bar w:val="nil"/>
        </w:pBdr>
        <w:spacing w:after="0" w:line="240" w:lineRule="auto"/>
        <w:rPr>
          <w:rFonts w:ascii="Segoe UI" w:eastAsia="Times New Roman" w:hAnsi="Segoe UI" w:cs="Segoe UI"/>
          <w:b/>
          <w:i/>
          <w:color w:val="000000" w:themeColor="text1"/>
          <w:sz w:val="20"/>
          <w:szCs w:val="20"/>
          <w:lang w:val="pl-PL"/>
        </w:rPr>
      </w:pPr>
      <w:r w:rsidRPr="003E5918">
        <w:rPr>
          <w:rFonts w:ascii="Segoe UI" w:hAnsi="Segoe UI" w:cs="Segoe UI"/>
          <w:b/>
          <w:noProof/>
          <w:sz w:val="20"/>
          <w:szCs w:val="20"/>
          <w:lang w:val="pl-PL" w:eastAsia="pl-PL"/>
        </w:rPr>
        <w:drawing>
          <wp:anchor distT="0" distB="0" distL="114300" distR="114300" simplePos="0" relativeHeight="251659264" behindDoc="0" locked="0" layoutInCell="1" allowOverlap="1" wp14:anchorId="6FB319F5" wp14:editId="44F7C503">
            <wp:simplePos x="0" y="0"/>
            <wp:positionH relativeFrom="page">
              <wp:align>right</wp:align>
            </wp:positionH>
            <wp:positionV relativeFrom="page">
              <wp:align>top</wp:align>
            </wp:positionV>
            <wp:extent cx="1481328" cy="832104"/>
            <wp:effectExtent l="0" t="0" r="5080" b="6350"/>
            <wp:wrapNone/>
            <wp:docPr id="1" name="Picture 1" descr="C:\Users\mordoyne\Desktop\templates\forms_vbm.png"/>
            <wp:cNvGraphicFramePr/>
            <a:graphic xmlns:a="http://schemas.openxmlformats.org/drawingml/2006/main">
              <a:graphicData uri="http://schemas.openxmlformats.org/drawingml/2006/picture">
                <pic:pic xmlns:pic="http://schemas.openxmlformats.org/drawingml/2006/picture">
                  <pic:nvPicPr>
                    <pic:cNvPr id="1" name="Picture 1" descr="C:\Users\mordoyne\Desktop\templates\forms_vbm.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81328" cy="832104"/>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9C7E616" w14:textId="23CAF60F" w:rsidR="0066174C" w:rsidRPr="0066174C" w:rsidRDefault="00B33D73" w:rsidP="0066174C">
      <w:pPr>
        <w:rPr>
          <w:rFonts w:ascii="Segoe UI" w:hAnsi="Segoe UI" w:cs="Segoe UI"/>
          <w:sz w:val="20"/>
          <w:szCs w:val="20"/>
          <w:lang w:val="pl-PL"/>
        </w:rPr>
      </w:pPr>
      <w:r>
        <w:rPr>
          <w:rFonts w:ascii="Segoe UI" w:hAnsi="Segoe UI" w:cs="Segoe UI"/>
          <w:b/>
          <w:noProof/>
          <w:sz w:val="20"/>
          <w:szCs w:val="20"/>
          <w:lang w:val="pl-PL" w:eastAsia="pl-PL"/>
        </w:rPr>
        <w:t xml:space="preserve">Warszawa, </w:t>
      </w:r>
      <w:r w:rsidR="00D24945">
        <w:rPr>
          <w:rFonts w:ascii="Segoe UI" w:hAnsi="Segoe UI" w:cs="Segoe UI"/>
          <w:b/>
          <w:noProof/>
          <w:sz w:val="20"/>
          <w:szCs w:val="20"/>
          <w:lang w:val="pl-PL" w:eastAsia="pl-PL"/>
        </w:rPr>
        <w:t>3 października</w:t>
      </w:r>
      <w:r w:rsidR="00B058E3" w:rsidRPr="00B058E3">
        <w:rPr>
          <w:rFonts w:ascii="Segoe UI" w:hAnsi="Segoe UI" w:cs="Segoe UI"/>
          <w:b/>
          <w:noProof/>
          <w:sz w:val="20"/>
          <w:szCs w:val="20"/>
          <w:lang w:val="pl-PL" w:eastAsia="pl-PL"/>
        </w:rPr>
        <w:t xml:space="preserve"> 2016 r.</w:t>
      </w:r>
      <w:r w:rsidR="003E5918" w:rsidRPr="00B058E3">
        <w:rPr>
          <w:rFonts w:ascii="Segoe UI" w:hAnsi="Segoe UI" w:cs="Segoe UI"/>
          <w:sz w:val="20"/>
          <w:szCs w:val="20"/>
          <w:lang w:val="pl-PL"/>
        </w:rPr>
        <w:t xml:space="preserve"> –</w:t>
      </w:r>
      <w:r w:rsidR="00F40A80">
        <w:rPr>
          <w:rFonts w:ascii="Segoe UI" w:hAnsi="Segoe UI" w:cs="Segoe UI"/>
          <w:sz w:val="20"/>
          <w:szCs w:val="20"/>
          <w:lang w:val="pl-PL"/>
        </w:rPr>
        <w:t xml:space="preserve"> </w:t>
      </w:r>
      <w:r w:rsidR="0066174C" w:rsidRPr="0066174C">
        <w:rPr>
          <w:rFonts w:ascii="Segoe UI" w:hAnsi="Segoe UI" w:cs="Segoe UI"/>
          <w:sz w:val="20"/>
          <w:szCs w:val="20"/>
          <w:lang w:val="pl-PL"/>
        </w:rPr>
        <w:t>Jak wskazują wyniki badania przeprowadzonego na zlecenie Visa, na przestrzeni najbliższych 10 lat należy spodziewać się znacznego wzrostu globalnej liczby wyjazdów zagranicznych i związanych</w:t>
      </w:r>
      <w:r w:rsidR="00D3768A">
        <w:rPr>
          <w:rFonts w:ascii="Segoe UI" w:hAnsi="Segoe UI" w:cs="Segoe UI"/>
          <w:sz w:val="20"/>
          <w:szCs w:val="20"/>
          <w:lang w:val="pl-PL"/>
        </w:rPr>
        <w:t xml:space="preserve"> z nimi wydatków</w:t>
      </w:r>
      <w:r w:rsidR="0066174C" w:rsidRPr="0066174C">
        <w:rPr>
          <w:rFonts w:ascii="Segoe UI" w:hAnsi="Segoe UI" w:cs="Segoe UI"/>
          <w:sz w:val="20"/>
          <w:szCs w:val="20"/>
          <w:lang w:val="pl-PL"/>
        </w:rPr>
        <w:t>. Do 2025 r. szacowana liczba gospodarstw domowych na całym świecie planujących co najmniej jedną podróż zagraniczną rocznie osiągnie 282 mln (wzrost o 35% w stosunku do 2015 r.). Liczba takich gospodarstw w Polsce zwiększy się w tym czasie o 45%, a ich wydatki na</w:t>
      </w:r>
      <w:r w:rsidR="0066174C">
        <w:rPr>
          <w:rFonts w:ascii="Segoe UI" w:hAnsi="Segoe UI" w:cs="Segoe UI"/>
          <w:sz w:val="20"/>
          <w:szCs w:val="20"/>
          <w:lang w:val="pl-PL"/>
        </w:rPr>
        <w:t xml:space="preserve"> ten cel wzrosną o ponad 90%.  </w:t>
      </w:r>
    </w:p>
    <w:p w14:paraId="158B5E8D" w14:textId="1DB134B6" w:rsidR="0066174C" w:rsidRPr="0066174C" w:rsidRDefault="0066174C" w:rsidP="0066174C">
      <w:pPr>
        <w:rPr>
          <w:rFonts w:ascii="Segoe UI" w:hAnsi="Segoe UI" w:cs="Segoe UI"/>
          <w:sz w:val="20"/>
          <w:szCs w:val="20"/>
          <w:lang w:val="pl-PL"/>
        </w:rPr>
      </w:pPr>
      <w:r w:rsidRPr="0066174C">
        <w:rPr>
          <w:rFonts w:ascii="Segoe UI" w:hAnsi="Segoe UI" w:cs="Segoe UI"/>
          <w:sz w:val="20"/>
          <w:szCs w:val="20"/>
          <w:lang w:val="pl-PL"/>
        </w:rPr>
        <w:t xml:space="preserve">W przeprowadzonym przez agencję Oxford </w:t>
      </w:r>
      <w:proofErr w:type="spellStart"/>
      <w:r w:rsidRPr="0066174C">
        <w:rPr>
          <w:rFonts w:ascii="Segoe UI" w:hAnsi="Segoe UI" w:cs="Segoe UI"/>
          <w:sz w:val="20"/>
          <w:szCs w:val="20"/>
          <w:lang w:val="pl-PL"/>
        </w:rPr>
        <w:t>Economics</w:t>
      </w:r>
      <w:proofErr w:type="spellEnd"/>
      <w:r w:rsidRPr="0066174C">
        <w:rPr>
          <w:rFonts w:ascii="Segoe UI" w:hAnsi="Segoe UI" w:cs="Segoe UI"/>
          <w:sz w:val="20"/>
          <w:szCs w:val="20"/>
          <w:lang w:val="pl-PL"/>
        </w:rPr>
        <w:t xml:space="preserve"> badaniu wzięto pod uwagę aktualne dane o podróżach posiadaczy kart Visa po całym świecie, jak również szacunki i przewidywania dla całej branży turystycznej. W grupie gospodarstw domowych o największej skłonności do podróży zagranicznych, na którą przypada ok. 90% całości wydatków związanych z wyjazdami za granicę, średnioroczne wydatki na turystykę międzynarodową w 2025 r. w</w:t>
      </w:r>
      <w:r>
        <w:rPr>
          <w:rFonts w:ascii="Segoe UI" w:hAnsi="Segoe UI" w:cs="Segoe UI"/>
          <w:sz w:val="20"/>
          <w:szCs w:val="20"/>
          <w:lang w:val="pl-PL"/>
        </w:rPr>
        <w:t>ynieść mają 4 783 euro[i].</w:t>
      </w:r>
    </w:p>
    <w:p w14:paraId="1B4A1C6D" w14:textId="27F59BCF" w:rsidR="000255C1" w:rsidRDefault="0066174C" w:rsidP="0066174C">
      <w:pPr>
        <w:rPr>
          <w:rFonts w:ascii="Segoe UI" w:hAnsi="Segoe UI" w:cs="Segoe UI"/>
          <w:sz w:val="20"/>
          <w:szCs w:val="20"/>
          <w:lang w:val="pl-PL"/>
        </w:rPr>
      </w:pPr>
      <w:r w:rsidRPr="0066174C">
        <w:rPr>
          <w:rFonts w:ascii="Segoe UI" w:hAnsi="Segoe UI" w:cs="Segoe UI"/>
          <w:sz w:val="20"/>
          <w:szCs w:val="20"/>
          <w:lang w:val="pl-PL"/>
        </w:rPr>
        <w:t>Badani</w:t>
      </w:r>
      <w:r w:rsidR="00D3768A">
        <w:rPr>
          <w:rFonts w:ascii="Segoe UI" w:hAnsi="Segoe UI" w:cs="Segoe UI"/>
          <w:sz w:val="20"/>
          <w:szCs w:val="20"/>
          <w:lang w:val="pl-PL"/>
        </w:rPr>
        <w:t>e</w:t>
      </w:r>
      <w:r w:rsidRPr="0066174C">
        <w:rPr>
          <w:rFonts w:ascii="Segoe UI" w:hAnsi="Segoe UI" w:cs="Segoe UI"/>
          <w:sz w:val="20"/>
          <w:szCs w:val="20"/>
          <w:lang w:val="pl-PL"/>
        </w:rPr>
        <w:t xml:space="preserve"> Visa wskazał</w:t>
      </w:r>
      <w:r w:rsidR="00D3768A">
        <w:rPr>
          <w:rFonts w:ascii="Segoe UI" w:hAnsi="Segoe UI" w:cs="Segoe UI"/>
          <w:sz w:val="20"/>
          <w:szCs w:val="20"/>
          <w:lang w:val="pl-PL"/>
        </w:rPr>
        <w:t>o też</w:t>
      </w:r>
      <w:r w:rsidRPr="0066174C">
        <w:rPr>
          <w:rFonts w:ascii="Segoe UI" w:hAnsi="Segoe UI" w:cs="Segoe UI"/>
          <w:sz w:val="20"/>
          <w:szCs w:val="20"/>
          <w:lang w:val="pl-PL"/>
        </w:rPr>
        <w:t xml:space="preserve"> na główne trendy napędzające rozwój światowej turystyki zagranicznej w nadchodzących dziesięciu latach, takie jak rosnąca liczebność klasy średniej w skali globalnej, coraz szerszy dostęp do </w:t>
      </w:r>
      <w:proofErr w:type="spellStart"/>
      <w:r w:rsidRPr="0066174C">
        <w:rPr>
          <w:rFonts w:ascii="Segoe UI" w:hAnsi="Segoe UI" w:cs="Segoe UI"/>
          <w:sz w:val="20"/>
          <w:szCs w:val="20"/>
          <w:lang w:val="pl-PL"/>
        </w:rPr>
        <w:t>internetu</w:t>
      </w:r>
      <w:proofErr w:type="spellEnd"/>
      <w:r w:rsidRPr="0066174C">
        <w:rPr>
          <w:rFonts w:ascii="Segoe UI" w:hAnsi="Segoe UI" w:cs="Segoe UI"/>
          <w:sz w:val="20"/>
          <w:szCs w:val="20"/>
          <w:lang w:val="pl-PL"/>
        </w:rPr>
        <w:t xml:space="preserve"> i stale rozbudowywana infrastruktura transportowa w wielu krajach, a także rosnąca na całym świecie grupa osób starszych, dysponujących większą ilością czasu wolnego. Przewidywany jest również wysoki, ponad 50% wzrost wydatków na turystykę międzynarodową – do równowartości 1 bln 349,3 mld euro w 2025 r.</w:t>
      </w:r>
    </w:p>
    <w:p w14:paraId="416A94BE" w14:textId="01EEBF18" w:rsidR="0066174C" w:rsidRPr="0066174C" w:rsidRDefault="0066174C" w:rsidP="0066174C">
      <w:pPr>
        <w:rPr>
          <w:rFonts w:ascii="Segoe UI" w:hAnsi="Segoe UI" w:cs="Segoe UI"/>
          <w:sz w:val="20"/>
          <w:szCs w:val="20"/>
          <w:lang w:val="pl-PL"/>
        </w:rPr>
      </w:pPr>
      <w:r w:rsidRPr="0066174C">
        <w:rPr>
          <w:rFonts w:ascii="Segoe UI" w:hAnsi="Segoe UI" w:cs="Segoe UI"/>
          <w:sz w:val="20"/>
          <w:szCs w:val="20"/>
          <w:lang w:val="pl-PL"/>
        </w:rPr>
        <w:t>„Zamiłowanie do podróży – także wśród Polaków – będzie rosnąć. W nadchodzącym dziesięcioleciu będziemy świadkami wzrostu liczby podróżujących, przeznaczających na turystykę międzynarodową coraz więcej pieniędzy</w:t>
      </w:r>
      <w:r w:rsidR="00ED2FD4">
        <w:rPr>
          <w:rFonts w:ascii="Segoe UI" w:hAnsi="Segoe UI" w:cs="Segoe UI"/>
          <w:sz w:val="20"/>
          <w:szCs w:val="20"/>
          <w:lang w:val="pl-PL"/>
        </w:rPr>
        <w:t>” –</w:t>
      </w:r>
      <w:r w:rsidR="007A69B8">
        <w:rPr>
          <w:rFonts w:ascii="Segoe UI" w:hAnsi="Segoe UI" w:cs="Segoe UI"/>
          <w:sz w:val="20"/>
          <w:szCs w:val="20"/>
          <w:lang w:val="pl-PL"/>
        </w:rPr>
        <w:t xml:space="preserve"> skom</w:t>
      </w:r>
      <w:r w:rsidR="00B33D73">
        <w:rPr>
          <w:rFonts w:ascii="Segoe UI" w:hAnsi="Segoe UI" w:cs="Segoe UI"/>
          <w:sz w:val="20"/>
          <w:szCs w:val="20"/>
          <w:lang w:val="pl-PL"/>
        </w:rPr>
        <w:t xml:space="preserve">entował </w:t>
      </w:r>
      <w:r w:rsidR="006C4655" w:rsidRPr="006C4655">
        <w:rPr>
          <w:rFonts w:ascii="Segoe UI" w:hAnsi="Segoe UI" w:cs="Segoe UI"/>
          <w:sz w:val="20"/>
          <w:szCs w:val="20"/>
          <w:lang w:val="pl-PL"/>
        </w:rPr>
        <w:t>Jakub Kiwior, dyrektor ds. rozwoju biznesu i marketingu w regionie Europy Środkowo-Wschodniej, Visa Europe</w:t>
      </w:r>
      <w:r w:rsidRPr="0066174C">
        <w:rPr>
          <w:rFonts w:ascii="Segoe UI" w:hAnsi="Segoe UI" w:cs="Segoe UI"/>
          <w:sz w:val="20"/>
          <w:szCs w:val="20"/>
          <w:lang w:val="pl-PL"/>
        </w:rPr>
        <w:t>.</w:t>
      </w:r>
      <w:r w:rsidR="00ED2FD4">
        <w:rPr>
          <w:rFonts w:ascii="Segoe UI" w:hAnsi="Segoe UI" w:cs="Segoe UI"/>
          <w:sz w:val="20"/>
          <w:szCs w:val="20"/>
          <w:lang w:val="pl-PL"/>
        </w:rPr>
        <w:t xml:space="preserve"> „</w:t>
      </w:r>
      <w:r w:rsidRPr="0066174C">
        <w:rPr>
          <w:rFonts w:ascii="Segoe UI" w:hAnsi="Segoe UI" w:cs="Segoe UI"/>
          <w:sz w:val="20"/>
          <w:szCs w:val="20"/>
          <w:lang w:val="pl-PL"/>
        </w:rPr>
        <w:t xml:space="preserve">Więcej wyjazdów zagranicznych to więcej decyzji dotyczących sposobu wydawania pieniędzy w czasie urlopu. Korzystanie z karty płatniczej w kraju to już codzienność, lecz jednocześnie coraz więcej ludzi zaczyna zdawać sobie sprawę – na podstawie własnego doświadczenia – że również za granicą używanie kart i wypłata gotówki z bankomatów są nie tylko wygodne, ale i łatwo dostępne oraz </w:t>
      </w:r>
      <w:r w:rsidRPr="006C4655">
        <w:rPr>
          <w:rFonts w:ascii="Segoe UI" w:hAnsi="Segoe UI" w:cs="Segoe UI"/>
          <w:sz w:val="20"/>
          <w:szCs w:val="20"/>
          <w:lang w:val="pl-PL"/>
        </w:rPr>
        <w:t>bezpieczne. Bez względu na to, w jakim kraju się znajdziemy, możemy korzystać z dobrze znanej nam metody płatności”</w:t>
      </w:r>
      <w:r w:rsidR="00ED2FD4" w:rsidRPr="006C4655">
        <w:rPr>
          <w:rFonts w:ascii="Segoe UI" w:hAnsi="Segoe UI" w:cs="Segoe UI"/>
          <w:sz w:val="20"/>
          <w:szCs w:val="20"/>
          <w:lang w:val="pl-PL"/>
        </w:rPr>
        <w:t xml:space="preserve"> – dodał </w:t>
      </w:r>
      <w:r w:rsidR="006C4655" w:rsidRPr="006C4655">
        <w:rPr>
          <w:rFonts w:ascii="Segoe UI" w:hAnsi="Segoe UI" w:cs="Segoe UI"/>
          <w:sz w:val="20"/>
          <w:szCs w:val="20"/>
          <w:lang w:val="pl-PL"/>
        </w:rPr>
        <w:t>Jakub Kiwior.</w:t>
      </w:r>
    </w:p>
    <w:p w14:paraId="56FC5F5E" w14:textId="30D92147" w:rsidR="0066174C" w:rsidRDefault="0066174C" w:rsidP="0066174C">
      <w:pPr>
        <w:rPr>
          <w:rFonts w:ascii="Segoe UI" w:hAnsi="Segoe UI" w:cs="Segoe UI"/>
          <w:sz w:val="20"/>
          <w:szCs w:val="20"/>
          <w:lang w:val="pl-PL"/>
        </w:rPr>
      </w:pPr>
      <w:r w:rsidRPr="0066174C">
        <w:rPr>
          <w:rFonts w:ascii="Segoe UI" w:hAnsi="Segoe UI" w:cs="Segoe UI"/>
          <w:sz w:val="20"/>
          <w:szCs w:val="20"/>
          <w:lang w:val="pl-PL"/>
        </w:rPr>
        <w:t>Przewiduje się, że do 2025 r. liczba polskich gospodarstw domowych planujących co najmniej jeden wyjazd zagraniczny rocznie osiągnie 1,4 mln, zaś wydatki na wypoczynek poza krajem wyniosą 10,7 mld euro, wzrastając o ponad 90% w stosunku do 2015 r.</w:t>
      </w:r>
      <w:bookmarkStart w:id="0" w:name="_GoBack"/>
      <w:bookmarkEnd w:id="0"/>
    </w:p>
    <w:p w14:paraId="140AF76E" w14:textId="77777777" w:rsidR="0066174C" w:rsidRPr="0066174C" w:rsidRDefault="0066174C" w:rsidP="0066174C">
      <w:pPr>
        <w:rPr>
          <w:rFonts w:ascii="Segoe UI" w:hAnsi="Segoe UI" w:cs="Segoe UI"/>
          <w:sz w:val="20"/>
          <w:szCs w:val="20"/>
          <w:lang w:val="pl-PL"/>
        </w:rPr>
      </w:pPr>
      <w:r w:rsidRPr="0066174C">
        <w:rPr>
          <w:rFonts w:ascii="Segoe UI" w:hAnsi="Segoe UI" w:cs="Segoe UI"/>
          <w:sz w:val="20"/>
          <w:szCs w:val="20"/>
          <w:lang w:val="pl-PL"/>
        </w:rPr>
        <w:lastRenderedPageBreak/>
        <w:t>Główne wnioski w skali świata z badania:</w:t>
      </w:r>
    </w:p>
    <w:p w14:paraId="03C2EA71" w14:textId="5407F6B2" w:rsidR="0066174C" w:rsidRPr="0066174C" w:rsidRDefault="0066174C" w:rsidP="0066174C">
      <w:pPr>
        <w:pStyle w:val="Akapitzlist"/>
        <w:numPr>
          <w:ilvl w:val="0"/>
          <w:numId w:val="6"/>
        </w:numPr>
        <w:rPr>
          <w:rFonts w:ascii="Segoe UI" w:hAnsi="Segoe UI" w:cs="Segoe UI"/>
          <w:sz w:val="20"/>
          <w:szCs w:val="20"/>
          <w:lang w:val="pl-PL"/>
        </w:rPr>
      </w:pPr>
      <w:r w:rsidRPr="0066174C">
        <w:rPr>
          <w:rFonts w:ascii="Segoe UI" w:hAnsi="Segoe UI" w:cs="Segoe UI"/>
          <w:b/>
          <w:sz w:val="20"/>
          <w:szCs w:val="20"/>
          <w:lang w:val="pl-PL"/>
        </w:rPr>
        <w:t>Rozwój nowej klasy podróżników globalnych:</w:t>
      </w:r>
      <w:r w:rsidRPr="0066174C">
        <w:rPr>
          <w:rFonts w:ascii="Segoe UI" w:hAnsi="Segoe UI" w:cs="Segoe UI"/>
          <w:sz w:val="20"/>
          <w:szCs w:val="20"/>
          <w:lang w:val="pl-PL"/>
        </w:rPr>
        <w:t xml:space="preserve"> Rosnące dochody na całym świecie </w:t>
      </w:r>
      <w:r w:rsidR="00D3768A">
        <w:rPr>
          <w:rFonts w:ascii="Segoe UI" w:hAnsi="Segoe UI" w:cs="Segoe UI"/>
          <w:sz w:val="20"/>
          <w:szCs w:val="20"/>
          <w:lang w:val="pl-PL"/>
        </w:rPr>
        <w:t>przyczyniają się do powstania nowej</w:t>
      </w:r>
      <w:r w:rsidRPr="0066174C">
        <w:rPr>
          <w:rFonts w:ascii="Segoe UI" w:hAnsi="Segoe UI" w:cs="Segoe UI"/>
          <w:sz w:val="20"/>
          <w:szCs w:val="20"/>
          <w:lang w:val="pl-PL"/>
        </w:rPr>
        <w:t xml:space="preserve"> „klas</w:t>
      </w:r>
      <w:r w:rsidR="00D3768A">
        <w:rPr>
          <w:rFonts w:ascii="Segoe UI" w:hAnsi="Segoe UI" w:cs="Segoe UI"/>
          <w:sz w:val="20"/>
          <w:szCs w:val="20"/>
          <w:lang w:val="pl-PL"/>
        </w:rPr>
        <w:t>y</w:t>
      </w:r>
      <w:r w:rsidRPr="0066174C">
        <w:rPr>
          <w:rFonts w:ascii="Segoe UI" w:hAnsi="Segoe UI" w:cs="Segoe UI"/>
          <w:sz w:val="20"/>
          <w:szCs w:val="20"/>
          <w:lang w:val="pl-PL"/>
        </w:rPr>
        <w:t xml:space="preserve"> podróżników”. Jak wykazało badanie, na gospodarstwa domowe z rocznym dochodem wynoszącym co najmniej równowartość 18 tys. euro przypada ponad 90% wartości wydatków na turystykę międzynarodową. Szacuje się, że do 2025 r. w tym przedziale dochodowym znajdzie się prawie połowa z wszystkich gospodarstw domowych na świecie (945 mln), co da impuls do liczniejszych wyjazdów zagranicznych i związanych z nimi płatności – zwłaszcza w wypadku gospodarstw domowych z rynków wschodzących, takich jak Chiny, Rosja czy Brazylia. </w:t>
      </w:r>
    </w:p>
    <w:p w14:paraId="67A89C5B" w14:textId="6D92CDF3" w:rsidR="0066174C" w:rsidRPr="0066174C" w:rsidRDefault="0066174C" w:rsidP="0066174C">
      <w:pPr>
        <w:pStyle w:val="Akapitzlist"/>
        <w:numPr>
          <w:ilvl w:val="0"/>
          <w:numId w:val="6"/>
        </w:numPr>
        <w:rPr>
          <w:rFonts w:ascii="Segoe UI" w:hAnsi="Segoe UI" w:cs="Segoe UI"/>
          <w:sz w:val="20"/>
          <w:szCs w:val="20"/>
          <w:lang w:val="pl-PL"/>
        </w:rPr>
      </w:pPr>
      <w:r w:rsidRPr="0066174C">
        <w:rPr>
          <w:rFonts w:ascii="Segoe UI" w:hAnsi="Segoe UI" w:cs="Segoe UI"/>
          <w:b/>
          <w:sz w:val="20"/>
          <w:szCs w:val="20"/>
          <w:lang w:val="pl-PL"/>
        </w:rPr>
        <w:t>Starzenie się ludności na całym świecie:</w:t>
      </w:r>
      <w:r w:rsidRPr="0066174C">
        <w:rPr>
          <w:rFonts w:ascii="Segoe UI" w:hAnsi="Segoe UI" w:cs="Segoe UI"/>
          <w:sz w:val="20"/>
          <w:szCs w:val="20"/>
          <w:lang w:val="pl-PL"/>
        </w:rPr>
        <w:t xml:space="preserve"> Do 2025 r. liczba podróży osób w grupie wiekowej 65+ podwoi się i osiągnie szacunkowy poziom 180 mln, co stanowić będzie jedną ósmą wszystkich podróży międzynarodowych. Zgodnie z wynikami badania, podróżujących w tej grupie wiekowej będzie na świecie przybywać w średniorocznym tempie 8,4% w porównaniu do 4,9% dla grupy wiekowej 35-64 lata</w:t>
      </w:r>
      <w:r w:rsidR="00D3768A">
        <w:rPr>
          <w:rFonts w:ascii="Segoe UI" w:hAnsi="Segoe UI" w:cs="Segoe UI"/>
          <w:sz w:val="20"/>
          <w:szCs w:val="20"/>
          <w:lang w:val="pl-PL"/>
        </w:rPr>
        <w:t>. Ta różnica będzie</w:t>
      </w:r>
      <w:r w:rsidRPr="0066174C">
        <w:rPr>
          <w:rFonts w:ascii="Segoe UI" w:hAnsi="Segoe UI" w:cs="Segoe UI"/>
          <w:sz w:val="20"/>
          <w:szCs w:val="20"/>
          <w:lang w:val="pl-PL"/>
        </w:rPr>
        <w:t xml:space="preserve"> jeszcze </w:t>
      </w:r>
      <w:r w:rsidR="00D3768A">
        <w:rPr>
          <w:rFonts w:ascii="Segoe UI" w:hAnsi="Segoe UI" w:cs="Segoe UI"/>
          <w:sz w:val="20"/>
          <w:szCs w:val="20"/>
          <w:lang w:val="pl-PL"/>
        </w:rPr>
        <w:t>większa</w:t>
      </w:r>
      <w:r w:rsidRPr="0066174C">
        <w:rPr>
          <w:rFonts w:ascii="Segoe UI" w:hAnsi="Segoe UI" w:cs="Segoe UI"/>
          <w:sz w:val="20"/>
          <w:szCs w:val="20"/>
          <w:lang w:val="pl-PL"/>
        </w:rPr>
        <w:t xml:space="preserve"> w porównaniu do </w:t>
      </w:r>
      <w:r w:rsidR="00D3768A">
        <w:rPr>
          <w:rFonts w:ascii="Segoe UI" w:hAnsi="Segoe UI" w:cs="Segoe UI"/>
          <w:sz w:val="20"/>
          <w:szCs w:val="20"/>
          <w:lang w:val="pl-PL"/>
        </w:rPr>
        <w:t xml:space="preserve">grupy </w:t>
      </w:r>
      <w:r w:rsidRPr="0066174C">
        <w:rPr>
          <w:rFonts w:ascii="Segoe UI" w:hAnsi="Segoe UI" w:cs="Segoe UI"/>
          <w:sz w:val="20"/>
          <w:szCs w:val="20"/>
          <w:lang w:val="pl-PL"/>
        </w:rPr>
        <w:t>osób poniżej 35. roku życia. Będzie ich także stać na dłuższe podróże o wyższym poziomie komfortu i wyższej cenie. Umocni się również trend „turystyki leczniczej” osób starszych.</w:t>
      </w:r>
    </w:p>
    <w:p w14:paraId="2A734FCA" w14:textId="2458C0AA" w:rsidR="0066174C" w:rsidRPr="0066174C" w:rsidRDefault="0066174C" w:rsidP="0066174C">
      <w:pPr>
        <w:pStyle w:val="Akapitzlist"/>
        <w:numPr>
          <w:ilvl w:val="0"/>
          <w:numId w:val="6"/>
        </w:numPr>
        <w:rPr>
          <w:rFonts w:ascii="Segoe UI" w:hAnsi="Segoe UI" w:cs="Segoe UI"/>
          <w:sz w:val="20"/>
          <w:szCs w:val="20"/>
          <w:lang w:val="pl-PL"/>
        </w:rPr>
      </w:pPr>
      <w:r w:rsidRPr="0066174C">
        <w:rPr>
          <w:rFonts w:ascii="Segoe UI" w:hAnsi="Segoe UI" w:cs="Segoe UI"/>
          <w:b/>
          <w:sz w:val="20"/>
          <w:szCs w:val="20"/>
          <w:lang w:val="pl-PL"/>
        </w:rPr>
        <w:t>Świat staje się coraz bardziej dostępny:</w:t>
      </w:r>
      <w:r w:rsidRPr="0066174C">
        <w:rPr>
          <w:rFonts w:ascii="Segoe UI" w:hAnsi="Segoe UI" w:cs="Segoe UI"/>
          <w:sz w:val="20"/>
          <w:szCs w:val="20"/>
          <w:lang w:val="pl-PL"/>
        </w:rPr>
        <w:t xml:space="preserve"> W rezultacie globalizacji i postępu technologicznego świat staje się „coraz mniejszy”. Spodziewana w ciągu najbliższych dziesięciu lat budowa ponad 340 nowych lotnisk umożliwi powstanie nowych linii i dotarcie do nowych terenów, ułatwiając turystykę międzynarodową i zwiększając wygodę podróżowania. Jednocześnie wraz z gwałtownym wzrostem dostępności </w:t>
      </w:r>
      <w:proofErr w:type="spellStart"/>
      <w:r w:rsidRPr="0066174C">
        <w:rPr>
          <w:rFonts w:ascii="Segoe UI" w:hAnsi="Segoe UI" w:cs="Segoe UI"/>
          <w:sz w:val="20"/>
          <w:szCs w:val="20"/>
          <w:lang w:val="pl-PL"/>
        </w:rPr>
        <w:t>internetu</w:t>
      </w:r>
      <w:proofErr w:type="spellEnd"/>
      <w:r w:rsidRPr="0066174C">
        <w:rPr>
          <w:rFonts w:ascii="Segoe UI" w:hAnsi="Segoe UI" w:cs="Segoe UI"/>
          <w:sz w:val="20"/>
          <w:szCs w:val="20"/>
          <w:lang w:val="pl-PL"/>
        </w:rPr>
        <w:t xml:space="preserve"> i liczby urządzeń mobilnych na całym świecie rośnie też świadomość różnorodnych możliwości w dziedzinie turystyki. Dzięki coraz szersz</w:t>
      </w:r>
      <w:r w:rsidR="00D3768A">
        <w:rPr>
          <w:rFonts w:ascii="Segoe UI" w:hAnsi="Segoe UI" w:cs="Segoe UI"/>
          <w:sz w:val="20"/>
          <w:szCs w:val="20"/>
          <w:lang w:val="pl-PL"/>
        </w:rPr>
        <w:t>emu dostępowi</w:t>
      </w:r>
      <w:r w:rsidRPr="0066174C">
        <w:rPr>
          <w:rFonts w:ascii="Segoe UI" w:hAnsi="Segoe UI" w:cs="Segoe UI"/>
          <w:sz w:val="20"/>
          <w:szCs w:val="20"/>
          <w:lang w:val="pl-PL"/>
        </w:rPr>
        <w:t xml:space="preserve"> do informacji i usług z poziomu urządzeń cyfrowych turyści napotykać będą coraz mniej ograniczeń w swoich planach wyjazdowych i będą mogli korzystać z coraz bardziej zindywidualizowanych ofert podróży.</w:t>
      </w:r>
    </w:p>
    <w:p w14:paraId="45193EB1" w14:textId="26CDCAC5" w:rsidR="0066174C" w:rsidRDefault="0066174C" w:rsidP="0066174C">
      <w:pPr>
        <w:rPr>
          <w:rFonts w:ascii="Segoe UI" w:hAnsi="Segoe UI" w:cs="Segoe UI"/>
          <w:sz w:val="20"/>
          <w:szCs w:val="20"/>
          <w:lang w:val="pl-PL"/>
        </w:rPr>
      </w:pPr>
      <w:r w:rsidRPr="0066174C">
        <w:rPr>
          <w:rFonts w:ascii="Segoe UI" w:hAnsi="Segoe UI" w:cs="Segoe UI"/>
          <w:sz w:val="20"/>
          <w:szCs w:val="20"/>
          <w:lang w:val="pl-PL"/>
        </w:rPr>
        <w:t>Streszczenie raportu z badania, wraz z danymi w podziale na kraje i regiony, dostępne jest na stronie internetow</w:t>
      </w:r>
      <w:r>
        <w:rPr>
          <w:rFonts w:ascii="Segoe UI" w:hAnsi="Segoe UI" w:cs="Segoe UI"/>
          <w:sz w:val="20"/>
          <w:szCs w:val="20"/>
          <w:lang w:val="pl-PL"/>
        </w:rPr>
        <w:t xml:space="preserve">ej </w:t>
      </w:r>
      <w:hyperlink r:id="rId8" w:history="1">
        <w:r w:rsidRPr="00AF2F37">
          <w:rPr>
            <w:rStyle w:val="Hipercze"/>
            <w:rFonts w:ascii="Segoe UI" w:hAnsi="Segoe UI" w:cs="Segoe UI"/>
            <w:sz w:val="20"/>
            <w:szCs w:val="20"/>
            <w:lang w:val="pl-PL"/>
          </w:rPr>
          <w:t>www.visa.com/travelinsights</w:t>
        </w:r>
      </w:hyperlink>
      <w:r>
        <w:rPr>
          <w:rFonts w:ascii="Segoe UI" w:hAnsi="Segoe UI" w:cs="Segoe UI"/>
          <w:sz w:val="20"/>
          <w:szCs w:val="20"/>
          <w:lang w:val="pl-PL"/>
        </w:rPr>
        <w:t>.</w:t>
      </w:r>
    </w:p>
    <w:p w14:paraId="194FB430" w14:textId="77777777" w:rsidR="0066174C" w:rsidRPr="0009597C" w:rsidRDefault="0066174C" w:rsidP="0066174C">
      <w:pPr>
        <w:pBdr>
          <w:top w:val="nil"/>
          <w:left w:val="nil"/>
          <w:bottom w:val="nil"/>
          <w:right w:val="nil"/>
          <w:between w:val="nil"/>
          <w:bar w:val="nil"/>
        </w:pBdr>
        <w:spacing w:line="247" w:lineRule="auto"/>
        <w:jc w:val="center"/>
        <w:rPr>
          <w:rFonts w:cs="Segoe UI"/>
          <w:lang w:val="pt-PT"/>
        </w:rPr>
      </w:pPr>
      <w:r w:rsidRPr="0009597C">
        <w:rPr>
          <w:rFonts w:cs="Segoe UI"/>
          <w:lang w:val="pt-PT"/>
        </w:rPr>
        <w:t>###</w:t>
      </w:r>
    </w:p>
    <w:p w14:paraId="10ED2387" w14:textId="7486ED2E" w:rsidR="0066174C" w:rsidRPr="0066174C" w:rsidRDefault="0066174C" w:rsidP="0066174C">
      <w:pPr>
        <w:rPr>
          <w:rFonts w:ascii="Segoe UI" w:hAnsi="Segoe UI" w:cs="Segoe UI"/>
          <w:sz w:val="18"/>
          <w:szCs w:val="20"/>
          <w:lang w:val="pl-PL"/>
        </w:rPr>
      </w:pPr>
      <w:r w:rsidRPr="0066174C">
        <w:rPr>
          <w:rFonts w:ascii="Segoe UI" w:hAnsi="Segoe UI" w:cs="Segoe UI"/>
          <w:sz w:val="18"/>
          <w:szCs w:val="20"/>
          <w:lang w:val="pl-PL"/>
        </w:rPr>
        <w:t xml:space="preserve">[i] Dane szacunkowe, uwzględniające wydatki dokonane w czasie podróży (takie jak posiłki czy hotele), lecz nieobejmujące wydatków wcześniejszych (takich jak np. zakup biletu lotniczego).  </w:t>
      </w:r>
    </w:p>
    <w:p w14:paraId="5E4F3304" w14:textId="77777777" w:rsidR="0066174C" w:rsidRDefault="0066174C" w:rsidP="0066174C">
      <w:pPr>
        <w:rPr>
          <w:rFonts w:ascii="Segoe UI" w:hAnsi="Segoe UI" w:cs="Segoe UI"/>
          <w:b/>
          <w:bCs/>
          <w:color w:val="000000"/>
          <w:sz w:val="20"/>
          <w:szCs w:val="20"/>
          <w:lang w:val="pl-PL" w:eastAsia="ko-KR"/>
        </w:rPr>
      </w:pPr>
    </w:p>
    <w:p w14:paraId="286F05D2" w14:textId="5F111291" w:rsidR="0066174C" w:rsidRPr="0066174C" w:rsidRDefault="0066174C" w:rsidP="0066174C">
      <w:pPr>
        <w:rPr>
          <w:rFonts w:ascii="Segoe UI" w:hAnsi="Segoe UI" w:cs="Segoe UI"/>
          <w:b/>
          <w:bCs/>
          <w:color w:val="000000"/>
          <w:sz w:val="20"/>
          <w:szCs w:val="20"/>
          <w:lang w:val="pl-PL" w:eastAsia="ko-KR"/>
        </w:rPr>
      </w:pPr>
      <w:r>
        <w:rPr>
          <w:rFonts w:ascii="Segoe UI" w:hAnsi="Segoe UI" w:cs="Segoe UI"/>
          <w:b/>
          <w:bCs/>
          <w:color w:val="000000"/>
          <w:sz w:val="20"/>
          <w:szCs w:val="20"/>
          <w:lang w:val="pl-PL" w:eastAsia="ko-KR"/>
        </w:rPr>
        <w:t>Metodologia badania</w:t>
      </w:r>
    </w:p>
    <w:p w14:paraId="7D39916B" w14:textId="45B57B7D" w:rsidR="0066174C" w:rsidRPr="0066174C" w:rsidRDefault="0066174C" w:rsidP="0066174C">
      <w:pPr>
        <w:rPr>
          <w:rFonts w:ascii="Segoe UI" w:hAnsi="Segoe UI" w:cs="Segoe UI"/>
          <w:bCs/>
          <w:color w:val="000000"/>
          <w:sz w:val="20"/>
          <w:szCs w:val="20"/>
          <w:lang w:val="pl-PL" w:eastAsia="ko-KR"/>
        </w:rPr>
      </w:pPr>
      <w:r w:rsidRPr="0066174C">
        <w:rPr>
          <w:rFonts w:ascii="Segoe UI" w:hAnsi="Segoe UI" w:cs="Segoe UI"/>
          <w:bCs/>
          <w:color w:val="000000"/>
          <w:sz w:val="20"/>
          <w:szCs w:val="20"/>
          <w:lang w:val="pl-PL" w:eastAsia="ko-KR"/>
        </w:rPr>
        <w:t xml:space="preserve">W celu oszacowania liczby gospodarstw domowych, których członkowie podróżowali za granicę, Visa zestawiła liczbę użytkowników kart Visa w danym kraju dokonujących co najmniej jednej transakcji w tradycyjnym punkcie sprzedaży za granicą z ogólną liczbą wszystkich aktywnych użytkowników kart Visa w tym kraju. Uzyskane liczby – które po dokonanej korekcie stały się reprezentatywne dla całej populacji danego kraju, bez względu na metody płatności stosowane przez gospodarstwa domowe – zostały następnie wykorzystane w procesie prognozowania przez Oxford </w:t>
      </w:r>
      <w:proofErr w:type="spellStart"/>
      <w:r w:rsidRPr="0066174C">
        <w:rPr>
          <w:rFonts w:ascii="Segoe UI" w:hAnsi="Segoe UI" w:cs="Segoe UI"/>
          <w:bCs/>
          <w:color w:val="000000"/>
          <w:sz w:val="20"/>
          <w:szCs w:val="20"/>
          <w:lang w:val="pl-PL" w:eastAsia="ko-KR"/>
        </w:rPr>
        <w:t>Economics</w:t>
      </w:r>
      <w:proofErr w:type="spellEnd"/>
      <w:r w:rsidRPr="0066174C">
        <w:rPr>
          <w:rFonts w:ascii="Segoe UI" w:hAnsi="Segoe UI" w:cs="Segoe UI"/>
          <w:bCs/>
          <w:color w:val="000000"/>
          <w:sz w:val="20"/>
          <w:szCs w:val="20"/>
          <w:lang w:val="pl-PL" w:eastAsia="ko-KR"/>
        </w:rPr>
        <w:t xml:space="preserve"> dla potrzeb niniejszego badania.</w:t>
      </w:r>
    </w:p>
    <w:p w14:paraId="4C5DA51C" w14:textId="248CB207" w:rsidR="00FB4A8E" w:rsidRPr="0066174C" w:rsidRDefault="0066174C" w:rsidP="0066174C">
      <w:pPr>
        <w:rPr>
          <w:rFonts w:ascii="Segoe UI" w:hAnsi="Segoe UI" w:cs="Segoe UI"/>
          <w:bCs/>
          <w:color w:val="000000"/>
          <w:sz w:val="20"/>
          <w:szCs w:val="20"/>
          <w:lang w:val="pl-PL" w:eastAsia="ko-KR"/>
        </w:rPr>
      </w:pPr>
      <w:r w:rsidRPr="0066174C">
        <w:rPr>
          <w:rFonts w:ascii="Segoe UI" w:hAnsi="Segoe UI" w:cs="Segoe UI"/>
          <w:bCs/>
          <w:color w:val="000000"/>
          <w:sz w:val="20"/>
          <w:szCs w:val="20"/>
          <w:lang w:val="pl-PL" w:eastAsia="ko-KR"/>
        </w:rPr>
        <w:lastRenderedPageBreak/>
        <w:t xml:space="preserve">Dla obliczenia częstotliwości podróży zagranicznych i udziałów poszczególnych grup wiekowych i dochodowych agencja Oxford </w:t>
      </w:r>
      <w:proofErr w:type="spellStart"/>
      <w:r w:rsidRPr="0066174C">
        <w:rPr>
          <w:rFonts w:ascii="Segoe UI" w:hAnsi="Segoe UI" w:cs="Segoe UI"/>
          <w:bCs/>
          <w:color w:val="000000"/>
          <w:sz w:val="20"/>
          <w:szCs w:val="20"/>
          <w:lang w:val="pl-PL" w:eastAsia="ko-KR"/>
        </w:rPr>
        <w:t>Economics</w:t>
      </w:r>
      <w:proofErr w:type="spellEnd"/>
      <w:r w:rsidRPr="0066174C">
        <w:rPr>
          <w:rFonts w:ascii="Segoe UI" w:hAnsi="Segoe UI" w:cs="Segoe UI"/>
          <w:bCs/>
          <w:color w:val="000000"/>
          <w:sz w:val="20"/>
          <w:szCs w:val="20"/>
          <w:lang w:val="pl-PL" w:eastAsia="ko-KR"/>
        </w:rPr>
        <w:t xml:space="preserve"> wykorzystała dane sondażowe na temat wieku i dochodów podróżujących za granicę w wybranych 10 krajach. Dane te zostały następnie ekstrapolowane na szerszą grupę krajów, sklasyfikowanych jako rynki rozwinięte lub wschodzące, z uwzględnieniem najważniejszych zmiennych, takich jak PKB na osobę i ogólna liczba turystów zagranicznych przybywających do danego kraju. Oszacowane udziały w ruchu podróżnym zostały następnie zestawione z rozkładem dochodów ludności i strukturą wiekową w każdym kraju w celu ustalenia występujących w przeszłości związków i na ich podstawie prognozowania udziałów w turystyce zagranicznej oraz wartości bezwzględnych dla poszczególnych grup wiekowych i dochodowych w okresie od 2005 do 2025 r.</w:t>
      </w:r>
    </w:p>
    <w:p w14:paraId="1F64FAAB" w14:textId="77777777" w:rsidR="0066174C" w:rsidRDefault="0066174C" w:rsidP="00355B89">
      <w:pPr>
        <w:rPr>
          <w:rFonts w:ascii="Segoe UI" w:hAnsi="Segoe UI" w:cs="Segoe UI"/>
          <w:b/>
          <w:bCs/>
          <w:color w:val="000000"/>
          <w:sz w:val="20"/>
          <w:szCs w:val="20"/>
          <w:lang w:val="pt-PT" w:eastAsia="ko-KR"/>
        </w:rPr>
      </w:pPr>
    </w:p>
    <w:p w14:paraId="3F93EE53" w14:textId="62C6606C" w:rsidR="00757B76" w:rsidRPr="0009597C" w:rsidRDefault="00757B76" w:rsidP="00355B89">
      <w:pPr>
        <w:rPr>
          <w:rFonts w:ascii="Segoe UI" w:hAnsi="Segoe UI" w:cs="Segoe UI"/>
          <w:b/>
          <w:bCs/>
          <w:i/>
          <w:color w:val="000000"/>
          <w:sz w:val="20"/>
          <w:szCs w:val="20"/>
          <w:lang w:val="pt-PT" w:eastAsia="ko-KR"/>
        </w:rPr>
      </w:pPr>
      <w:r w:rsidRPr="0009597C">
        <w:rPr>
          <w:rFonts w:ascii="Segoe UI" w:hAnsi="Segoe UI" w:cs="Segoe UI"/>
          <w:b/>
          <w:bCs/>
          <w:color w:val="000000"/>
          <w:sz w:val="20"/>
          <w:szCs w:val="20"/>
          <w:lang w:val="pt-PT" w:eastAsia="ko-KR"/>
        </w:rPr>
        <w:t>O Visa Inc.</w:t>
      </w:r>
    </w:p>
    <w:p w14:paraId="38D2BFC4" w14:textId="77777777" w:rsidR="00762295" w:rsidRPr="00355B89" w:rsidRDefault="00762295" w:rsidP="00762295">
      <w:pPr>
        <w:rPr>
          <w:lang w:val="pl-PL"/>
        </w:rPr>
      </w:pPr>
      <w:r w:rsidRPr="008737C0">
        <w:rPr>
          <w:rFonts w:ascii="Segoe UI" w:hAnsi="Segoe UI" w:cs="Segoe UI"/>
          <w:sz w:val="20"/>
          <w:szCs w:val="20"/>
          <w:lang w:val="pt-PT"/>
        </w:rPr>
        <w:t xml:space="preserve">Visa Inc. </w:t>
      </w:r>
      <w:r w:rsidRPr="00355B89">
        <w:rPr>
          <w:rFonts w:ascii="Segoe UI" w:hAnsi="Segoe UI" w:cs="Segoe UI"/>
          <w:sz w:val="20"/>
          <w:szCs w:val="20"/>
          <w:lang w:val="pl-PL"/>
        </w:rPr>
        <w:t xml:space="preserve">(NYSE: V) to globalna firma zajmująca się technologiami płatniczymi i świadcząca szybkie, bezpieczne oraz niezawodne usługi płatności elektronicznych na rzecz konsumentów, firm, instytucji finansowych oraz jednostek sektora publicznego w ponad 200 krajach i terytoriach zależnych. Firma obsługuje sieć przetwarzania danych transakcji </w:t>
      </w:r>
      <w:proofErr w:type="spellStart"/>
      <w:r w:rsidRPr="00355B89">
        <w:rPr>
          <w:rFonts w:ascii="Segoe UI" w:hAnsi="Segoe UI" w:cs="Segoe UI"/>
          <w:sz w:val="20"/>
          <w:szCs w:val="20"/>
          <w:lang w:val="pl-PL"/>
        </w:rPr>
        <w:t>VisaNet</w:t>
      </w:r>
      <w:proofErr w:type="spellEnd"/>
      <w:r w:rsidRPr="00355B89">
        <w:rPr>
          <w:rFonts w:ascii="Segoe UI" w:hAnsi="Segoe UI" w:cs="Segoe UI"/>
          <w:sz w:val="20"/>
          <w:szCs w:val="20"/>
          <w:lang w:val="pl-PL"/>
        </w:rPr>
        <w:t xml:space="preserve"> – jedną z najbardziej zaawansowanych na świecie – która może przetwarzać w ciągu sekundy ponad 65 tys. operacji, zapewniając konsumentom ochronę przed oszustwami, a detalistom – gwarancję płatności. Visa nie jest bankiem, nie wydaje kart płatniczych, nie udziela kredytów ani nie ustala opłat pobieranych od konsumentów. Jednak dzięki wprowadzanym przez Visa innowacjom jej klienci z grona instytucji finansowych mogą oferować konsumentom większy wybór – możliwość płacenia w danej chwili przy pomocy kart debetowych, z wyprzedzeniem przy użyciu kart przedpłaconych lub z odroczeniem przy wykorzystaniu kart kredytowych. Więcej in</w:t>
      </w:r>
      <w:r>
        <w:rPr>
          <w:rFonts w:ascii="Segoe UI" w:hAnsi="Segoe UI" w:cs="Segoe UI"/>
          <w:sz w:val="20"/>
          <w:szCs w:val="20"/>
          <w:lang w:val="pl-PL"/>
        </w:rPr>
        <w:t>formacji znajduje się na stronach</w:t>
      </w:r>
      <w:r w:rsidRPr="00355B89">
        <w:rPr>
          <w:rFonts w:ascii="Segoe UI" w:hAnsi="Segoe UI" w:cs="Segoe UI"/>
          <w:sz w:val="20"/>
          <w:szCs w:val="20"/>
          <w:lang w:val="pl-PL"/>
        </w:rPr>
        <w:t xml:space="preserve"> </w:t>
      </w:r>
      <w:hyperlink r:id="rId9" w:history="1">
        <w:r w:rsidRPr="00466CB6">
          <w:rPr>
            <w:rStyle w:val="Hipercze"/>
            <w:rFonts w:ascii="Segoe UI" w:hAnsi="Segoe UI" w:cs="Segoe UI"/>
            <w:sz w:val="20"/>
            <w:szCs w:val="20"/>
            <w:lang w:val="pl-PL"/>
          </w:rPr>
          <w:t>www.visaeurope.com</w:t>
        </w:r>
      </w:hyperlink>
      <w:r>
        <w:rPr>
          <w:rFonts w:ascii="Segoe UI" w:hAnsi="Segoe UI" w:cs="Segoe UI"/>
          <w:sz w:val="20"/>
          <w:szCs w:val="20"/>
          <w:lang w:val="pl-PL"/>
        </w:rPr>
        <w:t xml:space="preserve"> i </w:t>
      </w:r>
      <w:r>
        <w:rPr>
          <w:rStyle w:val="Hipercze"/>
          <w:rFonts w:ascii="Segoe UI" w:hAnsi="Segoe UI" w:cs="Segoe UI"/>
          <w:sz w:val="20"/>
          <w:szCs w:val="20"/>
          <w:lang w:val="pl-PL"/>
        </w:rPr>
        <w:t>www.visa.pl</w:t>
      </w:r>
      <w:r w:rsidRPr="00355B89">
        <w:rPr>
          <w:rFonts w:ascii="Segoe UI" w:hAnsi="Segoe UI" w:cs="Segoe UI"/>
          <w:sz w:val="20"/>
          <w:szCs w:val="20"/>
          <w:lang w:val="pl-PL"/>
        </w:rPr>
        <w:t xml:space="preserve">, na blogu </w:t>
      </w:r>
      <w:hyperlink r:id="rId10" w:anchor="_blank" w:history="1">
        <w:r w:rsidRPr="00355B89">
          <w:rPr>
            <w:rStyle w:val="Hipercze"/>
            <w:rFonts w:ascii="Segoe UI" w:hAnsi="Segoe UI" w:cs="Segoe UI"/>
            <w:sz w:val="20"/>
            <w:szCs w:val="20"/>
            <w:lang w:val="pl-PL"/>
          </w:rPr>
          <w:t>www.vision.visaeurope.com</w:t>
        </w:r>
      </w:hyperlink>
      <w:r w:rsidRPr="00355B89">
        <w:rPr>
          <w:rFonts w:ascii="Segoe UI" w:hAnsi="Segoe UI" w:cs="Segoe UI"/>
          <w:sz w:val="20"/>
          <w:szCs w:val="20"/>
          <w:lang w:val="pl-PL"/>
        </w:rPr>
        <w:t xml:space="preserve"> oraz na </w:t>
      </w:r>
      <w:proofErr w:type="spellStart"/>
      <w:r w:rsidRPr="00355B89">
        <w:rPr>
          <w:rFonts w:ascii="Segoe UI" w:hAnsi="Segoe UI" w:cs="Segoe UI"/>
          <w:sz w:val="20"/>
          <w:szCs w:val="20"/>
          <w:lang w:val="pl-PL"/>
        </w:rPr>
        <w:t>Twitterze</w:t>
      </w:r>
      <w:proofErr w:type="spellEnd"/>
      <w:r w:rsidRPr="00355B89">
        <w:rPr>
          <w:rFonts w:ascii="Segoe UI" w:hAnsi="Segoe UI" w:cs="Segoe UI"/>
          <w:sz w:val="20"/>
          <w:szCs w:val="20"/>
          <w:lang w:val="pl-PL"/>
        </w:rPr>
        <w:t xml:space="preserve"> @</w:t>
      </w:r>
      <w:proofErr w:type="spellStart"/>
      <w:r w:rsidRPr="00355B89">
        <w:rPr>
          <w:rFonts w:ascii="Segoe UI" w:hAnsi="Segoe UI" w:cs="Segoe UI"/>
          <w:sz w:val="20"/>
          <w:szCs w:val="20"/>
          <w:lang w:val="pl-PL"/>
        </w:rPr>
        <w:t>VisaEuropeNews</w:t>
      </w:r>
      <w:proofErr w:type="spellEnd"/>
      <w:r>
        <w:rPr>
          <w:rFonts w:ascii="Segoe UI" w:hAnsi="Segoe UI" w:cs="Segoe UI"/>
          <w:sz w:val="20"/>
          <w:szCs w:val="20"/>
          <w:lang w:val="pl-PL"/>
        </w:rPr>
        <w:t xml:space="preserve"> i @</w:t>
      </w:r>
      <w:proofErr w:type="spellStart"/>
      <w:r>
        <w:rPr>
          <w:rFonts w:ascii="Segoe UI" w:hAnsi="Segoe UI" w:cs="Segoe UI"/>
          <w:sz w:val="20"/>
          <w:szCs w:val="20"/>
          <w:lang w:val="pl-PL"/>
        </w:rPr>
        <w:t>Visa_PL</w:t>
      </w:r>
      <w:proofErr w:type="spellEnd"/>
      <w:r w:rsidRPr="00355B89">
        <w:rPr>
          <w:rFonts w:ascii="Segoe UI" w:hAnsi="Segoe UI" w:cs="Segoe UI"/>
          <w:sz w:val="20"/>
          <w:szCs w:val="20"/>
          <w:lang w:val="pl-PL"/>
        </w:rPr>
        <w:t>.</w:t>
      </w:r>
    </w:p>
    <w:p w14:paraId="692558A8" w14:textId="77777777" w:rsidR="00355B89" w:rsidRPr="00531613" w:rsidRDefault="00355B89" w:rsidP="00355B89">
      <w:pPr>
        <w:rPr>
          <w:rFonts w:ascii="Segoe UI" w:hAnsi="Segoe UI" w:cs="Segoe UI"/>
          <w:b/>
          <w:sz w:val="20"/>
          <w:szCs w:val="20"/>
          <w:lang w:val="pl-PL"/>
        </w:rPr>
      </w:pPr>
    </w:p>
    <w:p w14:paraId="58C71CEA" w14:textId="77777777" w:rsidR="003E5918" w:rsidRPr="00531613" w:rsidRDefault="00757B76" w:rsidP="00355B89">
      <w:pPr>
        <w:rPr>
          <w:rFonts w:ascii="Segoe UI" w:hAnsi="Segoe UI" w:cs="Segoe UI"/>
          <w:b/>
          <w:sz w:val="20"/>
          <w:szCs w:val="20"/>
          <w:lang w:val="pl-PL"/>
        </w:rPr>
      </w:pPr>
      <w:r w:rsidRPr="00531613">
        <w:rPr>
          <w:rFonts w:ascii="Segoe UI" w:hAnsi="Segoe UI" w:cs="Segoe UI"/>
          <w:b/>
          <w:sz w:val="20"/>
          <w:szCs w:val="20"/>
          <w:lang w:val="pl-PL"/>
        </w:rPr>
        <w:t>Kontakt</w:t>
      </w:r>
      <w:r w:rsidR="003E5918" w:rsidRPr="00531613">
        <w:rPr>
          <w:rFonts w:ascii="Segoe UI" w:hAnsi="Segoe UI" w:cs="Segoe UI"/>
          <w:b/>
          <w:sz w:val="20"/>
          <w:szCs w:val="20"/>
          <w:lang w:val="pl-PL"/>
        </w:rPr>
        <w:t xml:space="preserve">: </w:t>
      </w:r>
    </w:p>
    <w:p w14:paraId="69AD2ED2" w14:textId="77777777" w:rsidR="00757B76" w:rsidRPr="00355B89" w:rsidRDefault="00757B76" w:rsidP="00355B89">
      <w:pPr>
        <w:rPr>
          <w:rFonts w:ascii="Segoe UI" w:hAnsi="Segoe UI" w:cs="Segoe UI"/>
          <w:sz w:val="20"/>
          <w:szCs w:val="18"/>
          <w:lang w:val="pl-PL"/>
        </w:rPr>
      </w:pPr>
      <w:r w:rsidRPr="00355B89">
        <w:rPr>
          <w:rFonts w:ascii="Segoe UI" w:hAnsi="Segoe UI" w:cs="Segoe UI"/>
          <w:sz w:val="20"/>
          <w:szCs w:val="18"/>
          <w:lang w:val="pl-PL"/>
        </w:rPr>
        <w:t>Maciej Gajewski, Message House Agencja PR</w:t>
      </w:r>
    </w:p>
    <w:p w14:paraId="33EA2B1F" w14:textId="77777777" w:rsidR="00757B76" w:rsidRPr="00531613" w:rsidRDefault="00757B76" w:rsidP="00355B89">
      <w:pPr>
        <w:rPr>
          <w:rFonts w:ascii="Segoe UI" w:hAnsi="Segoe UI" w:cs="Segoe UI"/>
          <w:sz w:val="20"/>
          <w:szCs w:val="18"/>
          <w:lang w:val="pt-PT"/>
        </w:rPr>
      </w:pPr>
      <w:r w:rsidRPr="00531613">
        <w:rPr>
          <w:rFonts w:ascii="Segoe UI" w:hAnsi="Segoe UI" w:cs="Segoe UI"/>
          <w:sz w:val="20"/>
          <w:szCs w:val="18"/>
          <w:lang w:val="pt-PT"/>
        </w:rPr>
        <w:t>tel. 22 119 78 45</w:t>
      </w:r>
    </w:p>
    <w:p w14:paraId="39850F44" w14:textId="77777777" w:rsidR="003E5918" w:rsidRPr="00531613" w:rsidRDefault="00757B76" w:rsidP="00355B89">
      <w:pPr>
        <w:spacing w:after="0"/>
        <w:rPr>
          <w:rFonts w:ascii="Segoe UI" w:hAnsi="Segoe UI" w:cs="Segoe UI"/>
          <w:sz w:val="20"/>
          <w:szCs w:val="18"/>
          <w:lang w:val="pt-PT"/>
        </w:rPr>
      </w:pPr>
      <w:r w:rsidRPr="00531613">
        <w:rPr>
          <w:rFonts w:ascii="Segoe UI" w:hAnsi="Segoe UI" w:cs="Segoe UI"/>
          <w:sz w:val="20"/>
          <w:szCs w:val="18"/>
          <w:lang w:val="pt-PT"/>
        </w:rPr>
        <w:t xml:space="preserve">e-mail: </w:t>
      </w:r>
      <w:hyperlink r:id="rId11" w:history="1">
        <w:r w:rsidRPr="00531613">
          <w:rPr>
            <w:rStyle w:val="Hipercze"/>
            <w:rFonts w:ascii="Segoe UI" w:hAnsi="Segoe UI" w:cs="Segoe UI"/>
            <w:sz w:val="20"/>
            <w:szCs w:val="18"/>
            <w:lang w:val="pt-PT"/>
          </w:rPr>
          <w:t>maciej.gajewski@messagehouse.pl</w:t>
        </w:r>
      </w:hyperlink>
      <w:r w:rsidRPr="00531613">
        <w:rPr>
          <w:rFonts w:ascii="Segoe UI" w:hAnsi="Segoe UI" w:cs="Segoe UI"/>
          <w:sz w:val="20"/>
          <w:szCs w:val="18"/>
          <w:lang w:val="pt-PT"/>
        </w:rPr>
        <w:t xml:space="preserve">, </w:t>
      </w:r>
      <w:hyperlink r:id="rId12" w:history="1">
        <w:r w:rsidRPr="00531613">
          <w:rPr>
            <w:rStyle w:val="Hipercze"/>
            <w:rFonts w:ascii="Segoe UI" w:hAnsi="Segoe UI" w:cs="Segoe UI"/>
            <w:sz w:val="20"/>
            <w:szCs w:val="18"/>
            <w:lang w:val="pt-PT"/>
          </w:rPr>
          <w:t>biuro@messagehouse.pl</w:t>
        </w:r>
      </w:hyperlink>
      <w:r w:rsidRPr="00531613">
        <w:rPr>
          <w:rFonts w:ascii="Segoe UI" w:hAnsi="Segoe UI" w:cs="Segoe UI"/>
          <w:sz w:val="20"/>
          <w:szCs w:val="18"/>
          <w:lang w:val="pt-PT"/>
        </w:rPr>
        <w:t xml:space="preserve"> </w:t>
      </w:r>
    </w:p>
    <w:sectPr w:rsidR="003E5918" w:rsidRPr="005316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Gulim">
    <w:altName w:val="굴림"/>
    <w:panose1 w:val="020B0600000101010101"/>
    <w:charset w:val="81"/>
    <w:family w:val="roman"/>
    <w:notTrueType/>
    <w:pitch w:val="fixed"/>
    <w:sig w:usb0="00000001" w:usb1="09060000" w:usb2="00000010" w:usb3="00000000" w:csb0="00080000"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8E1024"/>
    <w:multiLevelType w:val="hybridMultilevel"/>
    <w:tmpl w:val="BDBA3A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221654F7"/>
    <w:multiLevelType w:val="hybridMultilevel"/>
    <w:tmpl w:val="8B6AF4D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2EC15F46"/>
    <w:multiLevelType w:val="hybridMultilevel"/>
    <w:tmpl w:val="837A4C4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nsid w:val="6432109E"/>
    <w:multiLevelType w:val="hybridMultilevel"/>
    <w:tmpl w:val="C9044A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64BA7A13"/>
    <w:multiLevelType w:val="hybridMultilevel"/>
    <w:tmpl w:val="21A2987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5">
    <w:nsid w:val="70BD5F63"/>
    <w:multiLevelType w:val="hybridMultilevel"/>
    <w:tmpl w:val="3E8271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5"/>
  </w:num>
  <w:num w:numId="4">
    <w:abstractNumId w:val="0"/>
  </w:num>
  <w:num w:numId="5">
    <w:abstractNumId w:val="4"/>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B0CAF"/>
    <w:rsid w:val="00007098"/>
    <w:rsid w:val="00016750"/>
    <w:rsid w:val="000255C1"/>
    <w:rsid w:val="00036726"/>
    <w:rsid w:val="00043CE6"/>
    <w:rsid w:val="0004732F"/>
    <w:rsid w:val="000748EC"/>
    <w:rsid w:val="00082B98"/>
    <w:rsid w:val="0009597C"/>
    <w:rsid w:val="000C0F4F"/>
    <w:rsid w:val="000C2D7B"/>
    <w:rsid w:val="000D58AE"/>
    <w:rsid w:val="00102D2F"/>
    <w:rsid w:val="001058B0"/>
    <w:rsid w:val="00123392"/>
    <w:rsid w:val="001525FA"/>
    <w:rsid w:val="0015639E"/>
    <w:rsid w:val="001575AC"/>
    <w:rsid w:val="001A3583"/>
    <w:rsid w:val="001A5A2D"/>
    <w:rsid w:val="001C61C9"/>
    <w:rsid w:val="001D2865"/>
    <w:rsid w:val="001E7275"/>
    <w:rsid w:val="00235255"/>
    <w:rsid w:val="00292D56"/>
    <w:rsid w:val="00295642"/>
    <w:rsid w:val="002A6643"/>
    <w:rsid w:val="002B5B78"/>
    <w:rsid w:val="002F225D"/>
    <w:rsid w:val="002F482B"/>
    <w:rsid w:val="00325B9C"/>
    <w:rsid w:val="00355B89"/>
    <w:rsid w:val="00357737"/>
    <w:rsid w:val="00363161"/>
    <w:rsid w:val="00370E80"/>
    <w:rsid w:val="003834A5"/>
    <w:rsid w:val="00383FD0"/>
    <w:rsid w:val="00397672"/>
    <w:rsid w:val="003E5918"/>
    <w:rsid w:val="003F243B"/>
    <w:rsid w:val="003F6DC1"/>
    <w:rsid w:val="003F7FE6"/>
    <w:rsid w:val="004003AD"/>
    <w:rsid w:val="004003E5"/>
    <w:rsid w:val="004044A9"/>
    <w:rsid w:val="00410B4B"/>
    <w:rsid w:val="00425C42"/>
    <w:rsid w:val="00456C42"/>
    <w:rsid w:val="004621FC"/>
    <w:rsid w:val="00484F40"/>
    <w:rsid w:val="00490A84"/>
    <w:rsid w:val="00491FFA"/>
    <w:rsid w:val="00492E80"/>
    <w:rsid w:val="004A3AA4"/>
    <w:rsid w:val="004B457A"/>
    <w:rsid w:val="004B4D0A"/>
    <w:rsid w:val="004B61C0"/>
    <w:rsid w:val="00516AA5"/>
    <w:rsid w:val="005259C3"/>
    <w:rsid w:val="00531613"/>
    <w:rsid w:val="00551B8E"/>
    <w:rsid w:val="00573BD6"/>
    <w:rsid w:val="0057427A"/>
    <w:rsid w:val="00574CC3"/>
    <w:rsid w:val="00576EF7"/>
    <w:rsid w:val="00586643"/>
    <w:rsid w:val="00587728"/>
    <w:rsid w:val="00594F90"/>
    <w:rsid w:val="0059748D"/>
    <w:rsid w:val="005C6B14"/>
    <w:rsid w:val="005C70ED"/>
    <w:rsid w:val="005D79F0"/>
    <w:rsid w:val="0066017F"/>
    <w:rsid w:val="0066174C"/>
    <w:rsid w:val="006A1DA2"/>
    <w:rsid w:val="006A7AD7"/>
    <w:rsid w:val="006C00AC"/>
    <w:rsid w:val="006C4655"/>
    <w:rsid w:val="006E2FC8"/>
    <w:rsid w:val="00710CBE"/>
    <w:rsid w:val="0071171C"/>
    <w:rsid w:val="00757B76"/>
    <w:rsid w:val="00762295"/>
    <w:rsid w:val="007665B0"/>
    <w:rsid w:val="00787A25"/>
    <w:rsid w:val="00792953"/>
    <w:rsid w:val="007933F1"/>
    <w:rsid w:val="007A69B8"/>
    <w:rsid w:val="007A7250"/>
    <w:rsid w:val="007C57D4"/>
    <w:rsid w:val="007F2239"/>
    <w:rsid w:val="008042C6"/>
    <w:rsid w:val="00812790"/>
    <w:rsid w:val="0081383C"/>
    <w:rsid w:val="0082653E"/>
    <w:rsid w:val="008315FC"/>
    <w:rsid w:val="008629C6"/>
    <w:rsid w:val="00887B08"/>
    <w:rsid w:val="00890B42"/>
    <w:rsid w:val="008A1FE6"/>
    <w:rsid w:val="008D1422"/>
    <w:rsid w:val="008E06EA"/>
    <w:rsid w:val="009027D3"/>
    <w:rsid w:val="009046ED"/>
    <w:rsid w:val="00913F3C"/>
    <w:rsid w:val="009211AD"/>
    <w:rsid w:val="00930377"/>
    <w:rsid w:val="0093786B"/>
    <w:rsid w:val="009412CF"/>
    <w:rsid w:val="00944E4D"/>
    <w:rsid w:val="00951838"/>
    <w:rsid w:val="00985A4E"/>
    <w:rsid w:val="009A1AE2"/>
    <w:rsid w:val="009B0CAF"/>
    <w:rsid w:val="00A1491C"/>
    <w:rsid w:val="00A25780"/>
    <w:rsid w:val="00A26935"/>
    <w:rsid w:val="00A366ED"/>
    <w:rsid w:val="00A51068"/>
    <w:rsid w:val="00A6767C"/>
    <w:rsid w:val="00A70953"/>
    <w:rsid w:val="00A760C1"/>
    <w:rsid w:val="00A84510"/>
    <w:rsid w:val="00AC12F0"/>
    <w:rsid w:val="00AC44F4"/>
    <w:rsid w:val="00AF5BA3"/>
    <w:rsid w:val="00B058E3"/>
    <w:rsid w:val="00B07B55"/>
    <w:rsid w:val="00B10DB6"/>
    <w:rsid w:val="00B1764B"/>
    <w:rsid w:val="00B17A78"/>
    <w:rsid w:val="00B33D73"/>
    <w:rsid w:val="00B340F6"/>
    <w:rsid w:val="00B3722C"/>
    <w:rsid w:val="00B81F60"/>
    <w:rsid w:val="00BB1DE0"/>
    <w:rsid w:val="00BB28FC"/>
    <w:rsid w:val="00C0169B"/>
    <w:rsid w:val="00C275B3"/>
    <w:rsid w:val="00C3785A"/>
    <w:rsid w:val="00C40F6C"/>
    <w:rsid w:val="00C426BF"/>
    <w:rsid w:val="00C47860"/>
    <w:rsid w:val="00C55A92"/>
    <w:rsid w:val="00C70038"/>
    <w:rsid w:val="00C876CE"/>
    <w:rsid w:val="00CA5BA0"/>
    <w:rsid w:val="00CB7BAE"/>
    <w:rsid w:val="00CF0BF6"/>
    <w:rsid w:val="00D24945"/>
    <w:rsid w:val="00D3519C"/>
    <w:rsid w:val="00D3768A"/>
    <w:rsid w:val="00D4433B"/>
    <w:rsid w:val="00D45596"/>
    <w:rsid w:val="00D81BE1"/>
    <w:rsid w:val="00D92AD4"/>
    <w:rsid w:val="00D9423B"/>
    <w:rsid w:val="00DB769F"/>
    <w:rsid w:val="00DE374A"/>
    <w:rsid w:val="00DF48C1"/>
    <w:rsid w:val="00DF759F"/>
    <w:rsid w:val="00E07B6F"/>
    <w:rsid w:val="00E3755A"/>
    <w:rsid w:val="00E4619D"/>
    <w:rsid w:val="00E6739A"/>
    <w:rsid w:val="00E94BF6"/>
    <w:rsid w:val="00E97523"/>
    <w:rsid w:val="00EA4896"/>
    <w:rsid w:val="00EA6237"/>
    <w:rsid w:val="00EC5B03"/>
    <w:rsid w:val="00ED2FD4"/>
    <w:rsid w:val="00EF7227"/>
    <w:rsid w:val="00F40A80"/>
    <w:rsid w:val="00F936CF"/>
    <w:rsid w:val="00FB4A8E"/>
    <w:rsid w:val="00FB775A"/>
    <w:rsid w:val="00FC1DA2"/>
    <w:rsid w:val="00FD263F"/>
    <w:rsid w:val="00FD3ADF"/>
    <w:rsid w:val="00FE16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CA5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Hipercze">
    <w:name w:val="Hyperlink"/>
    <w:basedOn w:val="Domylnaczcionkaakapitu"/>
    <w:uiPriority w:val="99"/>
    <w:unhideWhenUsed/>
    <w:rsid w:val="00FD3ADF"/>
    <w:rPr>
      <w:color w:val="0000FF"/>
      <w:u w:val="single"/>
    </w:rPr>
  </w:style>
  <w:style w:type="paragraph" w:styleId="Tekstdymka">
    <w:name w:val="Balloon Text"/>
    <w:basedOn w:val="Normalny"/>
    <w:link w:val="TekstdymkaZnak"/>
    <w:uiPriority w:val="99"/>
    <w:semiHidden/>
    <w:unhideWhenUsed/>
    <w:rsid w:val="00B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7B55"/>
    <w:rPr>
      <w:rFonts w:ascii="Tahoma" w:hAnsi="Tahoma" w:cs="Tahoma"/>
      <w:sz w:val="16"/>
      <w:szCs w:val="16"/>
    </w:rPr>
  </w:style>
  <w:style w:type="character" w:styleId="UyteHipercze">
    <w:name w:val="FollowedHyperlink"/>
    <w:basedOn w:val="Domylnaczcionkaakapitu"/>
    <w:uiPriority w:val="99"/>
    <w:semiHidden/>
    <w:unhideWhenUsed/>
    <w:rsid w:val="00425C42"/>
    <w:rPr>
      <w:color w:val="954F72" w:themeColor="followedHyperlink"/>
      <w:u w:val="single"/>
    </w:rPr>
  </w:style>
  <w:style w:type="paragraph" w:styleId="Akapitzlist">
    <w:name w:val="List Paragraph"/>
    <w:basedOn w:val="Normalny"/>
    <w:uiPriority w:val="34"/>
    <w:qFormat/>
    <w:rsid w:val="00A51068"/>
    <w:pPr>
      <w:ind w:left="720"/>
      <w:contextualSpacing/>
    </w:pPr>
  </w:style>
  <w:style w:type="character" w:styleId="Odwoaniedokomentarza">
    <w:name w:val="annotation reference"/>
    <w:basedOn w:val="Domylnaczcionkaakapitu"/>
    <w:uiPriority w:val="99"/>
    <w:semiHidden/>
    <w:unhideWhenUsed/>
    <w:rsid w:val="00913F3C"/>
    <w:rPr>
      <w:sz w:val="16"/>
      <w:szCs w:val="16"/>
    </w:rPr>
  </w:style>
  <w:style w:type="paragraph" w:styleId="Tekstkomentarza">
    <w:name w:val="annotation text"/>
    <w:basedOn w:val="Normalny"/>
    <w:link w:val="TekstkomentarzaZnak"/>
    <w:uiPriority w:val="99"/>
    <w:semiHidden/>
    <w:unhideWhenUsed/>
    <w:rsid w:val="00913F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F3C"/>
    <w:rPr>
      <w:sz w:val="20"/>
      <w:szCs w:val="20"/>
    </w:rPr>
  </w:style>
  <w:style w:type="paragraph" w:styleId="Tematkomentarza">
    <w:name w:val="annotation subject"/>
    <w:basedOn w:val="Tekstkomentarza"/>
    <w:next w:val="Tekstkomentarza"/>
    <w:link w:val="TematkomentarzaZnak"/>
    <w:uiPriority w:val="99"/>
    <w:semiHidden/>
    <w:unhideWhenUsed/>
    <w:rsid w:val="00913F3C"/>
    <w:rPr>
      <w:b/>
      <w:bCs/>
    </w:rPr>
  </w:style>
  <w:style w:type="character" w:customStyle="1" w:styleId="TematkomentarzaZnak">
    <w:name w:val="Temat komentarza Znak"/>
    <w:basedOn w:val="TekstkomentarzaZnak"/>
    <w:link w:val="Tematkomentarza"/>
    <w:uiPriority w:val="99"/>
    <w:semiHidden/>
    <w:rsid w:val="00913F3C"/>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VisaDocumentname">
    <w:name w:val="Visa Document name"/>
    <w:rsid w:val="003E5918"/>
    <w:pPr>
      <w:spacing w:after="120" w:line="240" w:lineRule="exact"/>
    </w:pPr>
    <w:rPr>
      <w:rFonts w:ascii="Segoe UI" w:eastAsia="Times New Roman" w:hAnsi="Segoe UI" w:cs="Times New Roman"/>
      <w:b/>
      <w:caps/>
      <w:color w:val="44546A" w:themeColor="text2"/>
      <w:spacing w:val="36"/>
      <w:sz w:val="19"/>
      <w:szCs w:val="20"/>
    </w:rPr>
  </w:style>
  <w:style w:type="paragraph" w:customStyle="1" w:styleId="VisaHeadline">
    <w:name w:val="Visa Headline"/>
    <w:rsid w:val="003E5918"/>
    <w:pPr>
      <w:pBdr>
        <w:top w:val="single" w:sz="8" w:space="6" w:color="0023A0"/>
        <w:bottom w:val="single" w:sz="8" w:space="6" w:color="0023A0"/>
      </w:pBdr>
      <w:spacing w:after="0" w:line="480" w:lineRule="exact"/>
    </w:pPr>
    <w:rPr>
      <w:rFonts w:ascii="Segoe UI" w:eastAsia="Times New Roman" w:hAnsi="Segoe UI" w:cs="Times New Roman"/>
      <w:color w:val="1A1F71"/>
      <w:sz w:val="40"/>
      <w:szCs w:val="20"/>
    </w:rPr>
  </w:style>
  <w:style w:type="paragraph" w:customStyle="1" w:styleId="VisaHeadLevelOne">
    <w:name w:val="Visa Head Level One"/>
    <w:autoRedefine/>
    <w:rsid w:val="003E5918"/>
    <w:pPr>
      <w:spacing w:before="120" w:after="0" w:line="312" w:lineRule="auto"/>
      <w:jc w:val="center"/>
    </w:pPr>
    <w:rPr>
      <w:rFonts w:ascii="Segoe UI" w:eastAsia="Times New Roman" w:hAnsi="Segoe UI" w:cs="Segoe UI"/>
      <w:b/>
      <w:i/>
      <w:color w:val="000000" w:themeColor="text1"/>
      <w:sz w:val="20"/>
      <w:szCs w:val="20"/>
    </w:rPr>
  </w:style>
  <w:style w:type="paragraph" w:customStyle="1" w:styleId="VisaBodyText">
    <w:name w:val="Visa Body Text"/>
    <w:rsid w:val="003E5918"/>
    <w:pPr>
      <w:spacing w:line="360" w:lineRule="auto"/>
    </w:pPr>
    <w:rPr>
      <w:rFonts w:ascii="Segoe UI" w:eastAsia="Times New Roman" w:hAnsi="Segoe UI" w:cs="Arial"/>
      <w:bCs/>
      <w:color w:val="000000" w:themeColor="text1"/>
      <w:sz w:val="20"/>
      <w:szCs w:val="20"/>
    </w:rPr>
  </w:style>
  <w:style w:type="paragraph" w:customStyle="1" w:styleId="VisaNoteText">
    <w:name w:val="Visa Note Text"/>
    <w:basedOn w:val="VisaBodyText"/>
    <w:rsid w:val="003E5918"/>
    <w:pPr>
      <w:spacing w:line="240" w:lineRule="auto"/>
    </w:pPr>
  </w:style>
  <w:style w:type="character" w:styleId="Hipercze">
    <w:name w:val="Hyperlink"/>
    <w:basedOn w:val="Domylnaczcionkaakapitu"/>
    <w:uiPriority w:val="99"/>
    <w:unhideWhenUsed/>
    <w:rsid w:val="00FD3ADF"/>
    <w:rPr>
      <w:color w:val="0000FF"/>
      <w:u w:val="single"/>
    </w:rPr>
  </w:style>
  <w:style w:type="paragraph" w:styleId="Tekstdymka">
    <w:name w:val="Balloon Text"/>
    <w:basedOn w:val="Normalny"/>
    <w:link w:val="TekstdymkaZnak"/>
    <w:uiPriority w:val="99"/>
    <w:semiHidden/>
    <w:unhideWhenUsed/>
    <w:rsid w:val="00B07B55"/>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07B55"/>
    <w:rPr>
      <w:rFonts w:ascii="Tahoma" w:hAnsi="Tahoma" w:cs="Tahoma"/>
      <w:sz w:val="16"/>
      <w:szCs w:val="16"/>
    </w:rPr>
  </w:style>
  <w:style w:type="character" w:styleId="UyteHipercze">
    <w:name w:val="FollowedHyperlink"/>
    <w:basedOn w:val="Domylnaczcionkaakapitu"/>
    <w:uiPriority w:val="99"/>
    <w:semiHidden/>
    <w:unhideWhenUsed/>
    <w:rsid w:val="00425C42"/>
    <w:rPr>
      <w:color w:val="954F72" w:themeColor="followedHyperlink"/>
      <w:u w:val="single"/>
    </w:rPr>
  </w:style>
  <w:style w:type="paragraph" w:styleId="Akapitzlist">
    <w:name w:val="List Paragraph"/>
    <w:basedOn w:val="Normalny"/>
    <w:uiPriority w:val="34"/>
    <w:qFormat/>
    <w:rsid w:val="00A51068"/>
    <w:pPr>
      <w:ind w:left="720"/>
      <w:contextualSpacing/>
    </w:pPr>
  </w:style>
  <w:style w:type="character" w:styleId="Odwoaniedokomentarza">
    <w:name w:val="annotation reference"/>
    <w:basedOn w:val="Domylnaczcionkaakapitu"/>
    <w:uiPriority w:val="99"/>
    <w:semiHidden/>
    <w:unhideWhenUsed/>
    <w:rsid w:val="00913F3C"/>
    <w:rPr>
      <w:sz w:val="16"/>
      <w:szCs w:val="16"/>
    </w:rPr>
  </w:style>
  <w:style w:type="paragraph" w:styleId="Tekstkomentarza">
    <w:name w:val="annotation text"/>
    <w:basedOn w:val="Normalny"/>
    <w:link w:val="TekstkomentarzaZnak"/>
    <w:uiPriority w:val="99"/>
    <w:semiHidden/>
    <w:unhideWhenUsed/>
    <w:rsid w:val="00913F3C"/>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13F3C"/>
    <w:rPr>
      <w:sz w:val="20"/>
      <w:szCs w:val="20"/>
    </w:rPr>
  </w:style>
  <w:style w:type="paragraph" w:styleId="Tematkomentarza">
    <w:name w:val="annotation subject"/>
    <w:basedOn w:val="Tekstkomentarza"/>
    <w:next w:val="Tekstkomentarza"/>
    <w:link w:val="TematkomentarzaZnak"/>
    <w:uiPriority w:val="99"/>
    <w:semiHidden/>
    <w:unhideWhenUsed/>
    <w:rsid w:val="00913F3C"/>
    <w:rPr>
      <w:b/>
      <w:bCs/>
    </w:rPr>
  </w:style>
  <w:style w:type="character" w:customStyle="1" w:styleId="TematkomentarzaZnak">
    <w:name w:val="Temat komentarza Znak"/>
    <w:basedOn w:val="TekstkomentarzaZnak"/>
    <w:link w:val="Tematkomentarza"/>
    <w:uiPriority w:val="99"/>
    <w:semiHidden/>
    <w:rsid w:val="00913F3C"/>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1650161">
      <w:bodyDiv w:val="1"/>
      <w:marLeft w:val="0"/>
      <w:marRight w:val="0"/>
      <w:marTop w:val="0"/>
      <w:marBottom w:val="0"/>
      <w:divBdr>
        <w:top w:val="none" w:sz="0" w:space="0" w:color="auto"/>
        <w:left w:val="none" w:sz="0" w:space="0" w:color="auto"/>
        <w:bottom w:val="none" w:sz="0" w:space="0" w:color="auto"/>
        <w:right w:val="none" w:sz="0" w:space="0" w:color="auto"/>
      </w:divBdr>
    </w:div>
    <w:div w:id="531117205">
      <w:bodyDiv w:val="1"/>
      <w:marLeft w:val="0"/>
      <w:marRight w:val="0"/>
      <w:marTop w:val="0"/>
      <w:marBottom w:val="0"/>
      <w:divBdr>
        <w:top w:val="none" w:sz="0" w:space="0" w:color="auto"/>
        <w:left w:val="none" w:sz="0" w:space="0" w:color="auto"/>
        <w:bottom w:val="none" w:sz="0" w:space="0" w:color="auto"/>
        <w:right w:val="none" w:sz="0" w:space="0" w:color="auto"/>
      </w:divBdr>
    </w:div>
    <w:div w:id="648481613">
      <w:bodyDiv w:val="1"/>
      <w:marLeft w:val="0"/>
      <w:marRight w:val="0"/>
      <w:marTop w:val="0"/>
      <w:marBottom w:val="0"/>
      <w:divBdr>
        <w:top w:val="none" w:sz="0" w:space="0" w:color="auto"/>
        <w:left w:val="none" w:sz="0" w:space="0" w:color="auto"/>
        <w:bottom w:val="none" w:sz="0" w:space="0" w:color="auto"/>
        <w:right w:val="none" w:sz="0" w:space="0" w:color="auto"/>
      </w:divBdr>
    </w:div>
    <w:div w:id="720715741">
      <w:bodyDiv w:val="1"/>
      <w:marLeft w:val="0"/>
      <w:marRight w:val="0"/>
      <w:marTop w:val="0"/>
      <w:marBottom w:val="0"/>
      <w:divBdr>
        <w:top w:val="none" w:sz="0" w:space="0" w:color="auto"/>
        <w:left w:val="none" w:sz="0" w:space="0" w:color="auto"/>
        <w:bottom w:val="none" w:sz="0" w:space="0" w:color="auto"/>
        <w:right w:val="none" w:sz="0" w:space="0" w:color="auto"/>
      </w:divBdr>
    </w:div>
    <w:div w:id="1198543390">
      <w:bodyDiv w:val="1"/>
      <w:marLeft w:val="0"/>
      <w:marRight w:val="0"/>
      <w:marTop w:val="0"/>
      <w:marBottom w:val="0"/>
      <w:divBdr>
        <w:top w:val="none" w:sz="0" w:space="0" w:color="auto"/>
        <w:left w:val="none" w:sz="0" w:space="0" w:color="auto"/>
        <w:bottom w:val="none" w:sz="0" w:space="0" w:color="auto"/>
        <w:right w:val="none" w:sz="0" w:space="0" w:color="auto"/>
      </w:divBdr>
    </w:div>
    <w:div w:id="1250848626">
      <w:bodyDiv w:val="1"/>
      <w:marLeft w:val="0"/>
      <w:marRight w:val="0"/>
      <w:marTop w:val="0"/>
      <w:marBottom w:val="0"/>
      <w:divBdr>
        <w:top w:val="none" w:sz="0" w:space="0" w:color="auto"/>
        <w:left w:val="none" w:sz="0" w:space="0" w:color="auto"/>
        <w:bottom w:val="none" w:sz="0" w:space="0" w:color="auto"/>
        <w:right w:val="none" w:sz="0" w:space="0" w:color="auto"/>
      </w:divBdr>
    </w:div>
    <w:div w:id="1749493981">
      <w:bodyDiv w:val="1"/>
      <w:marLeft w:val="0"/>
      <w:marRight w:val="0"/>
      <w:marTop w:val="0"/>
      <w:marBottom w:val="0"/>
      <w:divBdr>
        <w:top w:val="none" w:sz="0" w:space="0" w:color="auto"/>
        <w:left w:val="none" w:sz="0" w:space="0" w:color="auto"/>
        <w:bottom w:val="none" w:sz="0" w:space="0" w:color="auto"/>
        <w:right w:val="none" w:sz="0" w:space="0" w:color="auto"/>
      </w:divBdr>
    </w:div>
    <w:div w:id="1837109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isa.com/travelinsight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mailto:biuro@messagehouse.p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ciej.gajewski@messagehouse.pl" TargetMode="External"/><Relationship Id="rId5" Type="http://schemas.openxmlformats.org/officeDocument/2006/relationships/settings" Target="settings.xml"/><Relationship Id="rId10" Type="http://schemas.openxmlformats.org/officeDocument/2006/relationships/hyperlink" Target="http://www.vision.visaeurope.com" TargetMode="External"/><Relationship Id="rId4" Type="http://schemas.microsoft.com/office/2007/relationships/stylesWithEffects" Target="stylesWithEffects.xml"/><Relationship Id="rId9" Type="http://schemas.openxmlformats.org/officeDocument/2006/relationships/hyperlink" Target="http://www.visaeurope.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80A8C4-E61D-444D-B2E0-C9FD3AB11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TotalTime>
  <Pages>3</Pages>
  <Words>1201</Words>
  <Characters>7208</Characters>
  <Application>Microsoft Office Word</Application>
  <DocSecurity>0</DocSecurity>
  <Lines>60</Lines>
  <Paragraphs>16</Paragraphs>
  <ScaleCrop>false</ScaleCrop>
  <HeadingPairs>
    <vt:vector size="4" baseType="variant">
      <vt:variant>
        <vt:lpstr>Tytuł</vt:lpstr>
      </vt:variant>
      <vt:variant>
        <vt:i4>1</vt:i4>
      </vt:variant>
      <vt:variant>
        <vt:lpstr>Title</vt:lpstr>
      </vt:variant>
      <vt:variant>
        <vt:i4>1</vt:i4>
      </vt:variant>
    </vt:vector>
  </HeadingPairs>
  <TitlesOfParts>
    <vt:vector size="2" baseType="lpstr">
      <vt:lpstr/>
      <vt:lpstr/>
    </vt:vector>
  </TitlesOfParts>
  <Company>Visa Inc.</Company>
  <LinksUpToDate>false</LinksUpToDate>
  <CharactersWithSpaces>8393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Chieng, Stephanie</dc:creator>
  <cp:lastModifiedBy>JWaszczuk</cp:lastModifiedBy>
  <cp:revision>10</cp:revision>
  <cp:lastPrinted>2016-09-28T14:29:00Z</cp:lastPrinted>
  <dcterms:created xsi:type="dcterms:W3CDTF">2016-09-28T12:59:00Z</dcterms:created>
  <dcterms:modified xsi:type="dcterms:W3CDTF">2016-10-03T08:55:00Z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