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AAA" w:rsidRDefault="00F96E4B">
      <w:r>
        <w:t>In Nachwuchsakademiker investieren: Deutsche Bildung AG lanciert neue Anleihe</w:t>
      </w:r>
    </w:p>
    <w:p w:rsidR="00F96E4B" w:rsidRDefault="00F96E4B">
      <w:bookmarkStart w:id="0" w:name="_GoBack"/>
      <w:bookmarkEnd w:id="0"/>
    </w:p>
    <w:sectPr w:rsidR="00F96E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4B"/>
    <w:rsid w:val="002F24B5"/>
    <w:rsid w:val="00827150"/>
    <w:rsid w:val="00F9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34631-85A9-4EE0-86AA-886E9817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Müller</dc:creator>
  <cp:keywords/>
  <dc:description/>
  <cp:lastModifiedBy>Stefanie Müller</cp:lastModifiedBy>
  <cp:revision>1</cp:revision>
  <dcterms:created xsi:type="dcterms:W3CDTF">2016-03-03T16:33:00Z</dcterms:created>
  <dcterms:modified xsi:type="dcterms:W3CDTF">2016-03-03T16:41:00Z</dcterms:modified>
</cp:coreProperties>
</file>