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768EC" w14:textId="5D3A1ECB" w:rsidR="0091742E" w:rsidRDefault="0091742E" w:rsidP="0091742E">
      <w:pPr>
        <w:textAlignment w:val="center"/>
        <w:rPr>
          <w:rFonts w:ascii="Century Gothic" w:hAnsi="Century Gothic"/>
          <w:b/>
          <w:sz w:val="22"/>
          <w:szCs w:val="22"/>
        </w:rPr>
      </w:pPr>
    </w:p>
    <w:p w14:paraId="7A8EFB21" w14:textId="672D0F0E" w:rsidR="00B64867" w:rsidRDefault="00B64867" w:rsidP="00B64867">
      <w:pPr>
        <w:jc w:val="center"/>
        <w:textAlignment w:val="center"/>
        <w:rPr>
          <w:rFonts w:ascii="Century Gothic" w:hAnsi="Century Gothic"/>
          <w:b/>
          <w:sz w:val="22"/>
          <w:szCs w:val="22"/>
        </w:rPr>
      </w:pPr>
      <w:r w:rsidRPr="00B64867">
        <w:rPr>
          <w:rFonts w:ascii="Century Gothic" w:hAnsi="Century Gothic"/>
          <w:b/>
          <w:sz w:val="22"/>
          <w:szCs w:val="22"/>
        </w:rPr>
        <w:t>New Study with Wellmune</w:t>
      </w:r>
      <w:r w:rsidR="0049556A" w:rsidRPr="00E774BE">
        <w:rPr>
          <w:rFonts w:ascii="Century Gothic" w:hAnsi="Century Gothic"/>
          <w:b/>
          <w:sz w:val="22"/>
          <w:szCs w:val="22"/>
          <w:vertAlign w:val="superscript"/>
        </w:rPr>
        <w:t>®</w:t>
      </w:r>
      <w:r w:rsidRPr="00B64867">
        <w:rPr>
          <w:rFonts w:ascii="Century Gothic" w:hAnsi="Century Gothic"/>
          <w:b/>
          <w:sz w:val="22"/>
          <w:szCs w:val="22"/>
        </w:rPr>
        <w:t xml:space="preserve"> Shows Promise for </w:t>
      </w:r>
      <w:r w:rsidR="00FD65DE">
        <w:rPr>
          <w:rFonts w:ascii="Century Gothic" w:hAnsi="Century Gothic"/>
          <w:b/>
          <w:sz w:val="22"/>
          <w:szCs w:val="22"/>
        </w:rPr>
        <w:t xml:space="preserve">Intestinal </w:t>
      </w:r>
      <w:r w:rsidRPr="00B64867">
        <w:rPr>
          <w:rFonts w:ascii="Century Gothic" w:hAnsi="Century Gothic"/>
          <w:b/>
          <w:sz w:val="22"/>
          <w:szCs w:val="22"/>
        </w:rPr>
        <w:t xml:space="preserve">Barrier Function Improvements </w:t>
      </w:r>
      <w:r w:rsidR="00C2790E">
        <w:rPr>
          <w:rFonts w:ascii="Century Gothic" w:hAnsi="Century Gothic"/>
          <w:b/>
          <w:sz w:val="22"/>
          <w:szCs w:val="22"/>
        </w:rPr>
        <w:t>with</w:t>
      </w:r>
      <w:r w:rsidRPr="00B64867">
        <w:rPr>
          <w:rFonts w:ascii="Century Gothic" w:hAnsi="Century Gothic"/>
          <w:b/>
          <w:sz w:val="22"/>
          <w:szCs w:val="22"/>
        </w:rPr>
        <w:t xml:space="preserve"> Stressed Adults</w:t>
      </w:r>
    </w:p>
    <w:p w14:paraId="1B4A3126" w14:textId="77777777" w:rsidR="003E5245" w:rsidRDefault="003E5245" w:rsidP="00B64867">
      <w:pPr>
        <w:jc w:val="center"/>
        <w:textAlignment w:val="center"/>
        <w:rPr>
          <w:rFonts w:ascii="Century Gothic" w:hAnsi="Century Gothic"/>
          <w:i/>
          <w:sz w:val="22"/>
          <w:szCs w:val="22"/>
        </w:rPr>
      </w:pPr>
    </w:p>
    <w:p w14:paraId="5CEC8305" w14:textId="4AF45ABF" w:rsidR="00B64867" w:rsidRPr="00894BE1" w:rsidRDefault="00B64867" w:rsidP="00B64867">
      <w:pPr>
        <w:jc w:val="center"/>
        <w:textAlignment w:val="center"/>
        <w:rPr>
          <w:rFonts w:ascii="Century Gothic" w:hAnsi="Century Gothic"/>
          <w:i/>
          <w:sz w:val="22"/>
          <w:szCs w:val="22"/>
        </w:rPr>
      </w:pPr>
      <w:r w:rsidRPr="00894BE1">
        <w:rPr>
          <w:rFonts w:ascii="Century Gothic" w:hAnsi="Century Gothic"/>
          <w:i/>
          <w:sz w:val="22"/>
          <w:szCs w:val="22"/>
        </w:rPr>
        <w:t xml:space="preserve">The </w:t>
      </w:r>
      <w:r w:rsidR="00894BE1" w:rsidRPr="00894BE1">
        <w:rPr>
          <w:rFonts w:ascii="Century Gothic" w:hAnsi="Century Gothic"/>
          <w:i/>
          <w:sz w:val="22"/>
          <w:szCs w:val="22"/>
        </w:rPr>
        <w:t xml:space="preserve">study also provides new data on Wellmune’s Mechanism of Action </w:t>
      </w:r>
      <w:r w:rsidRPr="00894BE1">
        <w:rPr>
          <w:rFonts w:ascii="Century Gothic" w:hAnsi="Century Gothic"/>
          <w:i/>
          <w:sz w:val="22"/>
          <w:szCs w:val="22"/>
        </w:rPr>
        <w:t xml:space="preserve"> </w:t>
      </w:r>
    </w:p>
    <w:p w14:paraId="7F3CEA10" w14:textId="77777777" w:rsidR="00894BE1" w:rsidRDefault="00894BE1" w:rsidP="00B0404F">
      <w:pPr>
        <w:textAlignment w:val="center"/>
        <w:rPr>
          <w:rFonts w:ascii="Century Gothic" w:hAnsi="Century Gothic"/>
          <w:sz w:val="22"/>
          <w:szCs w:val="22"/>
        </w:rPr>
      </w:pPr>
    </w:p>
    <w:p w14:paraId="760225A2" w14:textId="058DEA0A" w:rsidR="00B0404F" w:rsidRPr="0077382C" w:rsidRDefault="008619EB" w:rsidP="00B0404F">
      <w:pPr>
        <w:textAlignment w:val="center"/>
        <w:rPr>
          <w:rFonts w:ascii="Century Gothic" w:hAnsi="Century Gothic"/>
          <w:sz w:val="22"/>
          <w:szCs w:val="22"/>
        </w:rPr>
      </w:pPr>
      <w:r w:rsidRPr="00C0484D">
        <w:rPr>
          <w:rFonts w:ascii="Century Gothic" w:hAnsi="Century Gothic"/>
          <w:b/>
          <w:sz w:val="22"/>
          <w:szCs w:val="22"/>
        </w:rPr>
        <w:t xml:space="preserve">Beloit, WI – </w:t>
      </w:r>
      <w:r w:rsidR="009630A2">
        <w:rPr>
          <w:rFonts w:ascii="Century Gothic" w:hAnsi="Century Gothic"/>
          <w:b/>
          <w:sz w:val="22"/>
          <w:szCs w:val="22"/>
        </w:rPr>
        <w:t>February 7</w:t>
      </w:r>
      <w:bookmarkStart w:id="0" w:name="_GoBack"/>
      <w:bookmarkEnd w:id="0"/>
      <w:r w:rsidR="00C0484D" w:rsidRPr="00C0484D">
        <w:rPr>
          <w:rFonts w:ascii="Century Gothic" w:hAnsi="Century Gothic"/>
          <w:b/>
          <w:sz w:val="22"/>
          <w:szCs w:val="22"/>
        </w:rPr>
        <w:t>, 2018 –</w:t>
      </w:r>
      <w:r w:rsidR="00C0484D">
        <w:rPr>
          <w:rFonts w:ascii="Century Gothic" w:hAnsi="Century Gothic"/>
          <w:sz w:val="22"/>
          <w:szCs w:val="22"/>
        </w:rPr>
        <w:t xml:space="preserve"> </w:t>
      </w:r>
      <w:r w:rsidR="00B0404F" w:rsidRPr="0077382C">
        <w:rPr>
          <w:rFonts w:ascii="Century Gothic" w:hAnsi="Century Gothic"/>
          <w:sz w:val="22"/>
          <w:szCs w:val="22"/>
        </w:rPr>
        <w:t xml:space="preserve">A newly published </w:t>
      </w:r>
      <w:r w:rsidR="00D163EA">
        <w:rPr>
          <w:rFonts w:ascii="Century Gothic" w:hAnsi="Century Gothic"/>
          <w:sz w:val="22"/>
          <w:szCs w:val="22"/>
        </w:rPr>
        <w:t>pre-</w:t>
      </w:r>
      <w:r w:rsidR="00B0404F" w:rsidRPr="0077382C">
        <w:rPr>
          <w:rFonts w:ascii="Century Gothic" w:hAnsi="Century Gothic"/>
          <w:sz w:val="22"/>
          <w:szCs w:val="22"/>
        </w:rPr>
        <w:t>clinical study</w:t>
      </w:r>
      <w:r w:rsidR="00D163EA">
        <w:rPr>
          <w:rFonts w:ascii="Century Gothic" w:hAnsi="Century Gothic"/>
          <w:sz w:val="22"/>
          <w:szCs w:val="22"/>
        </w:rPr>
        <w:t xml:space="preserve"> </w:t>
      </w:r>
      <w:bookmarkStart w:id="1" w:name="_Hlk505680646"/>
      <w:r w:rsidR="00D163EA">
        <w:rPr>
          <w:rFonts w:ascii="Century Gothic" w:hAnsi="Century Gothic"/>
          <w:sz w:val="22"/>
          <w:szCs w:val="22"/>
        </w:rPr>
        <w:t xml:space="preserve">with human </w:t>
      </w:r>
      <w:r w:rsidR="00E75D71" w:rsidRPr="005F50D8">
        <w:rPr>
          <w:rFonts w:ascii="Century Gothic" w:hAnsi="Century Gothic"/>
          <w:sz w:val="22"/>
          <w:szCs w:val="22"/>
        </w:rPr>
        <w:t>donors</w:t>
      </w:r>
      <w:r w:rsidR="00D163EA">
        <w:rPr>
          <w:rFonts w:ascii="Century Gothic" w:hAnsi="Century Gothic"/>
          <w:sz w:val="22"/>
          <w:szCs w:val="22"/>
        </w:rPr>
        <w:t xml:space="preserve"> </w:t>
      </w:r>
      <w:r w:rsidR="00E774BE">
        <w:rPr>
          <w:rFonts w:ascii="Century Gothic" w:hAnsi="Century Gothic"/>
          <w:sz w:val="22"/>
          <w:szCs w:val="22"/>
        </w:rPr>
        <w:t xml:space="preserve">demonstrated </w:t>
      </w:r>
      <w:r w:rsidR="00B0404F" w:rsidRPr="0077382C">
        <w:rPr>
          <w:rFonts w:ascii="Century Gothic" w:hAnsi="Century Gothic"/>
          <w:sz w:val="22"/>
          <w:szCs w:val="22"/>
        </w:rPr>
        <w:t xml:space="preserve">that </w:t>
      </w:r>
      <w:bookmarkStart w:id="2" w:name="_Hlk505274050"/>
      <w:r w:rsidR="003E5245">
        <w:rPr>
          <w:rFonts w:ascii="Century Gothic" w:hAnsi="Century Gothic"/>
          <w:sz w:val="22"/>
          <w:szCs w:val="22"/>
        </w:rPr>
        <w:fldChar w:fldCharType="begin"/>
      </w:r>
      <w:r w:rsidR="003E5245">
        <w:rPr>
          <w:rFonts w:ascii="Century Gothic" w:hAnsi="Century Gothic"/>
          <w:sz w:val="22"/>
          <w:szCs w:val="22"/>
        </w:rPr>
        <w:instrText xml:space="preserve"> HYPERLINK "http://www.wellmune.com" </w:instrText>
      </w:r>
      <w:r w:rsidR="003E5245">
        <w:rPr>
          <w:rFonts w:ascii="Century Gothic" w:hAnsi="Century Gothic"/>
          <w:sz w:val="22"/>
          <w:szCs w:val="22"/>
        </w:rPr>
        <w:fldChar w:fldCharType="separate"/>
      </w:r>
      <w:r w:rsidR="00D163EA" w:rsidRPr="003E5245">
        <w:rPr>
          <w:rStyle w:val="Hyperlink"/>
          <w:rFonts w:ascii="Century Gothic" w:hAnsi="Century Gothic"/>
          <w:sz w:val="22"/>
          <w:szCs w:val="22"/>
        </w:rPr>
        <w:t>Wellmune</w:t>
      </w:r>
      <w:r w:rsidR="003E5245" w:rsidRPr="003E5245">
        <w:rPr>
          <w:rStyle w:val="Hyperlink"/>
          <w:rFonts w:ascii="Century Gothic" w:hAnsi="Century Gothic"/>
          <w:sz w:val="22"/>
          <w:szCs w:val="22"/>
          <w:vertAlign w:val="superscript"/>
        </w:rPr>
        <w:t>®</w:t>
      </w:r>
      <w:r w:rsidR="003E5245">
        <w:rPr>
          <w:rFonts w:ascii="Century Gothic" w:hAnsi="Century Gothic"/>
          <w:sz w:val="22"/>
          <w:szCs w:val="22"/>
        </w:rPr>
        <w:fldChar w:fldCharType="end"/>
      </w:r>
      <w:r w:rsidR="00D163EA">
        <w:rPr>
          <w:rFonts w:ascii="Century Gothic" w:hAnsi="Century Gothic"/>
          <w:sz w:val="22"/>
          <w:szCs w:val="22"/>
        </w:rPr>
        <w:t>, the natural immune health ingredient</w:t>
      </w:r>
      <w:r w:rsidR="00D163EA" w:rsidRPr="0077382C">
        <w:rPr>
          <w:rFonts w:ascii="Century Gothic" w:hAnsi="Century Gothic"/>
          <w:sz w:val="22"/>
          <w:szCs w:val="22"/>
        </w:rPr>
        <w:t xml:space="preserve"> </w:t>
      </w:r>
      <w:r w:rsidR="00D163EA">
        <w:rPr>
          <w:rFonts w:ascii="Century Gothic" w:hAnsi="Century Gothic"/>
          <w:sz w:val="22"/>
          <w:szCs w:val="22"/>
        </w:rPr>
        <w:t xml:space="preserve">available </w:t>
      </w:r>
      <w:r w:rsidR="00D163EA" w:rsidRPr="0077382C">
        <w:rPr>
          <w:rFonts w:ascii="Century Gothic" w:hAnsi="Century Gothic"/>
          <w:sz w:val="22"/>
          <w:szCs w:val="22"/>
        </w:rPr>
        <w:t>in food, beverages</w:t>
      </w:r>
      <w:r w:rsidR="00D163EA">
        <w:rPr>
          <w:rFonts w:ascii="Century Gothic" w:hAnsi="Century Gothic"/>
          <w:sz w:val="22"/>
          <w:szCs w:val="22"/>
        </w:rPr>
        <w:t>,</w:t>
      </w:r>
      <w:r w:rsidR="00D163EA" w:rsidRPr="0077382C">
        <w:rPr>
          <w:rFonts w:ascii="Century Gothic" w:hAnsi="Century Gothic"/>
          <w:sz w:val="22"/>
          <w:szCs w:val="22"/>
        </w:rPr>
        <w:t xml:space="preserve"> and supplements, </w:t>
      </w:r>
      <w:r w:rsidR="00B0404F" w:rsidRPr="0077382C">
        <w:rPr>
          <w:rFonts w:ascii="Century Gothic" w:hAnsi="Century Gothic"/>
          <w:sz w:val="22"/>
          <w:szCs w:val="22"/>
        </w:rPr>
        <w:t xml:space="preserve">may protect intestinal barrier function in adults when faced with stress. The study also provided new insights on how </w:t>
      </w:r>
      <w:r w:rsidR="00D163EA">
        <w:rPr>
          <w:rFonts w:ascii="Century Gothic" w:hAnsi="Century Gothic"/>
          <w:sz w:val="22"/>
          <w:szCs w:val="22"/>
        </w:rPr>
        <w:t>the proprietary yeast beta glucan</w:t>
      </w:r>
      <w:r w:rsidR="0039443E" w:rsidRPr="0077382C">
        <w:rPr>
          <w:rFonts w:ascii="Century Gothic" w:hAnsi="Century Gothic"/>
          <w:sz w:val="22"/>
          <w:szCs w:val="22"/>
        </w:rPr>
        <w:t xml:space="preserve"> </w:t>
      </w:r>
      <w:r w:rsidR="00B0404F" w:rsidRPr="0077382C">
        <w:rPr>
          <w:rFonts w:ascii="Century Gothic" w:hAnsi="Century Gothic"/>
          <w:sz w:val="22"/>
          <w:szCs w:val="22"/>
        </w:rPr>
        <w:t>works within the human body and the immune system</w:t>
      </w:r>
      <w:bookmarkEnd w:id="2"/>
      <w:r w:rsidR="00B0404F" w:rsidRPr="0077382C">
        <w:rPr>
          <w:rFonts w:ascii="Century Gothic" w:hAnsi="Century Gothic"/>
          <w:sz w:val="22"/>
          <w:szCs w:val="22"/>
        </w:rPr>
        <w:t xml:space="preserve">. </w:t>
      </w:r>
      <w:bookmarkEnd w:id="1"/>
    </w:p>
    <w:p w14:paraId="4B6A9F7A" w14:textId="77777777" w:rsidR="00B0404F" w:rsidRPr="0077382C" w:rsidRDefault="00B0404F" w:rsidP="00B0404F">
      <w:pPr>
        <w:pStyle w:val="Heading1"/>
        <w:shd w:val="clear" w:color="auto" w:fill="FFFFFF"/>
        <w:textAlignment w:val="baseline"/>
        <w:rPr>
          <w:rFonts w:ascii="Century Gothic" w:hAnsi="Century Gothic"/>
          <w:b w:val="0"/>
          <w:color w:val="2A2A2A"/>
          <w:sz w:val="22"/>
          <w:szCs w:val="22"/>
        </w:rPr>
      </w:pPr>
      <w:r w:rsidRPr="0077382C">
        <w:rPr>
          <w:rFonts w:ascii="Century Gothic" w:hAnsi="Century Gothic"/>
          <w:b w:val="0"/>
          <w:color w:val="292B2C"/>
          <w:sz w:val="22"/>
          <w:szCs w:val="22"/>
        </w:rPr>
        <w:t>The study, titled “</w:t>
      </w:r>
      <w:hyperlink r:id="rId6" w:history="1">
        <w:r w:rsidRPr="0077382C">
          <w:rPr>
            <w:rStyle w:val="Hyperlink"/>
            <w:rFonts w:ascii="Century Gothic" w:hAnsi="Century Gothic"/>
            <w:b w:val="0"/>
            <w:sz w:val="22"/>
            <w:szCs w:val="22"/>
          </w:rPr>
          <w:t>A β-Glucan-Based Dietary Fiber Reduces Mast Cell-Induced Hyperpermeability in Ileum From Patients With Crohn’s Disease and Control Subjects</w:t>
        </w:r>
      </w:hyperlink>
      <w:r w:rsidRPr="0077382C">
        <w:rPr>
          <w:rFonts w:ascii="Century Gothic" w:hAnsi="Century Gothic"/>
          <w:b w:val="0"/>
          <w:color w:val="2A2A2A"/>
          <w:sz w:val="22"/>
          <w:szCs w:val="22"/>
        </w:rPr>
        <w:t xml:space="preserve">” </w:t>
      </w:r>
      <w:r w:rsidRPr="0077382C">
        <w:rPr>
          <w:rFonts w:ascii="Century Gothic" w:hAnsi="Century Gothic"/>
          <w:b w:val="0"/>
          <w:sz w:val="22"/>
          <w:szCs w:val="22"/>
        </w:rPr>
        <w:t xml:space="preserve">was conducted by researchers at the University of </w:t>
      </w:r>
      <w:r w:rsidRPr="0077382C">
        <w:rPr>
          <w:rStyle w:val="Emphasis"/>
          <w:rFonts w:ascii="Century Gothic" w:hAnsi="Century Gothic" w:cs="Arial"/>
          <w:b w:val="0"/>
          <w:bCs w:val="0"/>
          <w:i w:val="0"/>
          <w:iCs w:val="0"/>
          <w:sz w:val="22"/>
          <w:szCs w:val="22"/>
          <w:shd w:val="clear" w:color="auto" w:fill="FFFFFF"/>
        </w:rPr>
        <w:t>Örebro in Sweden and published in Inflammatory Bowel Diseases</w:t>
      </w:r>
      <w:r w:rsidRPr="0077382C">
        <w:rPr>
          <w:rFonts w:ascii="Century Gothic" w:hAnsi="Century Gothic" w:cs="Arial"/>
          <w:b w:val="0"/>
          <w:sz w:val="22"/>
          <w:szCs w:val="22"/>
          <w:shd w:val="clear" w:color="auto" w:fill="FFFFFF"/>
        </w:rPr>
        <w:t xml:space="preserve">, an Oxford </w:t>
      </w:r>
      <w:r>
        <w:rPr>
          <w:rFonts w:ascii="Century Gothic" w:hAnsi="Century Gothic" w:cs="Arial"/>
          <w:b w:val="0"/>
          <w:sz w:val="22"/>
          <w:szCs w:val="22"/>
          <w:shd w:val="clear" w:color="auto" w:fill="FFFFFF"/>
        </w:rPr>
        <w:t>a</w:t>
      </w:r>
      <w:r w:rsidRPr="0077382C">
        <w:rPr>
          <w:rFonts w:ascii="Century Gothic" w:hAnsi="Century Gothic" w:cs="Arial"/>
          <w:b w:val="0"/>
          <w:sz w:val="22"/>
          <w:szCs w:val="22"/>
          <w:shd w:val="clear" w:color="auto" w:fill="FFFFFF"/>
        </w:rPr>
        <w:t>cademic journal</w:t>
      </w:r>
      <w:r>
        <w:rPr>
          <w:rFonts w:ascii="Century Gothic" w:hAnsi="Century Gothic" w:cs="Arial"/>
          <w:b w:val="0"/>
          <w:sz w:val="22"/>
          <w:szCs w:val="22"/>
          <w:shd w:val="clear" w:color="auto" w:fill="FFFFFF"/>
        </w:rPr>
        <w:t xml:space="preserve">. </w:t>
      </w:r>
    </w:p>
    <w:p w14:paraId="5474ED40" w14:textId="448F4C82" w:rsidR="00B0404F" w:rsidRPr="0077382C" w:rsidRDefault="00055EB6" w:rsidP="00B0404F">
      <w:pPr>
        <w:pStyle w:val="Heading1"/>
        <w:shd w:val="clear" w:color="auto" w:fill="FFFFFF"/>
        <w:textAlignment w:val="baseline"/>
        <w:rPr>
          <w:rFonts w:ascii="Century Gothic" w:hAnsi="Century Gothic" w:cs="Arial"/>
          <w:b w:val="0"/>
          <w:sz w:val="22"/>
          <w:szCs w:val="22"/>
          <w:shd w:val="clear" w:color="auto" w:fill="FFFFFF"/>
        </w:rPr>
      </w:pPr>
      <w:r w:rsidRPr="00055EB6">
        <w:rPr>
          <w:rFonts w:ascii="Century Gothic" w:hAnsi="Century Gothic" w:cs="Arial"/>
          <w:b w:val="0"/>
          <w:sz w:val="22"/>
          <w:szCs w:val="22"/>
          <w:shd w:val="clear" w:color="auto" w:fill="FFFFFF"/>
        </w:rPr>
        <w:t>For humans, chronic and acute stress can result in mast cell activation. This can weaken intestinal barrier function, which plays a key role in maintaining one’s health.</w:t>
      </w:r>
      <w:r>
        <w:rPr>
          <w:rFonts w:ascii="Century Gothic" w:hAnsi="Century Gothic" w:cs="Arial"/>
          <w:sz w:val="22"/>
          <w:szCs w:val="22"/>
          <w:shd w:val="clear" w:color="auto" w:fill="FFFFFF"/>
        </w:rPr>
        <w:t xml:space="preserve"> </w:t>
      </w:r>
      <w:r w:rsidR="00B0404F" w:rsidRPr="0077382C">
        <w:rPr>
          <w:rFonts w:ascii="Century Gothic" w:hAnsi="Century Gothic" w:cs="Arial"/>
          <w:b w:val="0"/>
          <w:sz w:val="22"/>
          <w:szCs w:val="22"/>
          <w:shd w:val="clear" w:color="auto" w:fill="FFFFFF"/>
        </w:rPr>
        <w:t>The study measured Wellmune’s impact on activated mast cells in intestinal tissue from humans to identify positive effects on stress-induced decreases in intestinal barrier function</w:t>
      </w:r>
      <w:r w:rsidR="00B0404F">
        <w:rPr>
          <w:rFonts w:ascii="Century Gothic" w:hAnsi="Century Gothic" w:cs="Arial"/>
          <w:b w:val="0"/>
          <w:sz w:val="22"/>
          <w:szCs w:val="22"/>
          <w:shd w:val="clear" w:color="auto" w:fill="FFFFFF"/>
        </w:rPr>
        <w:t xml:space="preserve">. </w:t>
      </w:r>
      <w:r w:rsidR="00B0404F" w:rsidRPr="0077382C">
        <w:rPr>
          <w:rFonts w:ascii="Century Gothic" w:hAnsi="Century Gothic" w:cs="Arial"/>
          <w:b w:val="0"/>
          <w:sz w:val="22"/>
          <w:szCs w:val="22"/>
          <w:shd w:val="clear" w:color="auto" w:fill="FFFFFF"/>
        </w:rPr>
        <w:t xml:space="preserve">Preliminary data has revealed the novel </w:t>
      </w:r>
      <w:r w:rsidR="00B0404F">
        <w:rPr>
          <w:rFonts w:ascii="Century Gothic" w:hAnsi="Century Gothic" w:cs="Arial"/>
          <w:b w:val="0"/>
          <w:sz w:val="22"/>
          <w:szCs w:val="22"/>
          <w:shd w:val="clear" w:color="auto" w:fill="FFFFFF"/>
        </w:rPr>
        <w:t>finding</w:t>
      </w:r>
      <w:r w:rsidR="00B0404F" w:rsidRPr="0077382C">
        <w:rPr>
          <w:rFonts w:ascii="Century Gothic" w:hAnsi="Century Gothic" w:cs="Arial"/>
          <w:b w:val="0"/>
          <w:sz w:val="22"/>
          <w:szCs w:val="22"/>
          <w:shd w:val="clear" w:color="auto" w:fill="FFFFFF"/>
        </w:rPr>
        <w:t xml:space="preserve"> that Wellmune may protect intestinal barrier function by blocking mast cell activation</w:t>
      </w:r>
      <w:r w:rsidR="00B0404F">
        <w:rPr>
          <w:rFonts w:ascii="Century Gothic" w:hAnsi="Century Gothic" w:cs="Arial"/>
          <w:b w:val="0"/>
          <w:sz w:val="22"/>
          <w:szCs w:val="22"/>
          <w:shd w:val="clear" w:color="auto" w:fill="FFFFFF"/>
        </w:rPr>
        <w:t xml:space="preserve">. These new results may have future implications for the understanding of the ingredient’s impact on </w:t>
      </w:r>
      <w:r w:rsidR="00D163EA" w:rsidRPr="00D163EA">
        <w:rPr>
          <w:rFonts w:ascii="Century Gothic" w:hAnsi="Century Gothic" w:cs="Arial"/>
          <w:b w:val="0"/>
          <w:sz w:val="22"/>
          <w:szCs w:val="22"/>
          <w:shd w:val="clear" w:color="auto" w:fill="FFFFFF"/>
        </w:rPr>
        <w:t xml:space="preserve">digestive health issues related to </w:t>
      </w:r>
      <w:r w:rsidR="00B0404F">
        <w:rPr>
          <w:rFonts w:ascii="Century Gothic" w:hAnsi="Century Gothic" w:cs="Arial"/>
          <w:b w:val="0"/>
          <w:sz w:val="22"/>
          <w:szCs w:val="22"/>
          <w:shd w:val="clear" w:color="auto" w:fill="FFFFFF"/>
        </w:rPr>
        <w:t xml:space="preserve">intestinal barrier dysfunctions. </w:t>
      </w:r>
    </w:p>
    <w:p w14:paraId="24BE999A" w14:textId="47D7BE40" w:rsidR="00B0404F" w:rsidRPr="0077382C" w:rsidRDefault="00B0404F" w:rsidP="00B0404F">
      <w:pPr>
        <w:textAlignment w:val="center"/>
        <w:rPr>
          <w:rFonts w:ascii="Century Gothic" w:hAnsi="Century Gothic"/>
          <w:sz w:val="22"/>
          <w:szCs w:val="22"/>
        </w:rPr>
      </w:pPr>
      <w:r w:rsidRPr="0077382C">
        <w:rPr>
          <w:rFonts w:ascii="Century Gothic" w:hAnsi="Century Gothic"/>
          <w:sz w:val="22"/>
          <w:szCs w:val="22"/>
        </w:rPr>
        <w:t xml:space="preserve">“The body’s intestinal barrier function allows for the absorption of things like nutrients and water, while simultaneously maintaining an effective defense against toxins and pathogens that can be harmful to our health,” explained Donald Cox, Ph.D., Kerry’s Director of R&amp;D for Wellmune. “While these are preliminary results and more research is needed, Wellmune may protect barrier function during stress, which adds another proof point to the ingredient’s </w:t>
      </w:r>
      <w:r w:rsidR="00D163EA" w:rsidRPr="00D163EA">
        <w:rPr>
          <w:rFonts w:ascii="Century Gothic" w:hAnsi="Century Gothic"/>
          <w:sz w:val="22"/>
          <w:szCs w:val="22"/>
        </w:rPr>
        <w:t>well-researched ability to support our overall health</w:t>
      </w:r>
      <w:r w:rsidRPr="0077382C">
        <w:rPr>
          <w:rFonts w:ascii="Century Gothic" w:hAnsi="Century Gothic"/>
          <w:sz w:val="22"/>
          <w:szCs w:val="22"/>
        </w:rPr>
        <w:t xml:space="preserve">.”  </w:t>
      </w:r>
    </w:p>
    <w:p w14:paraId="3F176B42" w14:textId="77777777" w:rsidR="00B0404F" w:rsidRPr="0077382C" w:rsidRDefault="00B0404F" w:rsidP="00B0404F">
      <w:pPr>
        <w:textAlignment w:val="center"/>
        <w:rPr>
          <w:rFonts w:ascii="Century Gothic" w:hAnsi="Century Gothic"/>
          <w:sz w:val="22"/>
          <w:szCs w:val="22"/>
        </w:rPr>
      </w:pPr>
    </w:p>
    <w:p w14:paraId="007A934E" w14:textId="434F7536" w:rsidR="00B0404F" w:rsidRPr="0077382C" w:rsidRDefault="00B0404F" w:rsidP="00B0404F">
      <w:pPr>
        <w:textAlignment w:val="center"/>
        <w:rPr>
          <w:rFonts w:ascii="Century Gothic" w:hAnsi="Century Gothic"/>
          <w:sz w:val="22"/>
          <w:szCs w:val="22"/>
        </w:rPr>
      </w:pPr>
      <w:r w:rsidRPr="0077382C">
        <w:rPr>
          <w:rFonts w:ascii="Century Gothic" w:hAnsi="Century Gothic"/>
          <w:sz w:val="22"/>
          <w:szCs w:val="22"/>
        </w:rPr>
        <w:t xml:space="preserve">The study also looked at which immune cells interact with Wellmune in the digestive tract immediately after ingestion, increasing the understanding of Wellmune’s mechanism of action (MOA). Microscopy experiments showed that Wellmune was found very close to macrophages </w:t>
      </w:r>
      <w:r w:rsidR="001A72D6">
        <w:rPr>
          <w:rFonts w:ascii="Century Gothic" w:hAnsi="Century Gothic"/>
          <w:sz w:val="22"/>
          <w:szCs w:val="22"/>
        </w:rPr>
        <w:t>and</w:t>
      </w:r>
      <w:r w:rsidR="001A72D6" w:rsidRPr="0077382C">
        <w:rPr>
          <w:rFonts w:ascii="Century Gothic" w:hAnsi="Century Gothic"/>
          <w:sz w:val="22"/>
          <w:szCs w:val="22"/>
        </w:rPr>
        <w:t xml:space="preserve"> </w:t>
      </w:r>
      <w:r w:rsidRPr="0077382C">
        <w:rPr>
          <w:rFonts w:ascii="Century Gothic" w:hAnsi="Century Gothic"/>
          <w:sz w:val="22"/>
          <w:szCs w:val="22"/>
        </w:rPr>
        <w:t>dendritic cells in the Peyer’s Patch</w:t>
      </w:r>
      <w:r w:rsidR="00D163EA">
        <w:rPr>
          <w:rFonts w:ascii="Century Gothic" w:hAnsi="Century Gothic"/>
          <w:sz w:val="22"/>
          <w:szCs w:val="22"/>
        </w:rPr>
        <w:t>es</w:t>
      </w:r>
      <w:r w:rsidRPr="0077382C">
        <w:rPr>
          <w:rFonts w:ascii="Century Gothic" w:hAnsi="Century Gothic"/>
          <w:sz w:val="22"/>
          <w:szCs w:val="22"/>
        </w:rPr>
        <w:t>. Wellmune was also shown to be taken up through the villi, structures which make up the majority of the large and small intestines. These new findings suggest that the ingredient may be absorbed not only in the Peyer’s Patch</w:t>
      </w:r>
      <w:r w:rsidR="00D163EA">
        <w:rPr>
          <w:rFonts w:ascii="Century Gothic" w:hAnsi="Century Gothic"/>
          <w:sz w:val="22"/>
          <w:szCs w:val="22"/>
        </w:rPr>
        <w:t>es</w:t>
      </w:r>
      <w:r w:rsidRPr="0077382C">
        <w:rPr>
          <w:rFonts w:ascii="Century Gothic" w:hAnsi="Century Gothic"/>
          <w:sz w:val="22"/>
          <w:szCs w:val="22"/>
        </w:rPr>
        <w:t xml:space="preserve"> but throughout the length of the intestine. </w:t>
      </w:r>
    </w:p>
    <w:p w14:paraId="7971C005" w14:textId="77777777" w:rsidR="00B0404F" w:rsidRPr="0077382C" w:rsidRDefault="00B0404F" w:rsidP="00B0404F">
      <w:pPr>
        <w:textAlignment w:val="center"/>
        <w:rPr>
          <w:rFonts w:ascii="Century Gothic" w:hAnsi="Century Gothic"/>
          <w:sz w:val="22"/>
          <w:szCs w:val="22"/>
        </w:rPr>
      </w:pPr>
    </w:p>
    <w:p w14:paraId="1BE071DC" w14:textId="77777777" w:rsidR="00B0404F" w:rsidRPr="0077382C" w:rsidRDefault="00B0404F" w:rsidP="00B0404F">
      <w:pPr>
        <w:textAlignment w:val="center"/>
        <w:rPr>
          <w:rFonts w:ascii="Century Gothic" w:hAnsi="Century Gothic"/>
          <w:sz w:val="22"/>
          <w:szCs w:val="22"/>
        </w:rPr>
      </w:pPr>
      <w:r w:rsidRPr="0077382C">
        <w:rPr>
          <w:rFonts w:ascii="Century Gothic" w:hAnsi="Century Gothic"/>
          <w:sz w:val="22"/>
          <w:szCs w:val="22"/>
        </w:rPr>
        <w:t xml:space="preserve">“This new study has given us more insight about the identity of some of the cells that interact with Wellmune in the human gut and a greater understanding of the first steps in the mechanism of action for Wellmune,” continued Cox. “Seeing how Wellmune interacts with the immune system, including its absorption by both the Peyer’s Patches </w:t>
      </w:r>
      <w:r w:rsidRPr="0077382C">
        <w:rPr>
          <w:rFonts w:ascii="Century Gothic" w:hAnsi="Century Gothic"/>
          <w:sz w:val="22"/>
          <w:szCs w:val="22"/>
        </w:rPr>
        <w:lastRenderedPageBreak/>
        <w:t>and the villi, builds upon our understanding of Wellmune’s MOA and helps support our findings that the natural ingredient can help improve our immune system function throughout our life and lifestyle needs.”</w:t>
      </w:r>
    </w:p>
    <w:p w14:paraId="197EA313" w14:textId="7C9B89CB" w:rsidR="008619EB" w:rsidRPr="0077382C" w:rsidRDefault="008619EB" w:rsidP="00B0404F">
      <w:pPr>
        <w:textAlignment w:val="center"/>
        <w:rPr>
          <w:rFonts w:ascii="Century Gothic" w:hAnsi="Century Gothic"/>
          <w:sz w:val="22"/>
          <w:szCs w:val="22"/>
        </w:rPr>
      </w:pPr>
    </w:p>
    <w:p w14:paraId="09F5A9B1" w14:textId="77777777" w:rsidR="00C2790E" w:rsidRDefault="00C2790E" w:rsidP="008619EB">
      <w:pPr>
        <w:textAlignment w:val="center"/>
        <w:rPr>
          <w:rFonts w:ascii="Century Gothic" w:hAnsi="Century Gothic"/>
          <w:b/>
          <w:sz w:val="22"/>
          <w:szCs w:val="22"/>
        </w:rPr>
      </w:pPr>
    </w:p>
    <w:p w14:paraId="5DD29778" w14:textId="249F2FB3" w:rsidR="008619EB" w:rsidRPr="00B0404F" w:rsidRDefault="008619EB" w:rsidP="008619EB">
      <w:pPr>
        <w:textAlignment w:val="center"/>
        <w:rPr>
          <w:rFonts w:ascii="Century Gothic" w:hAnsi="Century Gothic"/>
          <w:b/>
          <w:sz w:val="22"/>
          <w:szCs w:val="22"/>
        </w:rPr>
      </w:pPr>
      <w:r w:rsidRPr="00B0404F">
        <w:rPr>
          <w:rFonts w:ascii="Century Gothic" w:hAnsi="Century Gothic"/>
          <w:b/>
          <w:sz w:val="22"/>
          <w:szCs w:val="22"/>
        </w:rPr>
        <w:t>About Wellmune</w:t>
      </w:r>
      <w:r w:rsidRPr="00B0404F">
        <w:rPr>
          <w:rStyle w:val="A5"/>
          <w:rFonts w:ascii="Century Gothic" w:hAnsi="Century Gothic"/>
          <w:b/>
          <w:sz w:val="22"/>
          <w:szCs w:val="22"/>
          <w:vertAlign w:val="superscript"/>
        </w:rPr>
        <w:t>®</w:t>
      </w:r>
    </w:p>
    <w:p w14:paraId="71C70DA0" w14:textId="02A1E40C" w:rsidR="008619EB" w:rsidRDefault="008619EB" w:rsidP="008619EB">
      <w:pPr>
        <w:textAlignment w:val="center"/>
        <w:rPr>
          <w:rStyle w:val="A5"/>
          <w:rFonts w:ascii="Century Gothic" w:hAnsi="Century Gothic"/>
          <w:sz w:val="22"/>
          <w:szCs w:val="22"/>
        </w:rPr>
      </w:pPr>
      <w:r w:rsidRPr="0077382C">
        <w:rPr>
          <w:rStyle w:val="A5"/>
          <w:rFonts w:ascii="Century Gothic" w:hAnsi="Century Gothic"/>
          <w:sz w:val="22"/>
          <w:szCs w:val="22"/>
        </w:rPr>
        <w:t>Wellmune</w:t>
      </w:r>
      <w:r w:rsidRPr="00B0404F">
        <w:rPr>
          <w:rStyle w:val="A5"/>
          <w:rFonts w:ascii="Century Gothic" w:hAnsi="Century Gothic"/>
          <w:sz w:val="22"/>
          <w:szCs w:val="22"/>
          <w:vertAlign w:val="superscript"/>
        </w:rPr>
        <w:t>®</w:t>
      </w:r>
      <w:r w:rsidRPr="0077382C">
        <w:rPr>
          <w:rStyle w:val="A5"/>
          <w:rFonts w:ascii="Century Gothic" w:hAnsi="Century Gothic"/>
          <w:sz w:val="22"/>
          <w:szCs w:val="22"/>
        </w:rPr>
        <w:t xml:space="preserve"> is a natural food, beverage and supplement ingredient clinically proven to help strengthen the immune system making it easier for people of all ages to be well and stay well. A proprietary baker’s yeast beta 1,3/1,6 glucan, Wellmune is patented, Kosher, Halal, non-allergenic, non-GMO, gluten-free, and Informed-Sport certified. As a global brand available in more than 60 countries, Wellmune has regulatory approval in major markets including GRAS status in the U.S. and novel food approval in Europe and China. A recipient of numerous industry awards, Wellmune is part of Kerry’s nutrition and wellness portfolio. For more information, visit </w:t>
      </w:r>
      <w:hyperlink r:id="rId7" w:history="1">
        <w:r w:rsidRPr="0077382C">
          <w:rPr>
            <w:rStyle w:val="Hyperlink"/>
            <w:rFonts w:ascii="Century Gothic" w:hAnsi="Century Gothic" w:cs="Myriad Pro"/>
            <w:sz w:val="22"/>
            <w:szCs w:val="22"/>
          </w:rPr>
          <w:t>Wellmune.com</w:t>
        </w:r>
      </w:hyperlink>
      <w:r w:rsidRPr="0077382C">
        <w:rPr>
          <w:rStyle w:val="A5"/>
          <w:rFonts w:ascii="Century Gothic" w:hAnsi="Century Gothic"/>
          <w:sz w:val="22"/>
          <w:szCs w:val="22"/>
        </w:rPr>
        <w:t xml:space="preserve"> or follow us on </w:t>
      </w:r>
      <w:hyperlink r:id="rId8" w:history="1">
        <w:r w:rsidRPr="0077382C">
          <w:rPr>
            <w:rStyle w:val="Hyperlink"/>
            <w:rFonts w:ascii="Century Gothic" w:hAnsi="Century Gothic" w:cs="Myriad Pro"/>
            <w:sz w:val="22"/>
            <w:szCs w:val="22"/>
          </w:rPr>
          <w:t>Facebook</w:t>
        </w:r>
      </w:hyperlink>
      <w:r w:rsidRPr="0077382C">
        <w:rPr>
          <w:rStyle w:val="A5"/>
          <w:rFonts w:ascii="Century Gothic" w:hAnsi="Century Gothic"/>
          <w:sz w:val="22"/>
          <w:szCs w:val="22"/>
        </w:rPr>
        <w:t xml:space="preserve">, </w:t>
      </w:r>
      <w:hyperlink r:id="rId9" w:history="1">
        <w:r w:rsidRPr="0077382C">
          <w:rPr>
            <w:rStyle w:val="Hyperlink"/>
            <w:rFonts w:ascii="Century Gothic" w:hAnsi="Century Gothic" w:cs="Myriad Pro"/>
            <w:sz w:val="22"/>
            <w:szCs w:val="22"/>
          </w:rPr>
          <w:t>Twitter</w:t>
        </w:r>
      </w:hyperlink>
      <w:r w:rsidRPr="0077382C">
        <w:rPr>
          <w:rStyle w:val="A5"/>
          <w:rFonts w:ascii="Century Gothic" w:hAnsi="Century Gothic"/>
          <w:sz w:val="22"/>
          <w:szCs w:val="22"/>
        </w:rPr>
        <w:t xml:space="preserve"> and </w:t>
      </w:r>
      <w:hyperlink r:id="rId10" w:history="1">
        <w:r w:rsidRPr="0077382C">
          <w:rPr>
            <w:rStyle w:val="Hyperlink"/>
            <w:rFonts w:ascii="Century Gothic" w:hAnsi="Century Gothic" w:cs="Myriad Pro"/>
            <w:sz w:val="22"/>
            <w:szCs w:val="22"/>
          </w:rPr>
          <w:t>YouTube</w:t>
        </w:r>
      </w:hyperlink>
      <w:r w:rsidRPr="0077382C">
        <w:rPr>
          <w:rStyle w:val="A5"/>
          <w:rFonts w:ascii="Century Gothic" w:hAnsi="Century Gothic"/>
          <w:sz w:val="22"/>
          <w:szCs w:val="22"/>
        </w:rPr>
        <w:t>.</w:t>
      </w:r>
    </w:p>
    <w:p w14:paraId="17B6478D" w14:textId="46E39FA0" w:rsidR="00F841B7" w:rsidRDefault="00F841B7" w:rsidP="008619EB">
      <w:pPr>
        <w:textAlignment w:val="center"/>
        <w:rPr>
          <w:rStyle w:val="A5"/>
          <w:rFonts w:ascii="Century Gothic" w:hAnsi="Century Gothic"/>
          <w:sz w:val="22"/>
          <w:szCs w:val="22"/>
        </w:rPr>
      </w:pPr>
    </w:p>
    <w:p w14:paraId="1B2E0BB8" w14:textId="77777777" w:rsidR="00F841B7" w:rsidRDefault="00F841B7" w:rsidP="00F841B7">
      <w:pPr>
        <w:rPr>
          <w:rFonts w:ascii="Century Gothic" w:eastAsiaTheme="minorEastAsia" w:hAnsi="Century Gothic"/>
          <w:b/>
          <w:bCs/>
          <w:color w:val="000000"/>
          <w:sz w:val="22"/>
          <w:szCs w:val="22"/>
        </w:rPr>
      </w:pPr>
    </w:p>
    <w:p w14:paraId="462D25D3" w14:textId="72856333" w:rsidR="00F841B7" w:rsidRDefault="00F841B7" w:rsidP="00F841B7">
      <w:pPr>
        <w:rPr>
          <w:rStyle w:val="Hyperlink"/>
          <w:rFonts w:ascii="Century Gothic" w:hAnsi="Century Gothic"/>
          <w:sz w:val="22"/>
          <w:szCs w:val="22"/>
        </w:rPr>
      </w:pPr>
      <w:r w:rsidRPr="00F841B7">
        <w:rPr>
          <w:rFonts w:ascii="Century Gothic" w:eastAsiaTheme="minorEastAsia" w:hAnsi="Century Gothic"/>
          <w:b/>
          <w:bCs/>
          <w:color w:val="000000"/>
          <w:sz w:val="22"/>
          <w:szCs w:val="22"/>
        </w:rPr>
        <w:t>Contact:</w:t>
      </w:r>
      <w:r w:rsidRPr="00F841B7">
        <w:rPr>
          <w:rStyle w:val="apple-converted-space"/>
          <w:rFonts w:ascii="Century Gothic" w:hAnsi="Century Gothic" w:cs="Arial"/>
          <w:b/>
          <w:bCs/>
          <w:color w:val="4C5A52"/>
          <w:sz w:val="22"/>
          <w:szCs w:val="22"/>
          <w:bdr w:val="none" w:sz="0" w:space="0" w:color="auto" w:frame="1"/>
          <w:shd w:val="clear" w:color="auto" w:fill="FFFFFF"/>
        </w:rPr>
        <w:t> </w:t>
      </w:r>
      <w:r w:rsidRPr="00F841B7">
        <w:rPr>
          <w:rFonts w:ascii="Century Gothic" w:hAnsi="Century Gothic" w:cs="Arial"/>
          <w:color w:val="4C5A52"/>
          <w:sz w:val="22"/>
          <w:szCs w:val="22"/>
        </w:rPr>
        <w:br/>
      </w:r>
      <w:r w:rsidRPr="00F841B7">
        <w:rPr>
          <w:rFonts w:ascii="Century Gothic" w:hAnsi="Century Gothic"/>
          <w:sz w:val="22"/>
          <w:szCs w:val="22"/>
        </w:rPr>
        <w:t>Molly Fitzgerald</w:t>
      </w:r>
      <w:r w:rsidRPr="00F841B7">
        <w:rPr>
          <w:rFonts w:ascii="Century Gothic" w:hAnsi="Century Gothic"/>
          <w:sz w:val="22"/>
          <w:szCs w:val="22"/>
        </w:rPr>
        <w:br/>
        <w:t>Digital Marketing Communications – Wellmune</w:t>
      </w:r>
      <w:r w:rsidRPr="0091742E">
        <w:rPr>
          <w:rFonts w:ascii="Century Gothic" w:hAnsi="Century Gothic"/>
          <w:b/>
          <w:bCs/>
          <w:sz w:val="22"/>
          <w:szCs w:val="22"/>
          <w:vertAlign w:val="superscript"/>
        </w:rPr>
        <w:t>®</w:t>
      </w:r>
      <w:r w:rsidRPr="00F841B7">
        <w:rPr>
          <w:rFonts w:ascii="Century Gothic" w:hAnsi="Century Gothic"/>
          <w:sz w:val="22"/>
          <w:szCs w:val="22"/>
        </w:rPr>
        <w:br/>
        <w:t>+1 (612) 309-6792</w:t>
      </w:r>
      <w:r w:rsidRPr="00F841B7">
        <w:rPr>
          <w:rFonts w:ascii="Century Gothic" w:hAnsi="Century Gothic" w:cs="Arial"/>
          <w:color w:val="4C5A52"/>
          <w:sz w:val="22"/>
          <w:szCs w:val="22"/>
        </w:rPr>
        <w:br/>
      </w:r>
      <w:hyperlink r:id="rId11" w:history="1">
        <w:r w:rsidRPr="00F841B7">
          <w:rPr>
            <w:rStyle w:val="Hyperlink"/>
            <w:rFonts w:ascii="Century Gothic" w:hAnsi="Century Gothic"/>
            <w:sz w:val="22"/>
            <w:szCs w:val="22"/>
          </w:rPr>
          <w:t>molly.fitzgerald@kerry.com</w:t>
        </w:r>
      </w:hyperlink>
    </w:p>
    <w:p w14:paraId="587924ED" w14:textId="5E5351C2" w:rsidR="00C0484D" w:rsidRDefault="00C0484D" w:rsidP="00F841B7">
      <w:pPr>
        <w:rPr>
          <w:rStyle w:val="Hyperlink"/>
          <w:rFonts w:ascii="Century Gothic" w:hAnsi="Century Gothic"/>
          <w:sz w:val="22"/>
          <w:szCs w:val="22"/>
        </w:rPr>
      </w:pPr>
    </w:p>
    <w:p w14:paraId="3D74606F" w14:textId="124F0573" w:rsidR="00C0484D" w:rsidRPr="00C0484D" w:rsidRDefault="00C0484D" w:rsidP="00C0484D">
      <w:pPr>
        <w:jc w:val="center"/>
        <w:rPr>
          <w:rFonts w:ascii="Century Gothic" w:hAnsi="Century Gothic"/>
          <w:sz w:val="22"/>
          <w:szCs w:val="22"/>
        </w:rPr>
      </w:pPr>
      <w:r w:rsidRPr="00C0484D">
        <w:rPr>
          <w:rStyle w:val="Hyperlink"/>
          <w:rFonts w:ascii="Century Gothic" w:hAnsi="Century Gothic"/>
          <w:color w:val="auto"/>
          <w:sz w:val="22"/>
          <w:szCs w:val="22"/>
          <w:u w:val="none"/>
        </w:rPr>
        <w:t>###</w:t>
      </w:r>
    </w:p>
    <w:p w14:paraId="256F9ED5" w14:textId="77777777" w:rsidR="00F841B7" w:rsidRPr="0077382C" w:rsidRDefault="00F841B7" w:rsidP="008619EB">
      <w:pPr>
        <w:textAlignment w:val="center"/>
        <w:rPr>
          <w:rFonts w:ascii="Century Gothic" w:hAnsi="Century Gothic"/>
          <w:sz w:val="22"/>
          <w:szCs w:val="22"/>
        </w:rPr>
      </w:pPr>
    </w:p>
    <w:sectPr w:rsidR="00F841B7" w:rsidRPr="007738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FC89" w14:textId="77777777" w:rsidR="003F7C8F" w:rsidRDefault="003F7C8F" w:rsidP="001A72D6">
      <w:r>
        <w:separator/>
      </w:r>
    </w:p>
  </w:endnote>
  <w:endnote w:type="continuationSeparator" w:id="0">
    <w:p w14:paraId="22DB5382" w14:textId="77777777" w:rsidR="003F7C8F" w:rsidRDefault="003F7C8F" w:rsidP="001A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E114F" w14:textId="77777777" w:rsidR="003F7C8F" w:rsidRDefault="003F7C8F" w:rsidP="001A72D6">
      <w:r>
        <w:separator/>
      </w:r>
    </w:p>
  </w:footnote>
  <w:footnote w:type="continuationSeparator" w:id="0">
    <w:p w14:paraId="3895E1C0" w14:textId="77777777" w:rsidR="003F7C8F" w:rsidRDefault="003F7C8F" w:rsidP="001A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0CEE" w14:textId="46A81D7D" w:rsidR="0091742E" w:rsidRDefault="0091742E">
    <w:pPr>
      <w:pStyle w:val="Header"/>
    </w:pPr>
    <w:r w:rsidRPr="0091742E">
      <w:rPr>
        <w:noProof/>
      </w:rPr>
      <w:drawing>
        <wp:inline distT="0" distB="0" distL="0" distR="0" wp14:anchorId="0F7A22EF" wp14:editId="73981414">
          <wp:extent cx="1607820" cy="762000"/>
          <wp:effectExtent l="0" t="0" r="0" b="0"/>
          <wp:docPr id="2" name="Picture 2" descr="C:\Users\mfitzge1\Desktop\Files\What Is Wellmune _ Wellmune_files\wellm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itzge1\Desktop\Files\What Is Wellmune _ Wellmune_files\wellmun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762000"/>
                  </a:xfrm>
                  <a:prstGeom prst="rect">
                    <a:avLst/>
                  </a:prstGeom>
                  <a:noFill/>
                  <a:ln>
                    <a:noFill/>
                  </a:ln>
                </pic:spPr>
              </pic:pic>
            </a:graphicData>
          </a:graphic>
        </wp:inline>
      </w:drawing>
    </w:r>
  </w:p>
  <w:p w14:paraId="1D5CD969" w14:textId="77777777" w:rsidR="0091742E" w:rsidRDefault="00917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8D"/>
    <w:rsid w:val="00055EB6"/>
    <w:rsid w:val="00092D30"/>
    <w:rsid w:val="000D66BB"/>
    <w:rsid w:val="000F2601"/>
    <w:rsid w:val="00113CD3"/>
    <w:rsid w:val="00136427"/>
    <w:rsid w:val="0017371F"/>
    <w:rsid w:val="001A72D6"/>
    <w:rsid w:val="0025369D"/>
    <w:rsid w:val="002C0F82"/>
    <w:rsid w:val="003813CB"/>
    <w:rsid w:val="0039443E"/>
    <w:rsid w:val="003D075B"/>
    <w:rsid w:val="003E5245"/>
    <w:rsid w:val="003F7C8F"/>
    <w:rsid w:val="0049556A"/>
    <w:rsid w:val="004B5C35"/>
    <w:rsid w:val="004E5ABB"/>
    <w:rsid w:val="00503DD0"/>
    <w:rsid w:val="0052799D"/>
    <w:rsid w:val="005F50D8"/>
    <w:rsid w:val="00622B80"/>
    <w:rsid w:val="00624ED5"/>
    <w:rsid w:val="00641C0F"/>
    <w:rsid w:val="00651C60"/>
    <w:rsid w:val="006904C9"/>
    <w:rsid w:val="00732463"/>
    <w:rsid w:val="00754F31"/>
    <w:rsid w:val="0077382C"/>
    <w:rsid w:val="008619EB"/>
    <w:rsid w:val="00894BE1"/>
    <w:rsid w:val="008C688D"/>
    <w:rsid w:val="0091742E"/>
    <w:rsid w:val="009630A2"/>
    <w:rsid w:val="009E707A"/>
    <w:rsid w:val="00A13BA1"/>
    <w:rsid w:val="00A20454"/>
    <w:rsid w:val="00A72F79"/>
    <w:rsid w:val="00B0404F"/>
    <w:rsid w:val="00B13002"/>
    <w:rsid w:val="00B64867"/>
    <w:rsid w:val="00BC5F70"/>
    <w:rsid w:val="00BE7B93"/>
    <w:rsid w:val="00C0484D"/>
    <w:rsid w:val="00C2790E"/>
    <w:rsid w:val="00C346D7"/>
    <w:rsid w:val="00CD5FEF"/>
    <w:rsid w:val="00CF1011"/>
    <w:rsid w:val="00D163EA"/>
    <w:rsid w:val="00E132CB"/>
    <w:rsid w:val="00E75D71"/>
    <w:rsid w:val="00E774BE"/>
    <w:rsid w:val="00EC22B0"/>
    <w:rsid w:val="00EF6266"/>
    <w:rsid w:val="00F21530"/>
    <w:rsid w:val="00F7389A"/>
    <w:rsid w:val="00F841B7"/>
    <w:rsid w:val="00FA1826"/>
    <w:rsid w:val="00FD65DE"/>
    <w:rsid w:val="00FE558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A7BB9"/>
  <w15:chartTrackingRefBased/>
  <w15:docId w15:val="{1A8BF13A-19F4-4A49-8638-F060D1A4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88D"/>
    <w:pPr>
      <w:spacing w:after="0" w:line="240" w:lineRule="auto"/>
    </w:pPr>
    <w:rPr>
      <w:rFonts w:ascii="Times New Roman" w:hAnsi="Times New Roman" w:cs="Times New Roman"/>
      <w:sz w:val="24"/>
      <w:szCs w:val="24"/>
      <w:lang w:bidi="ar-SA"/>
    </w:rPr>
  </w:style>
  <w:style w:type="paragraph" w:styleId="Heading1">
    <w:name w:val="heading 1"/>
    <w:basedOn w:val="Normal"/>
    <w:link w:val="Heading1Char"/>
    <w:uiPriority w:val="9"/>
    <w:qFormat/>
    <w:rsid w:val="008C688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88D"/>
    <w:rPr>
      <w:rFonts w:ascii="Times New Roman" w:eastAsia="Times New Roman" w:hAnsi="Times New Roman" w:cs="Times New Roman"/>
      <w:b/>
      <w:bCs/>
      <w:kern w:val="36"/>
      <w:sz w:val="48"/>
      <w:szCs w:val="48"/>
      <w:lang w:bidi="ar-SA"/>
    </w:rPr>
  </w:style>
  <w:style w:type="character" w:styleId="Hyperlink">
    <w:name w:val="Hyperlink"/>
    <w:basedOn w:val="DefaultParagraphFont"/>
    <w:uiPriority w:val="99"/>
    <w:unhideWhenUsed/>
    <w:rsid w:val="008C688D"/>
    <w:rPr>
      <w:color w:val="0000FF"/>
      <w:u w:val="single"/>
    </w:rPr>
  </w:style>
  <w:style w:type="character" w:styleId="Emphasis">
    <w:name w:val="Emphasis"/>
    <w:basedOn w:val="DefaultParagraphFont"/>
    <w:uiPriority w:val="20"/>
    <w:qFormat/>
    <w:rsid w:val="008C688D"/>
    <w:rPr>
      <w:i/>
      <w:iCs/>
    </w:rPr>
  </w:style>
  <w:style w:type="character" w:styleId="CommentReference">
    <w:name w:val="annotation reference"/>
    <w:basedOn w:val="DefaultParagraphFont"/>
    <w:uiPriority w:val="99"/>
    <w:semiHidden/>
    <w:unhideWhenUsed/>
    <w:rsid w:val="00136427"/>
    <w:rPr>
      <w:sz w:val="16"/>
      <w:szCs w:val="16"/>
    </w:rPr>
  </w:style>
  <w:style w:type="paragraph" w:styleId="CommentText">
    <w:name w:val="annotation text"/>
    <w:basedOn w:val="Normal"/>
    <w:link w:val="CommentTextChar"/>
    <w:uiPriority w:val="99"/>
    <w:semiHidden/>
    <w:unhideWhenUsed/>
    <w:rsid w:val="00136427"/>
    <w:rPr>
      <w:sz w:val="20"/>
      <w:szCs w:val="20"/>
    </w:rPr>
  </w:style>
  <w:style w:type="character" w:customStyle="1" w:styleId="CommentTextChar">
    <w:name w:val="Comment Text Char"/>
    <w:basedOn w:val="DefaultParagraphFont"/>
    <w:link w:val="CommentText"/>
    <w:uiPriority w:val="99"/>
    <w:semiHidden/>
    <w:rsid w:val="00136427"/>
    <w:rPr>
      <w:rFonts w:ascii="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36427"/>
    <w:rPr>
      <w:b/>
      <w:bCs/>
    </w:rPr>
  </w:style>
  <w:style w:type="character" w:customStyle="1" w:styleId="CommentSubjectChar">
    <w:name w:val="Comment Subject Char"/>
    <w:basedOn w:val="CommentTextChar"/>
    <w:link w:val="CommentSubject"/>
    <w:uiPriority w:val="99"/>
    <w:semiHidden/>
    <w:rsid w:val="00136427"/>
    <w:rPr>
      <w:rFonts w:ascii="Times New Roman" w:hAnsi="Times New Roman" w:cs="Times New Roman"/>
      <w:b/>
      <w:bCs/>
      <w:sz w:val="20"/>
      <w:lang w:bidi="ar-SA"/>
    </w:rPr>
  </w:style>
  <w:style w:type="paragraph" w:styleId="BalloonText">
    <w:name w:val="Balloon Text"/>
    <w:basedOn w:val="Normal"/>
    <w:link w:val="BalloonTextChar"/>
    <w:uiPriority w:val="99"/>
    <w:semiHidden/>
    <w:unhideWhenUsed/>
    <w:rsid w:val="00136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27"/>
    <w:rPr>
      <w:rFonts w:ascii="Segoe UI" w:hAnsi="Segoe UI" w:cs="Segoe UI"/>
      <w:sz w:val="18"/>
      <w:szCs w:val="18"/>
      <w:lang w:bidi="ar-SA"/>
    </w:rPr>
  </w:style>
  <w:style w:type="character" w:customStyle="1" w:styleId="A5">
    <w:name w:val="A5"/>
    <w:uiPriority w:val="99"/>
    <w:rsid w:val="008619EB"/>
    <w:rPr>
      <w:rFonts w:cs="Myriad Pro"/>
      <w:color w:val="000000"/>
      <w:sz w:val="26"/>
      <w:szCs w:val="26"/>
    </w:rPr>
  </w:style>
  <w:style w:type="character" w:customStyle="1" w:styleId="UnresolvedMention1">
    <w:name w:val="Unresolved Mention1"/>
    <w:basedOn w:val="DefaultParagraphFont"/>
    <w:uiPriority w:val="99"/>
    <w:semiHidden/>
    <w:unhideWhenUsed/>
    <w:rsid w:val="008619EB"/>
    <w:rPr>
      <w:color w:val="808080"/>
      <w:shd w:val="clear" w:color="auto" w:fill="E6E6E6"/>
    </w:rPr>
  </w:style>
  <w:style w:type="paragraph" w:styleId="Header">
    <w:name w:val="header"/>
    <w:basedOn w:val="Normal"/>
    <w:link w:val="HeaderChar"/>
    <w:uiPriority w:val="99"/>
    <w:unhideWhenUsed/>
    <w:rsid w:val="001A72D6"/>
    <w:pPr>
      <w:tabs>
        <w:tab w:val="center" w:pos="4680"/>
        <w:tab w:val="right" w:pos="9360"/>
      </w:tabs>
    </w:pPr>
  </w:style>
  <w:style w:type="character" w:customStyle="1" w:styleId="HeaderChar">
    <w:name w:val="Header Char"/>
    <w:basedOn w:val="DefaultParagraphFont"/>
    <w:link w:val="Header"/>
    <w:uiPriority w:val="99"/>
    <w:rsid w:val="001A72D6"/>
    <w:rPr>
      <w:rFonts w:ascii="Times New Roman" w:hAnsi="Times New Roman" w:cs="Times New Roman"/>
      <w:sz w:val="24"/>
      <w:szCs w:val="24"/>
      <w:lang w:bidi="ar-SA"/>
    </w:rPr>
  </w:style>
  <w:style w:type="paragraph" w:styleId="Footer">
    <w:name w:val="footer"/>
    <w:basedOn w:val="Normal"/>
    <w:link w:val="FooterChar"/>
    <w:uiPriority w:val="99"/>
    <w:unhideWhenUsed/>
    <w:rsid w:val="001A72D6"/>
    <w:pPr>
      <w:tabs>
        <w:tab w:val="center" w:pos="4680"/>
        <w:tab w:val="right" w:pos="9360"/>
      </w:tabs>
    </w:pPr>
  </w:style>
  <w:style w:type="character" w:customStyle="1" w:styleId="FooterChar">
    <w:name w:val="Footer Char"/>
    <w:basedOn w:val="DefaultParagraphFont"/>
    <w:link w:val="Footer"/>
    <w:uiPriority w:val="99"/>
    <w:rsid w:val="001A72D6"/>
    <w:rPr>
      <w:rFonts w:ascii="Times New Roman" w:hAnsi="Times New Roman" w:cs="Times New Roman"/>
      <w:sz w:val="24"/>
      <w:szCs w:val="24"/>
      <w:lang w:bidi="ar-SA"/>
    </w:rPr>
  </w:style>
  <w:style w:type="character" w:styleId="UnresolvedMention">
    <w:name w:val="Unresolved Mention"/>
    <w:basedOn w:val="DefaultParagraphFont"/>
    <w:uiPriority w:val="99"/>
    <w:semiHidden/>
    <w:unhideWhenUsed/>
    <w:rsid w:val="003E5245"/>
    <w:rPr>
      <w:color w:val="808080"/>
      <w:shd w:val="clear" w:color="auto" w:fill="E6E6E6"/>
    </w:rPr>
  </w:style>
  <w:style w:type="character" w:customStyle="1" w:styleId="apple-converted-space">
    <w:name w:val="apple-converted-space"/>
    <w:basedOn w:val="DefaultParagraphFont"/>
    <w:rsid w:val="00F841B7"/>
  </w:style>
  <w:style w:type="character" w:customStyle="1" w:styleId="al-author-name">
    <w:name w:val="al-author-name"/>
    <w:basedOn w:val="DefaultParagraphFont"/>
    <w:rsid w:val="00FA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89839">
      <w:bodyDiv w:val="1"/>
      <w:marLeft w:val="0"/>
      <w:marRight w:val="0"/>
      <w:marTop w:val="0"/>
      <w:marBottom w:val="0"/>
      <w:divBdr>
        <w:top w:val="none" w:sz="0" w:space="0" w:color="auto"/>
        <w:left w:val="none" w:sz="0" w:space="0" w:color="auto"/>
        <w:bottom w:val="none" w:sz="0" w:space="0" w:color="auto"/>
        <w:right w:val="none" w:sz="0" w:space="0" w:color="auto"/>
      </w:divBdr>
      <w:divsChild>
        <w:div w:id="1480421438">
          <w:marLeft w:val="0"/>
          <w:marRight w:val="0"/>
          <w:marTop w:val="0"/>
          <w:marBottom w:val="0"/>
          <w:divBdr>
            <w:top w:val="none" w:sz="0" w:space="0" w:color="auto"/>
            <w:left w:val="none" w:sz="0" w:space="0" w:color="auto"/>
            <w:bottom w:val="none" w:sz="0" w:space="0" w:color="auto"/>
            <w:right w:val="none" w:sz="0" w:space="0" w:color="auto"/>
          </w:divBdr>
          <w:divsChild>
            <w:div w:id="786238510">
              <w:marLeft w:val="0"/>
              <w:marRight w:val="0"/>
              <w:marTop w:val="0"/>
              <w:marBottom w:val="165"/>
              <w:divBdr>
                <w:top w:val="none" w:sz="0" w:space="0" w:color="auto"/>
                <w:left w:val="none" w:sz="0" w:space="0" w:color="auto"/>
                <w:bottom w:val="none" w:sz="0" w:space="0" w:color="auto"/>
                <w:right w:val="none" w:sz="0" w:space="0" w:color="auto"/>
              </w:divBdr>
            </w:div>
          </w:divsChild>
        </w:div>
        <w:div w:id="773095329">
          <w:marLeft w:val="0"/>
          <w:marRight w:val="0"/>
          <w:marTop w:val="165"/>
          <w:marBottom w:val="165"/>
          <w:divBdr>
            <w:top w:val="none" w:sz="0" w:space="0" w:color="auto"/>
            <w:left w:val="none" w:sz="0" w:space="0" w:color="auto"/>
            <w:bottom w:val="none" w:sz="0" w:space="0" w:color="auto"/>
            <w:right w:val="none" w:sz="0" w:space="0" w:color="auto"/>
          </w:divBdr>
          <w:divsChild>
            <w:div w:id="1939898338">
              <w:marLeft w:val="0"/>
              <w:marRight w:val="0"/>
              <w:marTop w:val="0"/>
              <w:marBottom w:val="0"/>
              <w:divBdr>
                <w:top w:val="none" w:sz="0" w:space="0" w:color="auto"/>
                <w:left w:val="none" w:sz="0" w:space="0" w:color="auto"/>
                <w:bottom w:val="none" w:sz="0" w:space="0" w:color="auto"/>
                <w:right w:val="none" w:sz="0" w:space="0" w:color="auto"/>
              </w:divBdr>
              <w:divsChild>
                <w:div w:id="3746942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ellmu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llmun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oup.com/ibdjournal/article/24/1/166/4757490" TargetMode="External"/><Relationship Id="rId11" Type="http://schemas.openxmlformats.org/officeDocument/2006/relationships/hyperlink" Target="mailto:molly.fitzgerald@kerry.com" TargetMode="External"/><Relationship Id="rId5" Type="http://schemas.openxmlformats.org/officeDocument/2006/relationships/endnotes" Target="endnotes.xml"/><Relationship Id="rId10" Type="http://schemas.openxmlformats.org/officeDocument/2006/relationships/hyperlink" Target="http://www.youtube.com/wellmune" TargetMode="External"/><Relationship Id="rId4" Type="http://schemas.openxmlformats.org/officeDocument/2006/relationships/footnotes" Target="footnotes.xml"/><Relationship Id="rId9" Type="http://schemas.openxmlformats.org/officeDocument/2006/relationships/hyperlink" Target="http://www.twitter.com/wellmu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2018-02-07T09:14:00Z</cp:lastPrinted>
  <dcterms:created xsi:type="dcterms:W3CDTF">2018-02-07T14:15:00Z</dcterms:created>
  <dcterms:modified xsi:type="dcterms:W3CDTF">2018-02-07T15:16:00Z</dcterms:modified>
</cp:coreProperties>
</file>