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BEE62" w14:textId="4CE805F8" w:rsidR="00383D87" w:rsidRPr="006656D6" w:rsidRDefault="006656D6">
      <w:pPr>
        <w:spacing w:line="254" w:lineRule="auto"/>
        <w:ind w:right="1984"/>
        <w:rPr>
          <w:rFonts w:ascii="IBM Plex Sans" w:hAnsi="IBM Plex Sans"/>
          <w:sz w:val="24"/>
          <w:szCs w:val="24"/>
          <w:lang w:val="en-ZA"/>
        </w:rPr>
      </w:pPr>
      <w:proofErr w:type="spellStart"/>
      <w:r w:rsidRPr="006656D6">
        <w:rPr>
          <w:rFonts w:ascii="IBM Plex Sans" w:hAnsi="IBM Plex Sans"/>
          <w:sz w:val="24"/>
          <w:szCs w:val="24"/>
          <w:lang w:val="en-ZA"/>
        </w:rPr>
        <w:t>Sunotec</w:t>
      </w:r>
      <w:proofErr w:type="spellEnd"/>
      <w:r w:rsidRPr="006656D6">
        <w:rPr>
          <w:rFonts w:ascii="IBM Plex Sans" w:hAnsi="IBM Plex Sans"/>
          <w:sz w:val="24"/>
          <w:szCs w:val="24"/>
          <w:lang w:val="en-ZA"/>
        </w:rPr>
        <w:t xml:space="preserve"> Announces Partnership Structured Equity Investment from Blackstone to Accelerate Renewable Infrastructure Expansion</w:t>
      </w:r>
    </w:p>
    <w:p w14:paraId="05ECB4B1" w14:textId="77777777" w:rsidR="006656D6" w:rsidRPr="006656D6" w:rsidRDefault="006656D6">
      <w:pPr>
        <w:spacing w:line="254" w:lineRule="auto"/>
        <w:ind w:right="1984"/>
        <w:rPr>
          <w:rFonts w:ascii="IBM Plex Sans" w:hAnsi="IBM Plex Sans"/>
          <w:i/>
          <w:iCs/>
          <w:sz w:val="24"/>
          <w:szCs w:val="24"/>
          <w:lang w:val="en-ZA"/>
        </w:rPr>
      </w:pPr>
    </w:p>
    <w:p w14:paraId="33F7CB5F" w14:textId="25678EF0" w:rsidR="00383D87" w:rsidRPr="006656D6" w:rsidRDefault="006656D6">
      <w:pPr>
        <w:ind w:right="1984"/>
        <w:rPr>
          <w:rFonts w:ascii="IBM Plex Sans" w:hAnsi="IBM Plex Sans"/>
          <w:i/>
          <w:iCs/>
          <w:sz w:val="18"/>
          <w:szCs w:val="18"/>
          <w:lang w:val="en-ZA"/>
        </w:rPr>
      </w:pPr>
      <w:r w:rsidRPr="006656D6">
        <w:rPr>
          <w:rFonts w:ascii="IBM Plex Sans" w:hAnsi="IBM Plex Sans"/>
          <w:i/>
          <w:iCs/>
          <w:sz w:val="18"/>
          <w:szCs w:val="18"/>
          <w:lang w:val="en-ZA"/>
        </w:rPr>
        <w:t xml:space="preserve">Partnership to support </w:t>
      </w:r>
      <w:proofErr w:type="spellStart"/>
      <w:r w:rsidRPr="006656D6">
        <w:rPr>
          <w:rFonts w:ascii="IBM Plex Sans" w:hAnsi="IBM Plex Sans"/>
          <w:i/>
          <w:iCs/>
          <w:sz w:val="18"/>
          <w:szCs w:val="18"/>
          <w:lang w:val="en-ZA"/>
        </w:rPr>
        <w:t>Sunotec’s</w:t>
      </w:r>
      <w:proofErr w:type="spellEnd"/>
      <w:r w:rsidRPr="006656D6">
        <w:rPr>
          <w:rFonts w:ascii="IBM Plex Sans" w:hAnsi="IBM Plex Sans"/>
          <w:i/>
          <w:iCs/>
          <w:sz w:val="18"/>
          <w:szCs w:val="18"/>
          <w:lang w:val="en-ZA"/>
        </w:rPr>
        <w:t xml:space="preserve"> international expansion while strengthening its grid integration and renewable energy capabilities.</w:t>
      </w:r>
    </w:p>
    <w:p w14:paraId="7C7EC589" w14:textId="77777777" w:rsidR="006656D6" w:rsidRPr="006656D6" w:rsidRDefault="006656D6">
      <w:pPr>
        <w:ind w:right="1984"/>
        <w:rPr>
          <w:rFonts w:ascii="IBM Plex Sans" w:hAnsi="IBM Plex Sans"/>
          <w:sz w:val="18"/>
          <w:szCs w:val="18"/>
          <w:lang w:val="en-ZA"/>
        </w:rPr>
      </w:pPr>
    </w:p>
    <w:p w14:paraId="08E28A7C" w14:textId="794F6F10" w:rsidR="00383D87" w:rsidRDefault="006656D6">
      <w:pPr>
        <w:ind w:right="1984"/>
        <w:rPr>
          <w:rFonts w:ascii="IBM Plex Sans" w:hAnsi="IBM Plex Sans"/>
          <w:b/>
          <w:bCs/>
          <w:sz w:val="18"/>
          <w:szCs w:val="18"/>
          <w:lang w:val="en-ZA"/>
        </w:rPr>
      </w:pPr>
      <w:r w:rsidRPr="006656D6">
        <w:rPr>
          <w:rFonts w:ascii="IBM Plex Sans" w:hAnsi="IBM Plex Sans"/>
          <w:b/>
          <w:bCs/>
          <w:sz w:val="18"/>
          <w:szCs w:val="18"/>
          <w:lang w:val="en-ZA"/>
        </w:rPr>
        <w:t xml:space="preserve">LONDON, UK – 7 April 2026 – </w:t>
      </w:r>
      <w:proofErr w:type="spellStart"/>
      <w:r w:rsidRPr="006656D6">
        <w:rPr>
          <w:rFonts w:ascii="IBM Plex Sans" w:hAnsi="IBM Plex Sans"/>
          <w:b/>
          <w:bCs/>
          <w:sz w:val="18"/>
          <w:szCs w:val="18"/>
          <w:lang w:val="en-ZA"/>
        </w:rPr>
        <w:t>Sunotec</w:t>
      </w:r>
      <w:proofErr w:type="spellEnd"/>
      <w:r w:rsidRPr="006656D6">
        <w:rPr>
          <w:rFonts w:ascii="IBM Plex Sans" w:hAnsi="IBM Plex Sans"/>
          <w:b/>
          <w:bCs/>
          <w:sz w:val="18"/>
          <w:szCs w:val="18"/>
          <w:lang w:val="en-ZA"/>
        </w:rPr>
        <w:t>, one of Europe’s leading integrators of utility-scale solar and battery storage projects, today announced a partnership structured equity investment from funds managed by Blackstone Tactical Opportunities.</w:t>
      </w:r>
    </w:p>
    <w:p w14:paraId="6C20B6F5" w14:textId="77777777" w:rsidR="006656D6" w:rsidRPr="006656D6" w:rsidRDefault="006656D6">
      <w:pPr>
        <w:ind w:right="1984"/>
        <w:rPr>
          <w:rFonts w:ascii="IBM Plex Sans" w:hAnsi="IBM Plex Sans"/>
          <w:b/>
          <w:bCs/>
          <w:sz w:val="18"/>
          <w:szCs w:val="18"/>
          <w:lang w:val="en-ZA"/>
        </w:rPr>
      </w:pPr>
    </w:p>
    <w:p w14:paraId="79FBBF05"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 xml:space="preserve">Blackstone’s investment will support </w:t>
      </w:r>
      <w:proofErr w:type="spellStart"/>
      <w:r w:rsidRPr="006656D6">
        <w:rPr>
          <w:rFonts w:ascii="IBM Plex Sans" w:eastAsia="IBM Plex Sans" w:hAnsi="IBM Plex Sans" w:cs="IBM Plex Sans"/>
          <w:sz w:val="18"/>
          <w:szCs w:val="18"/>
          <w:lang w:val="en-ZA"/>
        </w:rPr>
        <w:t>Sunotec’s</w:t>
      </w:r>
      <w:proofErr w:type="spellEnd"/>
      <w:r w:rsidRPr="006656D6">
        <w:rPr>
          <w:rFonts w:ascii="IBM Plex Sans" w:eastAsia="IBM Plex Sans" w:hAnsi="IBM Plex Sans" w:cs="IBM Plex Sans"/>
          <w:sz w:val="18"/>
          <w:szCs w:val="18"/>
          <w:lang w:val="en-ZA"/>
        </w:rPr>
        <w:t xml:space="preserve"> continued growth across its core European markets — notably Germany, the United Kingdom, Scandinavia and Southeast Europe — while enabling further expansion of its existing services and the development of adjacent capabilities, including grid infrastructure. </w:t>
      </w:r>
    </w:p>
    <w:p w14:paraId="49DC1B13" w14:textId="77777777" w:rsidR="006656D6" w:rsidRPr="006656D6" w:rsidRDefault="006656D6" w:rsidP="006656D6">
      <w:pPr>
        <w:ind w:right="1984"/>
        <w:rPr>
          <w:rFonts w:ascii="IBM Plex Sans" w:eastAsia="IBM Plex Sans" w:hAnsi="IBM Plex Sans" w:cs="IBM Plex Sans"/>
          <w:sz w:val="18"/>
          <w:szCs w:val="18"/>
          <w:lang w:val="en-ZA"/>
        </w:rPr>
      </w:pPr>
    </w:p>
    <w:p w14:paraId="1C079646"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 xml:space="preserve">The partnership will also aim to scale up </w:t>
      </w:r>
      <w:proofErr w:type="spellStart"/>
      <w:r w:rsidRPr="006656D6">
        <w:rPr>
          <w:rFonts w:ascii="IBM Plex Sans" w:eastAsia="IBM Plex Sans" w:hAnsi="IBM Plex Sans" w:cs="IBM Plex Sans"/>
          <w:sz w:val="18"/>
          <w:szCs w:val="18"/>
          <w:lang w:val="en-ZA"/>
        </w:rPr>
        <w:t>Sunotec’s</w:t>
      </w:r>
      <w:proofErr w:type="spellEnd"/>
      <w:r w:rsidRPr="006656D6">
        <w:rPr>
          <w:rFonts w:ascii="IBM Plex Sans" w:eastAsia="IBM Plex Sans" w:hAnsi="IBM Plex Sans" w:cs="IBM Plex Sans"/>
          <w:sz w:val="18"/>
          <w:szCs w:val="18"/>
          <w:lang w:val="en-ZA"/>
        </w:rPr>
        <w:t xml:space="preserve"> hybrid renewable energy asset platform and reinforce its investments in sustainable infrastructure.  </w:t>
      </w:r>
    </w:p>
    <w:p w14:paraId="6A1CC442" w14:textId="77777777" w:rsidR="006656D6" w:rsidRPr="006656D6" w:rsidRDefault="006656D6" w:rsidP="006656D6">
      <w:pPr>
        <w:ind w:right="1984"/>
        <w:rPr>
          <w:rFonts w:ascii="IBM Plex Sans" w:eastAsia="IBM Plex Sans" w:hAnsi="IBM Plex Sans" w:cs="IBM Plex Sans"/>
          <w:sz w:val="18"/>
          <w:szCs w:val="18"/>
          <w:lang w:val="en-ZA"/>
        </w:rPr>
      </w:pPr>
    </w:p>
    <w:p w14:paraId="6CA20718" w14:textId="77777777" w:rsidR="006656D6" w:rsidRPr="006656D6" w:rsidRDefault="006656D6" w:rsidP="006656D6">
      <w:pPr>
        <w:ind w:right="1984"/>
        <w:rPr>
          <w:rFonts w:ascii="IBM Plex Sans" w:eastAsia="IBM Plex Sans" w:hAnsi="IBM Plex Sans" w:cs="IBM Plex Sans"/>
          <w:sz w:val="18"/>
          <w:szCs w:val="18"/>
          <w:lang w:val="en-ZA"/>
        </w:rPr>
      </w:pPr>
      <w:proofErr w:type="spellStart"/>
      <w:r w:rsidRPr="006656D6">
        <w:rPr>
          <w:rFonts w:ascii="IBM Plex Sans" w:eastAsia="IBM Plex Sans" w:hAnsi="IBM Plex Sans" w:cs="IBM Plex Sans"/>
          <w:sz w:val="18"/>
          <w:szCs w:val="18"/>
          <w:lang w:val="en-ZA"/>
        </w:rPr>
        <w:t>Sunotec</w:t>
      </w:r>
      <w:proofErr w:type="spellEnd"/>
      <w:r w:rsidRPr="006656D6">
        <w:rPr>
          <w:rFonts w:ascii="IBM Plex Sans" w:eastAsia="IBM Plex Sans" w:hAnsi="IBM Plex Sans" w:cs="IBM Plex Sans"/>
          <w:sz w:val="18"/>
          <w:szCs w:val="18"/>
          <w:lang w:val="en-ZA"/>
        </w:rPr>
        <w:t xml:space="preserve"> has established itself as one of Europe’s leading integrators of utility-scale solar and battery energy storage projects. The company has installed approximately 15 GW of solar capacity across multiple markets, including 5 GW of utility-scale solar and 5 GWh of battery energy storage systems (BESS) in the last two years alone as it capitalizes on the long-term tailwinds shaping the energy transition and electrification.</w:t>
      </w:r>
    </w:p>
    <w:p w14:paraId="1EF70BDF" w14:textId="77777777" w:rsidR="006656D6" w:rsidRPr="006656D6" w:rsidRDefault="006656D6" w:rsidP="006656D6">
      <w:pPr>
        <w:ind w:right="1984"/>
        <w:rPr>
          <w:rFonts w:ascii="IBM Plex Sans" w:eastAsia="IBM Plex Sans" w:hAnsi="IBM Plex Sans" w:cs="IBM Plex Sans"/>
          <w:sz w:val="18"/>
          <w:szCs w:val="18"/>
          <w:lang w:val="en-ZA"/>
        </w:rPr>
      </w:pPr>
    </w:p>
    <w:p w14:paraId="068F2FEC"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 xml:space="preserve">Moreover, </w:t>
      </w:r>
      <w:proofErr w:type="spellStart"/>
      <w:r w:rsidRPr="006656D6">
        <w:rPr>
          <w:rFonts w:ascii="IBM Plex Sans" w:eastAsia="IBM Plex Sans" w:hAnsi="IBM Plex Sans" w:cs="IBM Plex Sans"/>
          <w:sz w:val="18"/>
          <w:szCs w:val="18"/>
          <w:lang w:val="en-ZA"/>
        </w:rPr>
        <w:t>Sunotec</w:t>
      </w:r>
      <w:proofErr w:type="spellEnd"/>
      <w:r w:rsidRPr="006656D6">
        <w:rPr>
          <w:rFonts w:ascii="IBM Plex Sans" w:eastAsia="IBM Plex Sans" w:hAnsi="IBM Plex Sans" w:cs="IBM Plex Sans"/>
          <w:sz w:val="18"/>
          <w:szCs w:val="18"/>
          <w:lang w:val="en-ZA"/>
        </w:rPr>
        <w:t xml:space="preserve"> has developed a fast-growing regionally diversified energy infrastructure portfolio across renewable technologies and strategies, and has ambitious plans to capture further upside and proactively support Europe’s energy transition.</w:t>
      </w:r>
    </w:p>
    <w:p w14:paraId="3E2E3645" w14:textId="77777777" w:rsidR="006656D6" w:rsidRPr="006656D6" w:rsidRDefault="006656D6" w:rsidP="006656D6">
      <w:pPr>
        <w:ind w:right="1984"/>
        <w:rPr>
          <w:rFonts w:ascii="IBM Plex Sans" w:eastAsia="IBM Plex Sans" w:hAnsi="IBM Plex Sans" w:cs="IBM Plex Sans"/>
          <w:sz w:val="18"/>
          <w:szCs w:val="18"/>
          <w:lang w:val="en-ZA"/>
        </w:rPr>
      </w:pPr>
    </w:p>
    <w:p w14:paraId="0DE4BE20"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 xml:space="preserve">The partnership brings Blackstone’s thematic focus on areas such as digital and renewable energy infrastructure and electricity grid services together with </w:t>
      </w:r>
      <w:proofErr w:type="spellStart"/>
      <w:r w:rsidRPr="006656D6">
        <w:rPr>
          <w:rFonts w:ascii="IBM Plex Sans" w:eastAsia="IBM Plex Sans" w:hAnsi="IBM Plex Sans" w:cs="IBM Plex Sans"/>
          <w:sz w:val="18"/>
          <w:szCs w:val="18"/>
          <w:lang w:val="en-ZA"/>
        </w:rPr>
        <w:t>Sunotec’s</w:t>
      </w:r>
      <w:proofErr w:type="spellEnd"/>
      <w:r w:rsidRPr="006656D6">
        <w:rPr>
          <w:rFonts w:ascii="IBM Plex Sans" w:eastAsia="IBM Plex Sans" w:hAnsi="IBM Plex Sans" w:cs="IBM Plex Sans"/>
          <w:sz w:val="18"/>
          <w:szCs w:val="18"/>
          <w:lang w:val="en-ZA"/>
        </w:rPr>
        <w:t xml:space="preserve"> leading capabilities in the engineering, deployment, maintenance and operation of utility-scale solar and battery storage systems, as well as its expertise in integrating medium- and high-voltage grid infrastructure.</w:t>
      </w:r>
    </w:p>
    <w:p w14:paraId="1B5E88ED" w14:textId="77777777" w:rsidR="006656D6" w:rsidRPr="006656D6" w:rsidRDefault="006656D6" w:rsidP="006656D6">
      <w:pPr>
        <w:ind w:right="1984"/>
        <w:rPr>
          <w:rFonts w:ascii="IBM Plex Sans" w:eastAsia="IBM Plex Sans" w:hAnsi="IBM Plex Sans" w:cs="IBM Plex Sans"/>
          <w:sz w:val="18"/>
          <w:szCs w:val="18"/>
          <w:lang w:val="en-ZA"/>
        </w:rPr>
      </w:pPr>
    </w:p>
    <w:p w14:paraId="14B7A186" w14:textId="77777777" w:rsidR="006656D6" w:rsidRPr="006656D6" w:rsidRDefault="006656D6" w:rsidP="006656D6">
      <w:pPr>
        <w:ind w:right="1984"/>
        <w:rPr>
          <w:rFonts w:ascii="IBM Plex Sans" w:eastAsia="IBM Plex Sans" w:hAnsi="IBM Plex Sans" w:cs="IBM Plex Sans"/>
          <w:sz w:val="18"/>
          <w:szCs w:val="18"/>
          <w:lang w:val="en-ZA"/>
        </w:rPr>
      </w:pPr>
      <w:proofErr w:type="spellStart"/>
      <w:r w:rsidRPr="006656D6">
        <w:rPr>
          <w:rFonts w:ascii="IBM Plex Sans" w:eastAsia="IBM Plex Sans" w:hAnsi="IBM Plex Sans" w:cs="IBM Plex Sans"/>
          <w:sz w:val="18"/>
          <w:szCs w:val="18"/>
          <w:lang w:val="en-ZA"/>
        </w:rPr>
        <w:t>Sunotec’s</w:t>
      </w:r>
      <w:proofErr w:type="spellEnd"/>
      <w:r w:rsidRPr="006656D6">
        <w:rPr>
          <w:rFonts w:ascii="IBM Plex Sans" w:eastAsia="IBM Plex Sans" w:hAnsi="IBM Plex Sans" w:cs="IBM Plex Sans"/>
          <w:sz w:val="18"/>
          <w:szCs w:val="18"/>
          <w:lang w:val="en-ZA"/>
        </w:rPr>
        <w:t xml:space="preserve"> founders and leadership will remain majority shareholders and continue to control the company, its strategy and operations.</w:t>
      </w:r>
    </w:p>
    <w:p w14:paraId="63BC58B6" w14:textId="77777777" w:rsidR="006656D6" w:rsidRPr="006656D6" w:rsidRDefault="006656D6" w:rsidP="006656D6">
      <w:pPr>
        <w:ind w:right="1984"/>
        <w:rPr>
          <w:rFonts w:ascii="IBM Plex Sans" w:eastAsia="IBM Plex Sans" w:hAnsi="IBM Plex Sans" w:cs="IBM Plex Sans"/>
          <w:sz w:val="18"/>
          <w:szCs w:val="18"/>
          <w:lang w:val="en-ZA"/>
        </w:rPr>
      </w:pPr>
    </w:p>
    <w:p w14:paraId="4BA41F73" w14:textId="77777777" w:rsidR="006656D6" w:rsidRPr="006656D6" w:rsidRDefault="006656D6" w:rsidP="006656D6">
      <w:pPr>
        <w:ind w:right="1984"/>
        <w:rPr>
          <w:rFonts w:ascii="IBM Plex Sans" w:eastAsia="IBM Plex Sans" w:hAnsi="IBM Plex Sans" w:cs="IBM Plex Sans"/>
          <w:b/>
          <w:bCs/>
          <w:sz w:val="18"/>
          <w:szCs w:val="18"/>
          <w:lang w:val="en-ZA"/>
        </w:rPr>
      </w:pPr>
      <w:r w:rsidRPr="006656D6">
        <w:rPr>
          <w:rFonts w:ascii="IBM Plex Sans" w:eastAsia="IBM Plex Sans" w:hAnsi="IBM Plex Sans" w:cs="IBM Plex Sans"/>
          <w:b/>
          <w:bCs/>
          <w:sz w:val="18"/>
          <w:szCs w:val="18"/>
          <w:lang w:val="en-ZA"/>
        </w:rPr>
        <w:t>Kaloyan Velichkov, Founder and CEO of SUNOTEC, said:</w:t>
      </w:r>
    </w:p>
    <w:p w14:paraId="725756BE" w14:textId="77777777" w:rsidR="006656D6" w:rsidRPr="006656D6" w:rsidRDefault="006656D6" w:rsidP="006656D6">
      <w:pPr>
        <w:ind w:right="1984"/>
        <w:rPr>
          <w:rFonts w:ascii="IBM Plex Sans" w:eastAsia="IBM Plex Sans" w:hAnsi="IBM Plex Sans" w:cs="IBM Plex Sans"/>
          <w:sz w:val="18"/>
          <w:szCs w:val="18"/>
          <w:lang w:val="en-ZA"/>
        </w:rPr>
      </w:pPr>
    </w:p>
    <w:p w14:paraId="1BA79A4E"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 xml:space="preserve">“Blackstone’s investment marks an important milestone in </w:t>
      </w:r>
      <w:proofErr w:type="spellStart"/>
      <w:r w:rsidRPr="006656D6">
        <w:rPr>
          <w:rFonts w:ascii="IBM Plex Sans" w:eastAsia="IBM Plex Sans" w:hAnsi="IBM Plex Sans" w:cs="IBM Plex Sans"/>
          <w:sz w:val="18"/>
          <w:szCs w:val="18"/>
          <w:lang w:val="en-ZA"/>
        </w:rPr>
        <w:t>Sunotec’s</w:t>
      </w:r>
      <w:proofErr w:type="spellEnd"/>
      <w:r w:rsidRPr="006656D6">
        <w:rPr>
          <w:rFonts w:ascii="IBM Plex Sans" w:eastAsia="IBM Plex Sans" w:hAnsi="IBM Plex Sans" w:cs="IBM Plex Sans"/>
          <w:sz w:val="18"/>
          <w:szCs w:val="18"/>
          <w:lang w:val="en-ZA"/>
        </w:rPr>
        <w:t xml:space="preserve"> journey. Over the past 13 years, our team has built one of Europe’s leading large-scale solar and storage businesses through execution, speed and a relentless focus on delivery. With Blackstone as a partner, we will accelerate our expansion across Europe and enter selective new markets. At a time when the world’s energy transition needs faster deployment of renewable energy, battery storage and the grid infrastructure around it, this partnership gives us even greater capacity to deliver at scale.”</w:t>
      </w:r>
    </w:p>
    <w:p w14:paraId="07D76FBE" w14:textId="77777777" w:rsidR="006656D6" w:rsidRPr="006656D6" w:rsidRDefault="006656D6" w:rsidP="006656D6">
      <w:pPr>
        <w:ind w:right="1984"/>
        <w:rPr>
          <w:rFonts w:ascii="IBM Plex Sans" w:eastAsia="IBM Plex Sans" w:hAnsi="IBM Plex Sans" w:cs="IBM Plex Sans"/>
          <w:sz w:val="18"/>
          <w:szCs w:val="18"/>
          <w:lang w:val="en-ZA"/>
        </w:rPr>
      </w:pPr>
    </w:p>
    <w:p w14:paraId="6EE6717C" w14:textId="77777777" w:rsidR="006656D6" w:rsidRPr="006656D6" w:rsidRDefault="006656D6" w:rsidP="006656D6">
      <w:pPr>
        <w:ind w:right="1984"/>
        <w:rPr>
          <w:rFonts w:ascii="IBM Plex Sans" w:eastAsia="IBM Plex Sans" w:hAnsi="IBM Plex Sans" w:cs="IBM Plex Sans"/>
          <w:b/>
          <w:bCs/>
          <w:sz w:val="18"/>
          <w:szCs w:val="18"/>
          <w:lang w:val="en-ZA"/>
        </w:rPr>
      </w:pPr>
      <w:r w:rsidRPr="006656D6">
        <w:rPr>
          <w:rFonts w:ascii="IBM Plex Sans" w:eastAsia="IBM Plex Sans" w:hAnsi="IBM Plex Sans" w:cs="IBM Plex Sans"/>
          <w:b/>
          <w:bCs/>
          <w:sz w:val="18"/>
          <w:szCs w:val="18"/>
          <w:lang w:val="en-ZA"/>
        </w:rPr>
        <w:t>Amer Khatoun, Senior Managing Director, Blackstone Tactical Opportunities, said:</w:t>
      </w:r>
    </w:p>
    <w:p w14:paraId="199C9B5C" w14:textId="77777777" w:rsidR="006656D6" w:rsidRPr="006656D6" w:rsidRDefault="006656D6" w:rsidP="006656D6">
      <w:pPr>
        <w:ind w:right="1984"/>
        <w:rPr>
          <w:rFonts w:ascii="IBM Plex Sans" w:eastAsia="IBM Plex Sans" w:hAnsi="IBM Plex Sans" w:cs="IBM Plex Sans"/>
          <w:sz w:val="18"/>
          <w:szCs w:val="18"/>
          <w:lang w:val="en-ZA"/>
        </w:rPr>
      </w:pPr>
    </w:p>
    <w:p w14:paraId="2800CEE6"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lastRenderedPageBreak/>
        <w:t>“</w:t>
      </w:r>
      <w:proofErr w:type="spellStart"/>
      <w:r w:rsidRPr="006656D6">
        <w:rPr>
          <w:rFonts w:ascii="IBM Plex Sans" w:eastAsia="IBM Plex Sans" w:hAnsi="IBM Plex Sans" w:cs="IBM Plex Sans"/>
          <w:sz w:val="18"/>
          <w:szCs w:val="18"/>
          <w:lang w:val="en-ZA"/>
        </w:rPr>
        <w:t>Sunotec</w:t>
      </w:r>
      <w:proofErr w:type="spellEnd"/>
      <w:r w:rsidRPr="006656D6">
        <w:rPr>
          <w:rFonts w:ascii="IBM Plex Sans" w:eastAsia="IBM Plex Sans" w:hAnsi="IBM Plex Sans" w:cs="IBM Plex Sans"/>
          <w:sz w:val="18"/>
          <w:szCs w:val="18"/>
          <w:lang w:val="en-ZA"/>
        </w:rPr>
        <w:t xml:space="preserve"> has built a strong track record delivering and operating utility-scale solar and battery storage projects. We are delighted to partner with the company as it continues to scale its integrated platform, expand its operating asset base and deepen its grid infrastructure capabilities.”</w:t>
      </w:r>
    </w:p>
    <w:p w14:paraId="420E030E" w14:textId="77777777" w:rsidR="006656D6" w:rsidRPr="006656D6" w:rsidRDefault="006656D6" w:rsidP="006656D6">
      <w:pPr>
        <w:ind w:right="1984"/>
        <w:rPr>
          <w:rFonts w:ascii="IBM Plex Sans" w:eastAsia="IBM Plex Sans" w:hAnsi="IBM Plex Sans" w:cs="IBM Plex Sans"/>
          <w:sz w:val="18"/>
          <w:szCs w:val="18"/>
          <w:lang w:val="en-ZA"/>
        </w:rPr>
      </w:pPr>
    </w:p>
    <w:p w14:paraId="2E97FE16"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 xml:space="preserve">J.P. Morgan SE acted as Exclusive Financial Adviser and Sole Placement Agent to </w:t>
      </w:r>
      <w:proofErr w:type="spellStart"/>
      <w:r w:rsidRPr="006656D6">
        <w:rPr>
          <w:rFonts w:ascii="IBM Plex Sans" w:eastAsia="IBM Plex Sans" w:hAnsi="IBM Plex Sans" w:cs="IBM Plex Sans"/>
          <w:sz w:val="18"/>
          <w:szCs w:val="18"/>
          <w:lang w:val="en-ZA"/>
        </w:rPr>
        <w:t>Sunotec</w:t>
      </w:r>
      <w:proofErr w:type="spellEnd"/>
      <w:r w:rsidRPr="006656D6">
        <w:rPr>
          <w:rFonts w:ascii="IBM Plex Sans" w:eastAsia="IBM Plex Sans" w:hAnsi="IBM Plex Sans" w:cs="IBM Plex Sans"/>
          <w:sz w:val="18"/>
          <w:szCs w:val="18"/>
          <w:lang w:val="en-ZA"/>
        </w:rPr>
        <w:t xml:space="preserve">, with Linklaters and DGKV acting as Legal Advisors. </w:t>
      </w:r>
    </w:p>
    <w:p w14:paraId="17FB6F35" w14:textId="77777777" w:rsidR="006656D6" w:rsidRPr="006656D6" w:rsidRDefault="006656D6" w:rsidP="006656D6">
      <w:pPr>
        <w:ind w:right="1984"/>
        <w:rPr>
          <w:rFonts w:ascii="IBM Plex Sans" w:eastAsia="IBM Plex Sans" w:hAnsi="IBM Plex Sans" w:cs="IBM Plex Sans"/>
          <w:sz w:val="18"/>
          <w:szCs w:val="18"/>
          <w:lang w:val="en-ZA"/>
        </w:rPr>
      </w:pPr>
    </w:p>
    <w:p w14:paraId="23E5F63C"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Nomura Greentech acted as M&amp;A Adviser to Blackstone, with Kirkland &amp; Ellis LLP acting as the firm’s Legal Adviser.</w:t>
      </w:r>
    </w:p>
    <w:p w14:paraId="48241531" w14:textId="77777777" w:rsidR="006656D6" w:rsidRPr="006656D6" w:rsidRDefault="006656D6" w:rsidP="006656D6">
      <w:pPr>
        <w:ind w:right="1984"/>
        <w:rPr>
          <w:rFonts w:ascii="IBM Plex Sans" w:eastAsia="IBM Plex Sans" w:hAnsi="IBM Plex Sans" w:cs="IBM Plex Sans"/>
          <w:sz w:val="18"/>
          <w:szCs w:val="18"/>
          <w:lang w:val="en-ZA"/>
        </w:rPr>
      </w:pPr>
    </w:p>
    <w:p w14:paraId="2B4DD7E3"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 xml:space="preserve">The transaction is subject to regulatory approvals and is expected to close in H1 2026. </w:t>
      </w:r>
    </w:p>
    <w:p w14:paraId="645FE632" w14:textId="77777777" w:rsidR="006656D6" w:rsidRPr="006656D6" w:rsidRDefault="006656D6" w:rsidP="006656D6">
      <w:pPr>
        <w:ind w:right="1984"/>
        <w:rPr>
          <w:rFonts w:ascii="IBM Plex Sans" w:eastAsia="IBM Plex Sans" w:hAnsi="IBM Plex Sans" w:cs="IBM Plex Sans"/>
          <w:b/>
          <w:bCs/>
          <w:sz w:val="18"/>
          <w:szCs w:val="18"/>
          <w:lang w:val="en-ZA"/>
        </w:rPr>
      </w:pPr>
    </w:p>
    <w:p w14:paraId="49C9B358" w14:textId="77777777" w:rsidR="006656D6" w:rsidRPr="006656D6" w:rsidRDefault="006656D6" w:rsidP="006656D6">
      <w:pPr>
        <w:ind w:right="1984"/>
        <w:rPr>
          <w:rFonts w:ascii="IBM Plex Sans" w:eastAsia="IBM Plex Sans" w:hAnsi="IBM Plex Sans" w:cs="IBM Plex Sans"/>
          <w:b/>
          <w:bCs/>
          <w:sz w:val="18"/>
          <w:szCs w:val="18"/>
          <w:lang w:val="en-ZA"/>
        </w:rPr>
      </w:pPr>
    </w:p>
    <w:p w14:paraId="4E0EF7FC" w14:textId="77777777" w:rsidR="006656D6" w:rsidRPr="006656D6" w:rsidRDefault="006656D6" w:rsidP="006656D6">
      <w:pPr>
        <w:ind w:right="1984"/>
        <w:rPr>
          <w:rFonts w:ascii="IBM Plex Sans" w:eastAsia="IBM Plex Sans" w:hAnsi="IBM Plex Sans" w:cs="IBM Plex Sans"/>
          <w:b/>
          <w:bCs/>
          <w:sz w:val="18"/>
          <w:szCs w:val="18"/>
          <w:lang w:val="en-ZA"/>
        </w:rPr>
      </w:pPr>
      <w:r w:rsidRPr="006656D6">
        <w:rPr>
          <w:rFonts w:ascii="IBM Plex Sans" w:eastAsia="IBM Plex Sans" w:hAnsi="IBM Plex Sans" w:cs="IBM Plex Sans"/>
          <w:b/>
          <w:bCs/>
          <w:sz w:val="18"/>
          <w:szCs w:val="18"/>
          <w:lang w:val="en-ZA"/>
        </w:rPr>
        <w:t>About SUNOTEC</w:t>
      </w:r>
    </w:p>
    <w:p w14:paraId="2F4C6700" w14:textId="77777777" w:rsidR="006656D6" w:rsidRPr="006656D6" w:rsidRDefault="006656D6" w:rsidP="006656D6">
      <w:pPr>
        <w:ind w:right="1984"/>
        <w:rPr>
          <w:rFonts w:ascii="IBM Plex Sans" w:eastAsia="IBM Plex Sans" w:hAnsi="IBM Plex Sans" w:cs="IBM Plex Sans"/>
          <w:sz w:val="18"/>
          <w:szCs w:val="18"/>
          <w:lang w:val="en-ZA"/>
        </w:rPr>
      </w:pPr>
    </w:p>
    <w:p w14:paraId="2118266C"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SUNOTEC is an international system integrator of large-scale renewable energy infrastructure, specialising in the design and delivery of integrated energy systems. The company combines energy generation, storage, grid infrastructure and lifecycle expertise to create reliable and future-ready energy solutions.</w:t>
      </w:r>
    </w:p>
    <w:p w14:paraId="3686B249"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 xml:space="preserve"> </w:t>
      </w:r>
    </w:p>
    <w:p w14:paraId="68726512" w14:textId="77777777" w:rsidR="006656D6" w:rsidRPr="006656D6" w:rsidRDefault="006656D6" w:rsidP="006656D6">
      <w:pPr>
        <w:ind w:right="1984"/>
        <w:rPr>
          <w:rFonts w:ascii="IBM Plex Sans" w:eastAsia="IBM Plex Sans" w:hAnsi="IBM Plex Sans" w:cs="IBM Plex Sans"/>
          <w:sz w:val="18"/>
          <w:szCs w:val="18"/>
          <w:lang w:val="en-ZA"/>
        </w:rPr>
      </w:pPr>
      <w:r w:rsidRPr="006656D6">
        <w:rPr>
          <w:rFonts w:ascii="IBM Plex Sans" w:eastAsia="IBM Plex Sans" w:hAnsi="IBM Plex Sans" w:cs="IBM Plex Sans"/>
          <w:sz w:val="18"/>
          <w:szCs w:val="18"/>
          <w:lang w:val="en-ZA"/>
        </w:rPr>
        <w:t>Founded in 2012, SUNOTEC has delivered more than 680 photovoltaic installations with over 15 gigawatts of installed capacity and 5 GWh of battery energy storage projects across Europe and beyond. Headquartered in Sofia, Bulgaria, with additional offices in Germany and the United Kingdom, the company combines international expertise with local execution. SUNOTEC employs over 2,000 professionals worldwide and continues to expand into new markets through strategic partnerships and joint ventures.</w:t>
      </w:r>
    </w:p>
    <w:p w14:paraId="079C597B" w14:textId="77777777" w:rsidR="006656D6" w:rsidRDefault="006656D6" w:rsidP="006656D6">
      <w:pPr>
        <w:ind w:right="1984"/>
        <w:rPr>
          <w:rFonts w:ascii="IBM Plex Sans" w:eastAsia="IBM Plex Sans" w:hAnsi="IBM Plex Sans" w:cs="IBM Plex Sans"/>
          <w:sz w:val="18"/>
          <w:szCs w:val="18"/>
          <w:lang w:val="en-ZA"/>
        </w:rPr>
      </w:pPr>
    </w:p>
    <w:p w14:paraId="24A7BC3A" w14:textId="77777777" w:rsidR="006656D6" w:rsidRPr="006656D6" w:rsidRDefault="006656D6" w:rsidP="006656D6">
      <w:pPr>
        <w:ind w:right="1984"/>
        <w:rPr>
          <w:rFonts w:ascii="IBM Plex Sans" w:eastAsia="IBM Plex Sans" w:hAnsi="IBM Plex Sans" w:cs="IBM Plex Sans"/>
          <w:sz w:val="18"/>
          <w:szCs w:val="18"/>
          <w:lang w:val="en-ZA"/>
        </w:rPr>
      </w:pPr>
    </w:p>
    <w:p w14:paraId="1421736A" w14:textId="77777777" w:rsidR="006656D6" w:rsidRPr="006656D6" w:rsidRDefault="006656D6" w:rsidP="006656D6">
      <w:pPr>
        <w:ind w:right="1984"/>
        <w:rPr>
          <w:rFonts w:ascii="IBM Plex Sans" w:eastAsia="IBM Plex Sans" w:hAnsi="IBM Plex Sans" w:cs="IBM Plex Sans"/>
          <w:b/>
          <w:bCs/>
          <w:sz w:val="18"/>
          <w:szCs w:val="18"/>
          <w:lang w:val="en-ZA"/>
        </w:rPr>
      </w:pPr>
      <w:r w:rsidRPr="006656D6">
        <w:rPr>
          <w:rFonts w:ascii="IBM Plex Sans" w:eastAsia="IBM Plex Sans" w:hAnsi="IBM Plex Sans" w:cs="IBM Plex Sans"/>
          <w:b/>
          <w:bCs/>
          <w:sz w:val="18"/>
          <w:szCs w:val="18"/>
          <w:lang w:val="en-ZA"/>
        </w:rPr>
        <w:t xml:space="preserve">About Blackstone </w:t>
      </w:r>
    </w:p>
    <w:p w14:paraId="62557808" w14:textId="77777777" w:rsidR="006656D6" w:rsidRPr="006656D6" w:rsidRDefault="006656D6" w:rsidP="006656D6">
      <w:pPr>
        <w:ind w:right="1984"/>
        <w:rPr>
          <w:rFonts w:ascii="IBM Plex Sans" w:eastAsia="IBM Plex Sans" w:hAnsi="IBM Plex Sans" w:cs="IBM Plex Sans"/>
          <w:sz w:val="18"/>
          <w:szCs w:val="18"/>
          <w:lang w:val="en-ZA"/>
        </w:rPr>
      </w:pPr>
    </w:p>
    <w:p w14:paraId="2860A801" w14:textId="01FF10D6" w:rsidR="009C54FE" w:rsidRPr="006656D6" w:rsidRDefault="006656D6" w:rsidP="006656D6">
      <w:pPr>
        <w:ind w:right="1984"/>
        <w:rPr>
          <w:rFonts w:ascii="IBM Plex Sans" w:hAnsi="IBM Plex Sans"/>
          <w:sz w:val="18"/>
          <w:szCs w:val="18"/>
          <w:lang w:val="en-ZA"/>
        </w:rPr>
      </w:pPr>
      <w:r w:rsidRPr="006656D6">
        <w:rPr>
          <w:rFonts w:ascii="IBM Plex Sans" w:eastAsia="IBM Plex Sans" w:hAnsi="IBM Plex Sans" w:cs="IBM Plex Sans"/>
          <w:sz w:val="18"/>
          <w:szCs w:val="18"/>
          <w:lang w:val="en-ZA"/>
        </w:rPr>
        <w:t>Blackstone is the world’s largest alternative asset manager. Blackstone seeks to deliver compelling returns for institutional and individual investors by strengthening the companies in which the firm invests. Blackstone’s $1.3 trillion in assets under management include global investment strategies focused on real estate, private equity, credit, infrastructure, life sciences, growth equity, secondaries and hedge funds. Further information is available at www.blackstone.com. Follow @blackstone on LinkedIn, X (Twitter), and Instagram.</w:t>
      </w:r>
    </w:p>
    <w:p w14:paraId="1F19FDA4" w14:textId="77777777" w:rsidR="009C54FE" w:rsidRPr="006656D6" w:rsidRDefault="009C54FE">
      <w:pPr>
        <w:tabs>
          <w:tab w:val="left" w:pos="4253"/>
          <w:tab w:val="left" w:pos="4678"/>
        </w:tabs>
        <w:rPr>
          <w:rFonts w:ascii="IBM Plex Sans" w:hAnsi="IBM Plex Sans"/>
          <w:sz w:val="18"/>
          <w:szCs w:val="18"/>
          <w:lang w:val="en-ZA"/>
        </w:rPr>
      </w:pPr>
    </w:p>
    <w:p w14:paraId="432436CC" w14:textId="77777777" w:rsidR="67135285" w:rsidRPr="006656D6" w:rsidRDefault="67135285" w:rsidP="67135285">
      <w:pPr>
        <w:tabs>
          <w:tab w:val="left" w:pos="4253"/>
          <w:tab w:val="left" w:pos="4678"/>
        </w:tabs>
        <w:rPr>
          <w:rFonts w:ascii="IBM Plex Sans" w:hAnsi="IBM Plex Sans"/>
          <w:sz w:val="18"/>
          <w:szCs w:val="18"/>
          <w:lang w:val="en-ZA"/>
        </w:rPr>
      </w:pPr>
    </w:p>
    <w:p w14:paraId="5F570F1E" w14:textId="77777777" w:rsidR="009C54FE" w:rsidRPr="006565D3" w:rsidRDefault="00240480">
      <w:pPr>
        <w:ind w:right="1984"/>
        <w:rPr>
          <w:rFonts w:ascii="IBM Plex Sans" w:hAnsi="IBM Plex Sans"/>
          <w:b/>
          <w:bCs/>
          <w:sz w:val="18"/>
          <w:szCs w:val="18"/>
          <w:lang w:val="en-GB"/>
        </w:rPr>
      </w:pPr>
      <w:r w:rsidRPr="006565D3">
        <w:rPr>
          <w:rFonts w:ascii="IBM Plex Sans" w:hAnsi="IBM Plex Sans"/>
          <w:b/>
          <w:bCs/>
          <w:sz w:val="18"/>
          <w:szCs w:val="18"/>
          <w:lang w:val="en-GB"/>
        </w:rPr>
        <w:t>PRESS CONTACT</w:t>
      </w:r>
    </w:p>
    <w:p w14:paraId="29EBD807" w14:textId="77777777" w:rsidR="009C54FE" w:rsidRPr="006565D3" w:rsidRDefault="009C54FE">
      <w:pPr>
        <w:ind w:right="1984"/>
        <w:rPr>
          <w:rFonts w:ascii="IBM Plex Sans" w:hAnsi="IBM Plex Sans"/>
          <w:sz w:val="18"/>
          <w:szCs w:val="18"/>
          <w:lang w:val="en-GB"/>
        </w:rPr>
      </w:pPr>
    </w:p>
    <w:p w14:paraId="57CB4E1F" w14:textId="425CCCC5" w:rsidR="266AE069" w:rsidRPr="00346DE0" w:rsidRDefault="00383D87" w:rsidP="67135285">
      <w:pPr>
        <w:ind w:right="1984"/>
        <w:rPr>
          <w:rFonts w:ascii="IBM Plex Sans" w:hAnsi="IBM Plex Sans"/>
          <w:sz w:val="18"/>
          <w:szCs w:val="18"/>
          <w:lang w:val="en-ZA"/>
        </w:rPr>
      </w:pPr>
      <w:r>
        <w:rPr>
          <w:rFonts w:ascii="IBM Plex Sans" w:hAnsi="IBM Plex Sans"/>
          <w:sz w:val="18"/>
          <w:szCs w:val="18"/>
          <w:lang w:val="en-ZA"/>
        </w:rPr>
        <w:t>SUNOTEC Pess</w:t>
      </w:r>
      <w:r w:rsidR="00705C2A">
        <w:rPr>
          <w:rFonts w:ascii="IBM Plex Sans" w:hAnsi="IBM Plex Sans"/>
          <w:sz w:val="18"/>
          <w:szCs w:val="18"/>
          <w:lang w:val="en-ZA"/>
        </w:rPr>
        <w:t xml:space="preserve"> Office</w:t>
      </w:r>
    </w:p>
    <w:p w14:paraId="47B1FE4C" w14:textId="60B59E40" w:rsidR="009C54FE" w:rsidRPr="006656D6" w:rsidRDefault="266AE069">
      <w:pPr>
        <w:ind w:right="1984"/>
        <w:rPr>
          <w:sz w:val="18"/>
          <w:szCs w:val="18"/>
          <w:lang w:val="en-ZA"/>
        </w:rPr>
      </w:pPr>
      <w:r w:rsidRPr="006656D6">
        <w:rPr>
          <w:rFonts w:ascii="IBM Plex Sans" w:hAnsi="IBM Plex Sans"/>
          <w:sz w:val="18"/>
          <w:szCs w:val="18"/>
          <w:lang w:val="en-ZA"/>
        </w:rPr>
        <w:t xml:space="preserve">E-mail: </w:t>
      </w:r>
      <w:hyperlink r:id="rId10" w:history="1">
        <w:r w:rsidR="006565D3" w:rsidRPr="006656D6">
          <w:rPr>
            <w:rStyle w:val="Hyperlink"/>
            <w:rFonts w:ascii="IBM Plex Sans" w:hAnsi="IBM Plex Sans"/>
            <w:sz w:val="18"/>
            <w:szCs w:val="18"/>
            <w:lang w:val="en-ZA"/>
          </w:rPr>
          <w:t>press@sunotec-group.com</w:t>
        </w:r>
      </w:hyperlink>
    </w:p>
    <w:sectPr w:rsidR="009C54FE" w:rsidRPr="006656D6">
      <w:headerReference w:type="default" r:id="rId11"/>
      <w:footerReference w:type="default" r:id="rId12"/>
      <w:pgSz w:w="11906" w:h="16838"/>
      <w:pgMar w:top="2694" w:right="1417" w:bottom="1170" w:left="1417" w:header="1135"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D458A" w14:textId="77777777" w:rsidR="000B1A35" w:rsidRDefault="000B1A35">
      <w:r>
        <w:separator/>
      </w:r>
    </w:p>
  </w:endnote>
  <w:endnote w:type="continuationSeparator" w:id="0">
    <w:p w14:paraId="30D6A099" w14:textId="77777777" w:rsidR="000B1A35" w:rsidRDefault="000B1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30B7" w14:textId="77777777" w:rsidR="009D57E0" w:rsidRDefault="009D57E0">
    <w:pPr>
      <w:pStyle w:val="scfFu1-4"/>
      <w:jc w:val="center"/>
      <w:rPr>
        <w:rFonts w:ascii="Tahoma" w:hAnsi="Tahoma" w:cs="Tahoma"/>
        <w:b/>
        <w:lang w:val="en-GB"/>
      </w:rPr>
    </w:pPr>
  </w:p>
  <w:p w14:paraId="5505DC28" w14:textId="4ABD0966" w:rsidR="67135285" w:rsidRDefault="67135285" w:rsidP="67135285">
    <w:pPr>
      <w:pStyle w:val="scfFu1-4"/>
      <w:rPr>
        <w:rFonts w:ascii="IBM Plex Sans" w:hAnsi="IBM Plex Sans" w:cs="Tahoma"/>
        <w:b/>
        <w:bCs/>
        <w:lang w:val="en-GB"/>
      </w:rPr>
    </w:pPr>
    <w:r w:rsidRPr="67135285">
      <w:rPr>
        <w:rFonts w:ascii="IBM Plex Sans" w:hAnsi="IBM Plex Sans" w:cs="Tahoma"/>
        <w:b/>
        <w:bCs/>
        <w:lang w:val="en-GB"/>
      </w:rPr>
      <w:t xml:space="preserve">SUNOTEC | </w:t>
    </w:r>
    <w:bookmarkStart w:id="0" w:name="scf_Fuss11"/>
    <w:bookmarkEnd w:id="0"/>
    <w:r w:rsidR="006565D3">
      <w:rPr>
        <w:rFonts w:ascii="IBM Plex Sans" w:hAnsi="IBM Plex Sans" w:cs="Tahoma"/>
        <w:b/>
        <w:bCs/>
        <w:lang w:val="en-GB"/>
      </w:rPr>
      <w:t>ENERGY AS A SYSTEM</w:t>
    </w:r>
  </w:p>
  <w:p w14:paraId="7900200A" w14:textId="1BBC5E11" w:rsidR="009D57E0" w:rsidRDefault="009D57E0">
    <w:pPr>
      <w:pStyle w:val="Footer"/>
      <w:jc w:val="center"/>
      <w:rPr>
        <w:rFonts w:ascii="Calibri" w:hAnsi="Calibri" w:cs="Calibri"/>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AA610" w14:textId="77777777" w:rsidR="000B1A35" w:rsidRDefault="000B1A35">
      <w:r>
        <w:rPr>
          <w:color w:val="000000"/>
        </w:rPr>
        <w:separator/>
      </w:r>
    </w:p>
  </w:footnote>
  <w:footnote w:type="continuationSeparator" w:id="0">
    <w:p w14:paraId="24C505D9" w14:textId="77777777" w:rsidR="000B1A35" w:rsidRDefault="000B1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D4C19" w14:textId="77777777" w:rsidR="009D57E0" w:rsidRDefault="00240480">
    <w:pPr>
      <w:pStyle w:val="Header"/>
      <w:tabs>
        <w:tab w:val="clear" w:pos="4536"/>
        <w:tab w:val="center" w:pos="6120"/>
      </w:tabs>
    </w:pPr>
    <w:r>
      <w:rPr>
        <w:noProof/>
      </w:rPr>
      <w:drawing>
        <wp:anchor distT="0" distB="0" distL="114300" distR="114300" simplePos="0" relativeHeight="251658240" behindDoc="0" locked="0" layoutInCell="1" allowOverlap="1" wp14:anchorId="18068D9B" wp14:editId="4E7343DB">
          <wp:simplePos x="0" y="0"/>
          <wp:positionH relativeFrom="margin">
            <wp:posOffset>4199894</wp:posOffset>
          </wp:positionH>
          <wp:positionV relativeFrom="paragraph">
            <wp:posOffset>-255529</wp:posOffset>
          </wp:positionV>
          <wp:extent cx="1627503" cy="356231"/>
          <wp:effectExtent l="0" t="0" r="0" b="0"/>
          <wp:wrapTight wrapText="bothSides">
            <wp:wrapPolygon edited="0">
              <wp:start x="0" y="0"/>
              <wp:lineTo x="0" y="20792"/>
              <wp:lineTo x="6068" y="20792"/>
              <wp:lineTo x="21406" y="16941"/>
              <wp:lineTo x="21406" y="12321"/>
              <wp:lineTo x="20395" y="12321"/>
              <wp:lineTo x="21406" y="8471"/>
              <wp:lineTo x="21406" y="4620"/>
              <wp:lineTo x="6068" y="0"/>
              <wp:lineTo x="0" y="0"/>
            </wp:wrapPolygon>
          </wp:wrapTight>
          <wp:docPr id="1967390553" name="Picture 18309359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27503" cy="356231"/>
                  </a:xfrm>
                  <a:prstGeom prst="rect">
                    <a:avLst/>
                  </a:prstGeom>
                  <a:noFill/>
                  <a:ln>
                    <a:noFill/>
                    <a:prstDash/>
                  </a:ln>
                </pic:spPr>
              </pic:pic>
            </a:graphicData>
          </a:graphic>
        </wp:anchor>
      </w:drawing>
    </w:r>
  </w:p>
  <w:p w14:paraId="5F3D4B53" w14:textId="77777777" w:rsidR="009D57E0" w:rsidRDefault="009D57E0">
    <w:pPr>
      <w:pStyle w:val="Header"/>
      <w:tabs>
        <w:tab w:val="clear" w:pos="4536"/>
        <w:tab w:val="center" w:pos="6120"/>
      </w:tabs>
      <w:jc w:val="right"/>
      <w:rPr>
        <w:rFonts w:ascii="IBM Plex Sans" w:hAnsi="IBM Plex Sans"/>
        <w:sz w:val="16"/>
        <w:szCs w:val="16"/>
      </w:rPr>
    </w:pPr>
  </w:p>
  <w:p w14:paraId="4D7F8CBD" w14:textId="77777777" w:rsidR="009D57E0" w:rsidRDefault="00240480">
    <w:pPr>
      <w:pStyle w:val="Header"/>
      <w:tabs>
        <w:tab w:val="clear" w:pos="4536"/>
        <w:tab w:val="center" w:pos="6120"/>
      </w:tabs>
      <w:jc w:val="right"/>
    </w:pPr>
    <w:r>
      <w:rPr>
        <w:rFonts w:ascii="IBM Plex Sans" w:hAnsi="IBM Plex Sans"/>
        <w:sz w:val="16"/>
        <w:szCs w:val="16"/>
      </w:rPr>
      <w:t xml:space="preserve">Page </w:t>
    </w:r>
    <w:r>
      <w:rPr>
        <w:rFonts w:ascii="IBM Plex Sans" w:hAnsi="IBM Plex Sans"/>
        <w:sz w:val="16"/>
        <w:szCs w:val="16"/>
      </w:rPr>
      <w:fldChar w:fldCharType="begin"/>
    </w:r>
    <w:r>
      <w:rPr>
        <w:rFonts w:ascii="IBM Plex Sans" w:hAnsi="IBM Plex Sans"/>
        <w:sz w:val="16"/>
        <w:szCs w:val="16"/>
      </w:rPr>
      <w:instrText xml:space="preserve"> PAGE </w:instrText>
    </w:r>
    <w:r>
      <w:rPr>
        <w:rFonts w:ascii="IBM Plex Sans" w:hAnsi="IBM Plex Sans"/>
        <w:sz w:val="16"/>
        <w:szCs w:val="16"/>
      </w:rPr>
      <w:fldChar w:fldCharType="separate"/>
    </w:r>
    <w:r>
      <w:rPr>
        <w:rFonts w:ascii="IBM Plex Sans" w:hAnsi="IBM Plex Sans"/>
        <w:sz w:val="16"/>
        <w:szCs w:val="16"/>
      </w:rPr>
      <w:t>1</w:t>
    </w:r>
    <w:r>
      <w:rPr>
        <w:rFonts w:ascii="IBM Plex Sans" w:hAnsi="IBM Plex Sans"/>
        <w:sz w:val="16"/>
        <w:szCs w:val="16"/>
      </w:rPr>
      <w:fldChar w:fldCharType="end"/>
    </w:r>
    <w:r>
      <w:rPr>
        <w:rFonts w:ascii="IBM Plex Sans" w:hAnsi="IBM Plex Sans"/>
        <w:sz w:val="16"/>
        <w:szCs w:val="16"/>
      </w:rPr>
      <w:t>/2</w:t>
    </w:r>
  </w:p>
  <w:p w14:paraId="3147037B" w14:textId="77777777" w:rsidR="009D57E0" w:rsidRDefault="009D57E0">
    <w:pPr>
      <w:pStyle w:val="Header"/>
      <w:tabs>
        <w:tab w:val="clear" w:pos="4536"/>
        <w:tab w:val="center" w:pos="6120"/>
      </w:tabs>
      <w:jc w:val="right"/>
    </w:pPr>
  </w:p>
  <w:p w14:paraId="0C5D50D7" w14:textId="77777777" w:rsidR="009D57E0" w:rsidRDefault="00240480">
    <w:pPr>
      <w:pStyle w:val="Header"/>
      <w:tabs>
        <w:tab w:val="clear" w:pos="4536"/>
        <w:tab w:val="center" w:pos="6120"/>
      </w:tabs>
      <w:rPr>
        <w:rFonts w:ascii="IBM Plex Sans" w:hAnsi="IBM Plex Sans"/>
        <w:b/>
        <w:bCs/>
        <w:sz w:val="32"/>
        <w:szCs w:val="32"/>
      </w:rPr>
    </w:pPr>
    <w:r>
      <w:rPr>
        <w:rFonts w:ascii="IBM Plex Sans" w:hAnsi="IBM Plex Sans"/>
        <w:b/>
        <w:bCs/>
        <w:sz w:val="32"/>
        <w:szCs w:val="32"/>
      </w:rPr>
      <w:t>Press Release</w:t>
    </w:r>
  </w:p>
  <w:p w14:paraId="72F302B2" w14:textId="77777777" w:rsidR="009D57E0" w:rsidRDefault="009D57E0">
    <w:pPr>
      <w:pStyle w:val="Header"/>
      <w:tabs>
        <w:tab w:val="clear" w:pos="4536"/>
        <w:tab w:val="center" w:pos="6120"/>
      </w:tabs>
    </w:pPr>
  </w:p>
  <w:p w14:paraId="6FBB6883" w14:textId="77777777" w:rsidR="009D57E0" w:rsidRDefault="009D57E0">
    <w:pPr>
      <w:pStyle w:val="Header"/>
      <w:tabs>
        <w:tab w:val="clear" w:pos="4536"/>
        <w:tab w:val="center" w:pos="612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2931"/>
    <w:multiLevelType w:val="hybridMultilevel"/>
    <w:tmpl w:val="855C9E1C"/>
    <w:lvl w:ilvl="0" w:tplc="305479CC">
      <w:start w:val="1"/>
      <w:numFmt w:val="bullet"/>
      <w:lvlText w:val=""/>
      <w:lvlJc w:val="left"/>
      <w:pPr>
        <w:ind w:left="720" w:hanging="360"/>
      </w:pPr>
      <w:rPr>
        <w:rFonts w:ascii="Symbol" w:hAnsi="Symbol" w:hint="default"/>
      </w:rPr>
    </w:lvl>
    <w:lvl w:ilvl="1" w:tplc="1500F360">
      <w:start w:val="1"/>
      <w:numFmt w:val="bullet"/>
      <w:lvlText w:val="o"/>
      <w:lvlJc w:val="left"/>
      <w:pPr>
        <w:ind w:left="1440" w:hanging="360"/>
      </w:pPr>
      <w:rPr>
        <w:rFonts w:ascii="Courier New" w:hAnsi="Courier New" w:hint="default"/>
      </w:rPr>
    </w:lvl>
    <w:lvl w:ilvl="2" w:tplc="5A225F68">
      <w:start w:val="1"/>
      <w:numFmt w:val="bullet"/>
      <w:lvlText w:val=""/>
      <w:lvlJc w:val="left"/>
      <w:pPr>
        <w:ind w:left="2160" w:hanging="360"/>
      </w:pPr>
      <w:rPr>
        <w:rFonts w:ascii="Wingdings" w:hAnsi="Wingdings" w:hint="default"/>
      </w:rPr>
    </w:lvl>
    <w:lvl w:ilvl="3" w:tplc="AA18F59C">
      <w:start w:val="1"/>
      <w:numFmt w:val="bullet"/>
      <w:lvlText w:val=""/>
      <w:lvlJc w:val="left"/>
      <w:pPr>
        <w:ind w:left="2880" w:hanging="360"/>
      </w:pPr>
      <w:rPr>
        <w:rFonts w:ascii="Symbol" w:hAnsi="Symbol" w:hint="default"/>
      </w:rPr>
    </w:lvl>
    <w:lvl w:ilvl="4" w:tplc="08F2754C">
      <w:start w:val="1"/>
      <w:numFmt w:val="bullet"/>
      <w:lvlText w:val="o"/>
      <w:lvlJc w:val="left"/>
      <w:pPr>
        <w:ind w:left="3600" w:hanging="360"/>
      </w:pPr>
      <w:rPr>
        <w:rFonts w:ascii="Courier New" w:hAnsi="Courier New" w:hint="default"/>
      </w:rPr>
    </w:lvl>
    <w:lvl w:ilvl="5" w:tplc="7D5C9968">
      <w:start w:val="1"/>
      <w:numFmt w:val="bullet"/>
      <w:lvlText w:val=""/>
      <w:lvlJc w:val="left"/>
      <w:pPr>
        <w:ind w:left="4320" w:hanging="360"/>
      </w:pPr>
      <w:rPr>
        <w:rFonts w:ascii="Wingdings" w:hAnsi="Wingdings" w:hint="default"/>
      </w:rPr>
    </w:lvl>
    <w:lvl w:ilvl="6" w:tplc="AD3C60B6">
      <w:start w:val="1"/>
      <w:numFmt w:val="bullet"/>
      <w:lvlText w:val=""/>
      <w:lvlJc w:val="left"/>
      <w:pPr>
        <w:ind w:left="5040" w:hanging="360"/>
      </w:pPr>
      <w:rPr>
        <w:rFonts w:ascii="Symbol" w:hAnsi="Symbol" w:hint="default"/>
      </w:rPr>
    </w:lvl>
    <w:lvl w:ilvl="7" w:tplc="A51CA5A0">
      <w:start w:val="1"/>
      <w:numFmt w:val="bullet"/>
      <w:lvlText w:val="o"/>
      <w:lvlJc w:val="left"/>
      <w:pPr>
        <w:ind w:left="5760" w:hanging="360"/>
      </w:pPr>
      <w:rPr>
        <w:rFonts w:ascii="Courier New" w:hAnsi="Courier New" w:hint="default"/>
      </w:rPr>
    </w:lvl>
    <w:lvl w:ilvl="8" w:tplc="93105B1E">
      <w:start w:val="1"/>
      <w:numFmt w:val="bullet"/>
      <w:lvlText w:val=""/>
      <w:lvlJc w:val="left"/>
      <w:pPr>
        <w:ind w:left="6480" w:hanging="360"/>
      </w:pPr>
      <w:rPr>
        <w:rFonts w:ascii="Wingdings" w:hAnsi="Wingdings" w:hint="default"/>
      </w:rPr>
    </w:lvl>
  </w:abstractNum>
  <w:num w:numId="1" w16cid:durableId="2112625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attachedTemplate r:id="rId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4E4"/>
    <w:rsid w:val="000B1A35"/>
    <w:rsid w:val="0011792A"/>
    <w:rsid w:val="0019411C"/>
    <w:rsid w:val="001A2D2A"/>
    <w:rsid w:val="002238A2"/>
    <w:rsid w:val="00240480"/>
    <w:rsid w:val="003444E4"/>
    <w:rsid w:val="00346DE0"/>
    <w:rsid w:val="00383D87"/>
    <w:rsid w:val="003866A5"/>
    <w:rsid w:val="004A1607"/>
    <w:rsid w:val="004B17BD"/>
    <w:rsid w:val="004C33AA"/>
    <w:rsid w:val="006565D3"/>
    <w:rsid w:val="006656D6"/>
    <w:rsid w:val="00705C2A"/>
    <w:rsid w:val="00831404"/>
    <w:rsid w:val="008B950E"/>
    <w:rsid w:val="008F1875"/>
    <w:rsid w:val="009C54FE"/>
    <w:rsid w:val="009D57E0"/>
    <w:rsid w:val="00C535F7"/>
    <w:rsid w:val="00D91500"/>
    <w:rsid w:val="00E17865"/>
    <w:rsid w:val="00ED28F8"/>
    <w:rsid w:val="00FC623C"/>
    <w:rsid w:val="00FE1E17"/>
    <w:rsid w:val="018EBF59"/>
    <w:rsid w:val="018FA779"/>
    <w:rsid w:val="01BEE667"/>
    <w:rsid w:val="030F753D"/>
    <w:rsid w:val="04A31482"/>
    <w:rsid w:val="0575DBA3"/>
    <w:rsid w:val="07C026EE"/>
    <w:rsid w:val="0AC65FB2"/>
    <w:rsid w:val="0D5111C5"/>
    <w:rsid w:val="0F3EAA3D"/>
    <w:rsid w:val="109FA23B"/>
    <w:rsid w:val="10C2F055"/>
    <w:rsid w:val="16B402E2"/>
    <w:rsid w:val="17452970"/>
    <w:rsid w:val="1862B070"/>
    <w:rsid w:val="18DBA5BB"/>
    <w:rsid w:val="1AF5C12A"/>
    <w:rsid w:val="1B07F0D7"/>
    <w:rsid w:val="1BA7AF39"/>
    <w:rsid w:val="1BBE71F2"/>
    <w:rsid w:val="1C0C4489"/>
    <w:rsid w:val="1DBDA5AE"/>
    <w:rsid w:val="1DF83672"/>
    <w:rsid w:val="20695601"/>
    <w:rsid w:val="207E6F0D"/>
    <w:rsid w:val="22C3F094"/>
    <w:rsid w:val="22DB75E0"/>
    <w:rsid w:val="23537DE6"/>
    <w:rsid w:val="266AE069"/>
    <w:rsid w:val="2733609D"/>
    <w:rsid w:val="276D4193"/>
    <w:rsid w:val="27708CC8"/>
    <w:rsid w:val="29CE0EC9"/>
    <w:rsid w:val="2C5E2889"/>
    <w:rsid w:val="2EB7A6D4"/>
    <w:rsid w:val="304AE03F"/>
    <w:rsid w:val="31527A32"/>
    <w:rsid w:val="316DC1AF"/>
    <w:rsid w:val="33131DC2"/>
    <w:rsid w:val="335F99FC"/>
    <w:rsid w:val="361C2D45"/>
    <w:rsid w:val="3730A46B"/>
    <w:rsid w:val="373E96D6"/>
    <w:rsid w:val="3844FE18"/>
    <w:rsid w:val="3B9E64B8"/>
    <w:rsid w:val="3D427A02"/>
    <w:rsid w:val="3D78AFC2"/>
    <w:rsid w:val="3DC538E8"/>
    <w:rsid w:val="42C3F5C9"/>
    <w:rsid w:val="447FEC1C"/>
    <w:rsid w:val="45F7EDE7"/>
    <w:rsid w:val="464E7EAB"/>
    <w:rsid w:val="49E67DAC"/>
    <w:rsid w:val="49FB4222"/>
    <w:rsid w:val="4B9541AC"/>
    <w:rsid w:val="4B9D138E"/>
    <w:rsid w:val="4E0CCD44"/>
    <w:rsid w:val="4FF44C1F"/>
    <w:rsid w:val="50B2DB67"/>
    <w:rsid w:val="5135A94C"/>
    <w:rsid w:val="5543B26D"/>
    <w:rsid w:val="5674AA0D"/>
    <w:rsid w:val="5D30D34B"/>
    <w:rsid w:val="63EFA440"/>
    <w:rsid w:val="650276BB"/>
    <w:rsid w:val="6625245C"/>
    <w:rsid w:val="67135285"/>
    <w:rsid w:val="68EFFB3A"/>
    <w:rsid w:val="69BCA86F"/>
    <w:rsid w:val="6A60B2DF"/>
    <w:rsid w:val="6C015EF6"/>
    <w:rsid w:val="6EFD0815"/>
    <w:rsid w:val="6FBC7204"/>
    <w:rsid w:val="70D20596"/>
    <w:rsid w:val="71ACAB2B"/>
    <w:rsid w:val="746D4AE2"/>
    <w:rsid w:val="748BF0FF"/>
    <w:rsid w:val="76442E16"/>
    <w:rsid w:val="777A8F17"/>
    <w:rsid w:val="778C2258"/>
    <w:rsid w:val="79AEFF49"/>
    <w:rsid w:val="7C4AA4A2"/>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EE25"/>
  <w15:docId w15:val="{06A953EB-F9D8-CA44-BA01-76B746F5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ucida Sans" w:hAnsi="Lucida Sans"/>
    </w:rPr>
  </w:style>
  <w:style w:type="paragraph" w:styleId="Heading1">
    <w:name w:val="heading 1"/>
    <w:basedOn w:val="Normal"/>
    <w:next w:val="Normal"/>
    <w:uiPriority w:val="9"/>
    <w:qFormat/>
    <w:pPr>
      <w:keepNext/>
      <w:keepLines/>
      <w:spacing w:before="240"/>
      <w:outlineLvl w:val="0"/>
    </w:pPr>
    <w:rPr>
      <w:rFonts w:ascii="Cambria" w:eastAsia="MS Gothic"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rPr>
      <w:rFonts w:ascii="Tahoma" w:hAnsi="Tahoma" w:cs="Tahoma"/>
      <w:sz w:val="16"/>
      <w:szCs w:val="16"/>
    </w:rPr>
  </w:style>
  <w:style w:type="character" w:customStyle="1" w:styleId="FooterChar">
    <w:name w:val="Footer Char"/>
    <w:rPr>
      <w:rFonts w:ascii="Lucida Sans" w:hAnsi="Lucida Sans"/>
    </w:rPr>
  </w:style>
  <w:style w:type="paragraph" w:styleId="ListParagraph">
    <w:name w:val="List Paragraph"/>
    <w:basedOn w:val="Normal"/>
    <w:pPr>
      <w:ind w:left="720"/>
    </w:pPr>
  </w:style>
  <w:style w:type="paragraph" w:customStyle="1" w:styleId="scfFu1-4">
    <w:name w:val="scfFuß1-4"/>
    <w:basedOn w:val="Normal"/>
    <w:pPr>
      <w:spacing w:line="160" w:lineRule="exact"/>
    </w:pPr>
    <w:rPr>
      <w:rFonts w:ascii="Arial" w:hAnsi="Arial"/>
      <w:sz w:val="14"/>
      <w:lang w:val="en-US"/>
    </w:rPr>
  </w:style>
  <w:style w:type="character" w:customStyle="1" w:styleId="Heading1Char">
    <w:name w:val="Heading 1 Char"/>
    <w:basedOn w:val="DefaultParagraphFont"/>
    <w:rPr>
      <w:rFonts w:ascii="Cambria" w:eastAsia="MS Gothic" w:hAnsi="Cambria" w:cs="Times New Roman"/>
      <w:color w:val="365F91"/>
      <w:sz w:val="32"/>
      <w:szCs w:val="32"/>
    </w:rPr>
  </w:style>
  <w:style w:type="character" w:styleId="Emphasis">
    <w:name w:val="Emphasis"/>
    <w:basedOn w:val="DefaultParagraphFont"/>
    <w:uiPriority w:val="20"/>
    <w:qFormat/>
    <w:rPr>
      <w:i/>
      <w:iCs/>
    </w:rPr>
  </w:style>
  <w:style w:type="paragraph" w:styleId="EndnoteText">
    <w:name w:val="endnote text"/>
    <w:basedOn w:val="Normal"/>
  </w:style>
  <w:style w:type="character" w:customStyle="1" w:styleId="EndnoteTextChar">
    <w:name w:val="Endnote Text Char"/>
    <w:basedOn w:val="DefaultParagraphFont"/>
    <w:rPr>
      <w:rFonts w:ascii="Lucida Sans" w:hAnsi="Lucida Sans"/>
    </w:rPr>
  </w:style>
  <w:style w:type="character" w:styleId="EndnoteReference">
    <w:name w:val="endnote reference"/>
    <w:basedOn w:val="DefaultParagraphFont"/>
    <w:rPr>
      <w:position w:val="0"/>
      <w:vertAlign w:val="superscript"/>
    </w:rPr>
  </w:style>
  <w:style w:type="character" w:styleId="UnresolvedMention">
    <w:name w:val="Unresolved Mention"/>
    <w:basedOn w:val="DefaultParagraphFont"/>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rFonts w:ascii="Lucida Sans" w:hAnsi="Lucida San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Lucida Sans" w:hAnsi="Lucida Sans"/>
      <w:b/>
      <w:bCs/>
    </w:rPr>
  </w:style>
  <w:style w:type="paragraph" w:styleId="Revision">
    <w:name w:val="Revision"/>
    <w:pPr>
      <w:suppressAutoHyphens/>
    </w:pPr>
    <w:rPr>
      <w:rFonts w:ascii="Lucida Sans" w:hAnsi="Lucida Sans"/>
    </w:rPr>
  </w:style>
  <w:style w:type="paragraph" w:styleId="FootnoteText">
    <w:name w:val="footnote text"/>
    <w:basedOn w:val="Normal"/>
  </w:style>
  <w:style w:type="character" w:customStyle="1" w:styleId="FootnoteTextChar">
    <w:name w:val="Footnote Text Char"/>
    <w:basedOn w:val="DefaultParagraphFont"/>
    <w:rPr>
      <w:rFonts w:ascii="Lucida Sans" w:hAnsi="Lucida Sans"/>
    </w:rPr>
  </w:style>
  <w:style w:type="character" w:styleId="FootnoteReference">
    <w:name w:val="footnote reference"/>
    <w:basedOn w:val="DefaultParagraphFont"/>
    <w:rPr>
      <w:position w:val="0"/>
      <w:vertAlign w:val="superscript"/>
    </w:rPr>
  </w:style>
  <w:style w:type="character" w:customStyle="1" w:styleId="HeaderChar">
    <w:name w:val="Header Char"/>
    <w:basedOn w:val="DefaultParagraphFont"/>
    <w:rPr>
      <w:rFonts w:ascii="Lucida Sans" w:hAnsi="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ess@sunotec-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abelsuchland1/Downloads/PR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9ab623-0bb2-4654-8a54-a50fb8a5f838">
      <Terms xmlns="http://schemas.microsoft.com/office/infopath/2007/PartnerControls"/>
    </lcf76f155ced4ddcb4097134ff3c332f>
    <TaxCatchAll xmlns="4e5f8c8b-0b8f-4823-98c9-0093b1e742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4261A982303C4587467DABFC30E8C4" ma:contentTypeVersion="16" ma:contentTypeDescription="Create a new document." ma:contentTypeScope="" ma:versionID="8fd6be318a923463b75ea24063d80b04">
  <xsd:schema xmlns:xsd="http://www.w3.org/2001/XMLSchema" xmlns:xs="http://www.w3.org/2001/XMLSchema" xmlns:p="http://schemas.microsoft.com/office/2006/metadata/properties" xmlns:ns2="2a9ab623-0bb2-4654-8a54-a50fb8a5f838" xmlns:ns3="4e5f8c8b-0b8f-4823-98c9-0093b1e74204" targetNamespace="http://schemas.microsoft.com/office/2006/metadata/properties" ma:root="true" ma:fieldsID="32a453b2f37028280885c466e366bc66" ns2:_="" ns3:_="">
    <xsd:import namespace="2a9ab623-0bb2-4654-8a54-a50fb8a5f838"/>
    <xsd:import namespace="4e5f8c8b-0b8f-4823-98c9-0093b1e742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ab623-0bb2-4654-8a54-a50fb8a5f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e0357d-4383-42a7-b419-904d389272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5f8c8b-0b8f-4823-98c9-0093b1e742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c9e13c-6115-4a25-8fb2-4aac544c17d5}" ma:internalName="TaxCatchAll" ma:showField="CatchAllData" ma:web="4e5f8c8b-0b8f-4823-98c9-0093b1e742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F03B24-03FF-403B-9F8C-50A4E533B47D}">
  <ds:schemaRefs>
    <ds:schemaRef ds:uri="http://schemas.microsoft.com/sharepoint/v3/contenttype/forms"/>
  </ds:schemaRefs>
</ds:datastoreItem>
</file>

<file path=customXml/itemProps2.xml><?xml version="1.0" encoding="utf-8"?>
<ds:datastoreItem xmlns:ds="http://schemas.openxmlformats.org/officeDocument/2006/customXml" ds:itemID="{574DCB69-2F67-49DA-8063-9AC765DBC9C7}">
  <ds:schemaRefs>
    <ds:schemaRef ds:uri="http://schemas.microsoft.com/office/2006/metadata/properties"/>
    <ds:schemaRef ds:uri="http://schemas.microsoft.com/office/infopath/2007/PartnerControls"/>
    <ds:schemaRef ds:uri="2a9ab623-0bb2-4654-8a54-a50fb8a5f838"/>
    <ds:schemaRef ds:uri="4e5f8c8b-0b8f-4823-98c9-0093b1e74204"/>
  </ds:schemaRefs>
</ds:datastoreItem>
</file>

<file path=customXml/itemProps3.xml><?xml version="1.0" encoding="utf-8"?>
<ds:datastoreItem xmlns:ds="http://schemas.openxmlformats.org/officeDocument/2006/customXml" ds:itemID="{52C055E5-F5B3-487E-87B1-2BA9B867B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ab623-0bb2-4654-8a54-a50fb8a5f838"/>
    <ds:schemaRef ds:uri="4e5f8c8b-0b8f-4823-98c9-0093b1e74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2</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Annabel Suchland | Sunotec-Group</cp:lastModifiedBy>
  <cp:revision>3</cp:revision>
  <dcterms:created xsi:type="dcterms:W3CDTF">2026-04-06T11:24:00Z</dcterms:created>
  <dcterms:modified xsi:type="dcterms:W3CDTF">2026-04-06T11:30:00Z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0x010100DC4261A982303C4587467DABFC30E8C4</vt:lpwstr>
  </property>
  <property fmtid="{D5CDD505-2E9C-101B-9397-08002B2CF9AE}" pid="3" name="Order">
    <vt:r8>137800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