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16F6" w14:textId="77777777" w:rsidR="008475BC" w:rsidRDefault="008475BC" w:rsidP="00CB6EF7">
      <w:pPr>
        <w:spacing w:after="0" w:line="240" w:lineRule="auto"/>
        <w:jc w:val="both"/>
        <w:rPr>
          <w:rFonts w:ascii="Visa Dialect Regular" w:eastAsia="Noto Sans Yi" w:hAnsi="Visa Dialect Regular" w:cs="Times New Roman (Headings CS)"/>
          <w:b/>
          <w:bCs/>
          <w:sz w:val="24"/>
          <w:szCs w:val="24"/>
          <w:lang w:val="it-IT"/>
        </w:rPr>
      </w:pPr>
      <w:bookmarkStart w:id="0" w:name="_Hlk153539121"/>
    </w:p>
    <w:p w14:paraId="57610251" w14:textId="77777777" w:rsidR="008475BC" w:rsidRDefault="008475BC" w:rsidP="00CB6EF7">
      <w:pPr>
        <w:spacing w:after="0" w:line="240" w:lineRule="auto"/>
        <w:jc w:val="both"/>
        <w:rPr>
          <w:rFonts w:ascii="Visa Dialect Regular" w:eastAsia="Noto Sans Yi" w:hAnsi="Visa Dialect Regular" w:cs="Times New Roman (Headings CS)"/>
          <w:b/>
          <w:bCs/>
          <w:sz w:val="24"/>
          <w:szCs w:val="24"/>
          <w:lang w:val="it-IT"/>
        </w:rPr>
      </w:pPr>
    </w:p>
    <w:p w14:paraId="257C97FF" w14:textId="77777777" w:rsidR="008475BC" w:rsidRPr="008475BC" w:rsidRDefault="008475BC" w:rsidP="008475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lang w:val="it-IT"/>
        </w:rPr>
      </w:pPr>
      <w:r w:rsidRPr="008475BC">
        <w:rPr>
          <w:rFonts w:ascii="Visa Dialect Semibold" w:eastAsia="Visa Dialect Semibold" w:hAnsi="Visa Dialect Semibold" w:cs="Visa Dialect Semibold"/>
          <w:color w:val="0E2FD3"/>
          <w:lang w:val="it-IT"/>
        </w:rPr>
        <w:t>Comunicato stampa</w:t>
      </w:r>
    </w:p>
    <w:p w14:paraId="37DFC7A9" w14:textId="3A3CCE42" w:rsidR="008475BC" w:rsidRDefault="002C29DB" w:rsidP="008475BC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</w:pPr>
      <w:r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Dall’intelligenza artificiale all’RTP: le principali tendenze dei pagamenti </w:t>
      </w:r>
      <w:r w:rsidR="00B54C57"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digitali </w:t>
      </w:r>
      <w:r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 xml:space="preserve">del 2025 </w:t>
      </w:r>
    </w:p>
    <w:p w14:paraId="5B5BB995" w14:textId="77777777" w:rsidR="008475BC" w:rsidRPr="00163497" w:rsidRDefault="008475BC" w:rsidP="008475BC">
      <w:pPr>
        <w:keepNext/>
        <w:keepLines/>
        <w:spacing w:before="60" w:after="60"/>
        <w:contextualSpacing/>
        <w:outlineLvl w:val="0"/>
        <w:rPr>
          <w:rFonts w:ascii="Visa Dialect Regular" w:eastAsia="SimHei" w:hAnsi="Visa Dialect Regular" w:cs="Times New Roman"/>
          <w:color w:val="1434CB"/>
          <w:sz w:val="16"/>
          <w:szCs w:val="16"/>
          <w:lang w:val="it-IT"/>
        </w:rPr>
      </w:pPr>
    </w:p>
    <w:p w14:paraId="2FC32349" w14:textId="4973C5AD" w:rsidR="008475BC" w:rsidRPr="008475BC" w:rsidRDefault="008475BC" w:rsidP="008475BC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</w:pPr>
    </w:p>
    <w:bookmarkEnd w:id="0"/>
    <w:p w14:paraId="001ECD8A" w14:textId="1C35CC6D" w:rsidR="0044142A" w:rsidRPr="001E3212" w:rsidRDefault="002C29DB" w:rsidP="001E3212">
      <w:pPr>
        <w:jc w:val="center"/>
        <w:rPr>
          <w:rFonts w:ascii="Visa Dialect Regular" w:hAnsi="Visa Dialect Regular"/>
          <w:i/>
          <w:iCs/>
          <w:lang w:val="it-IT"/>
        </w:rPr>
      </w:pPr>
      <w:r w:rsidRPr="001E3212">
        <w:rPr>
          <w:rFonts w:ascii="Visa Dialect Regular" w:hAnsi="Visa Dialect Regular"/>
          <w:i/>
          <w:iCs/>
          <w:lang w:val="it-IT"/>
        </w:rPr>
        <w:t>La trasformazione verso pagamenti veloci e sicuri sta avviando una nuova era del commercio</w:t>
      </w:r>
    </w:p>
    <w:p w14:paraId="480E4892" w14:textId="77777777" w:rsidR="002C29DB" w:rsidRPr="008475BC" w:rsidRDefault="002C29DB" w:rsidP="00CB6EF7">
      <w:pPr>
        <w:pStyle w:val="Paragrafoelenco"/>
        <w:jc w:val="both"/>
        <w:rPr>
          <w:rFonts w:ascii="Visa Dialect Regular" w:hAnsi="Visa Dialect Regular"/>
          <w:b/>
          <w:bCs/>
          <w:i/>
          <w:iCs/>
          <w:lang w:val="it-IT"/>
        </w:rPr>
      </w:pPr>
    </w:p>
    <w:p w14:paraId="37546D0A" w14:textId="660C6133" w:rsidR="002C29DB" w:rsidRPr="002C29DB" w:rsidRDefault="008475BC" w:rsidP="002C29DB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bookmarkStart w:id="1" w:name="_Hlk153539225"/>
      <w:bookmarkStart w:id="2" w:name="_Hlk153539204"/>
      <w:bookmarkStart w:id="3" w:name="_Hlk153539168"/>
      <w:r w:rsidRPr="004715B6">
        <w:rPr>
          <w:rFonts w:ascii="Visa Dialect Regular" w:hAnsi="Visa Dialect Regular"/>
          <w:i/>
          <w:iCs/>
          <w:lang w:val="it-IT"/>
        </w:rPr>
        <w:t>Milano,</w:t>
      </w:r>
      <w:r w:rsidR="001E3212" w:rsidRPr="004715B6">
        <w:rPr>
          <w:rFonts w:ascii="Visa Dialect Regular" w:hAnsi="Visa Dialect Regular"/>
          <w:i/>
          <w:iCs/>
          <w:lang w:val="it-IT"/>
        </w:rPr>
        <w:t xml:space="preserve"> 2</w:t>
      </w:r>
      <w:r w:rsidRPr="004715B6">
        <w:rPr>
          <w:rFonts w:ascii="Visa Dialect Regular" w:hAnsi="Visa Dialect Regular"/>
          <w:i/>
          <w:iCs/>
          <w:lang w:val="it-IT"/>
        </w:rPr>
        <w:t xml:space="preserve"> gennaio 202</w:t>
      </w:r>
      <w:r w:rsidR="002C29DB" w:rsidRPr="004715B6">
        <w:rPr>
          <w:rFonts w:ascii="Visa Dialect Regular" w:hAnsi="Visa Dialect Regular"/>
          <w:i/>
          <w:iCs/>
          <w:lang w:val="it-IT"/>
        </w:rPr>
        <w:t>5</w:t>
      </w:r>
      <w:r>
        <w:rPr>
          <w:rFonts w:ascii="Visa Dialect Regular" w:hAnsi="Visa Dialect Regular"/>
          <w:lang w:val="it-IT"/>
        </w:rPr>
        <w:t xml:space="preserve"> - </w:t>
      </w:r>
      <w:bookmarkStart w:id="4" w:name="_Hlk153539235"/>
      <w:bookmarkEnd w:id="1"/>
      <w:r w:rsidR="002C29DB" w:rsidRPr="002C29DB">
        <w:rPr>
          <w:rFonts w:ascii="Visa Dialect Regular" w:hAnsi="Visa Dialect Regular"/>
          <w:lang w:val="it-IT"/>
        </w:rPr>
        <w:t xml:space="preserve">I pagamenti digitali sono in aumento in tutto il mondo, dal momento che </w:t>
      </w:r>
      <w:r w:rsidR="00B54C57">
        <w:rPr>
          <w:rFonts w:ascii="Visa Dialect Regular" w:hAnsi="Visa Dialect Regular"/>
          <w:lang w:val="it-IT"/>
        </w:rPr>
        <w:t xml:space="preserve">la loro adozione </w:t>
      </w:r>
      <w:r w:rsidR="002C29DB" w:rsidRPr="002C29DB">
        <w:rPr>
          <w:rFonts w:ascii="Visa Dialect Regular" w:hAnsi="Visa Dialect Regular"/>
          <w:lang w:val="it-IT"/>
        </w:rPr>
        <w:t xml:space="preserve">- tramite siti web, app o piattaforme in negozio - continua a crescere. Guardando al 2025, il futuro dei pagamenti appare sempre più digitale, flessibile e orientato alla scelta dei consumatori. I pagamenti </w:t>
      </w:r>
      <w:r w:rsidR="00B54C57">
        <w:rPr>
          <w:rFonts w:ascii="Visa Dialect Regular" w:hAnsi="Visa Dialect Regular"/>
          <w:lang w:val="it-IT"/>
        </w:rPr>
        <w:t xml:space="preserve">account-to-account </w:t>
      </w:r>
      <w:r w:rsidR="002C29DB" w:rsidRPr="002C29DB">
        <w:rPr>
          <w:rFonts w:ascii="Visa Dialect Regular" w:hAnsi="Visa Dialect Regular"/>
          <w:lang w:val="it-IT"/>
        </w:rPr>
        <w:t xml:space="preserve">(A2A) stanno offrendo </w:t>
      </w:r>
      <w:r w:rsidR="00CD6101">
        <w:rPr>
          <w:rFonts w:ascii="Visa Dialect Regular" w:hAnsi="Visa Dialect Regular"/>
          <w:lang w:val="it-IT"/>
        </w:rPr>
        <w:t>a chi acquista</w:t>
      </w:r>
      <w:r w:rsidR="002C29DB" w:rsidRPr="002C29DB">
        <w:rPr>
          <w:rFonts w:ascii="Visa Dialect Regular" w:hAnsi="Visa Dialect Regular"/>
          <w:lang w:val="it-IT"/>
        </w:rPr>
        <w:t xml:space="preserve"> più modi di pagare</w:t>
      </w:r>
      <w:r w:rsidR="00646DB8">
        <w:rPr>
          <w:rFonts w:ascii="Visa Dialect Regular" w:hAnsi="Visa Dialect Regular"/>
          <w:lang w:val="it-IT"/>
        </w:rPr>
        <w:t>,</w:t>
      </w:r>
      <w:r w:rsidR="002C29DB" w:rsidRPr="002C29DB">
        <w:rPr>
          <w:rFonts w:ascii="Visa Dialect Regular" w:hAnsi="Visa Dialect Regular"/>
          <w:lang w:val="it-IT"/>
        </w:rPr>
        <w:t xml:space="preserve"> la biometria sta riducendo la nostra dipendenza da password e pin e la globalizzazione sta obbligando a cambiare i complessi e lenti pagamenti transfrontalieri.</w:t>
      </w:r>
    </w:p>
    <w:p w14:paraId="3CE7EEEA" w14:textId="77777777" w:rsidR="002C29DB" w:rsidRPr="002C29DB" w:rsidRDefault="002C29DB" w:rsidP="002C29DB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0BD9952F" w14:textId="1DF63A1B" w:rsidR="00CB6EF7" w:rsidRDefault="002C29DB" w:rsidP="002C29DB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2C29DB">
        <w:rPr>
          <w:rFonts w:ascii="Visa Dialect Regular" w:hAnsi="Visa Dialect Regular"/>
          <w:lang w:val="it-IT"/>
        </w:rPr>
        <w:t>Nel frattempo, l'intelligenza artificiale (I</w:t>
      </w:r>
      <w:r w:rsidR="00B54C57">
        <w:rPr>
          <w:rFonts w:ascii="Visa Dialect Regular" w:hAnsi="Visa Dialect Regular"/>
          <w:lang w:val="it-IT"/>
        </w:rPr>
        <w:t>A</w:t>
      </w:r>
      <w:r w:rsidRPr="002C29DB">
        <w:rPr>
          <w:rFonts w:ascii="Visa Dialect Regular" w:hAnsi="Visa Dialect Regular"/>
          <w:lang w:val="it-IT"/>
        </w:rPr>
        <w:t xml:space="preserve">) sta contribuendo a stabilire nuovi parametri </w:t>
      </w:r>
      <w:r w:rsidR="00CD6101">
        <w:rPr>
          <w:rFonts w:ascii="Visa Dialect Regular" w:hAnsi="Visa Dialect Regular"/>
          <w:lang w:val="it-IT"/>
        </w:rPr>
        <w:t>di</w:t>
      </w:r>
      <w:r w:rsidRPr="002C29DB">
        <w:rPr>
          <w:rFonts w:ascii="Visa Dialect Regular" w:hAnsi="Visa Dialect Regular"/>
          <w:lang w:val="it-IT"/>
        </w:rPr>
        <w:t xml:space="preserve"> sicurezza e </w:t>
      </w:r>
      <w:r w:rsidR="00CD6101">
        <w:rPr>
          <w:rFonts w:ascii="Visa Dialect Regular" w:hAnsi="Visa Dialect Regular"/>
          <w:lang w:val="it-IT"/>
        </w:rPr>
        <w:t>usabilità</w:t>
      </w:r>
      <w:r w:rsidRPr="002C29DB">
        <w:rPr>
          <w:rFonts w:ascii="Visa Dialect Regular" w:hAnsi="Visa Dialect Regular"/>
          <w:lang w:val="it-IT"/>
        </w:rPr>
        <w:t>.</w:t>
      </w:r>
    </w:p>
    <w:p w14:paraId="25166BBA" w14:textId="77777777" w:rsidR="002C29DB" w:rsidRDefault="002C29DB" w:rsidP="002C29DB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5EEEB1E3" w14:textId="4661C9E4" w:rsidR="002C29DB" w:rsidRDefault="002C29DB" w:rsidP="002C29DB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2C29DB">
        <w:rPr>
          <w:rFonts w:ascii="Visa Dialect Regular" w:hAnsi="Visa Dialect Regular"/>
          <w:lang w:val="it-IT"/>
        </w:rPr>
        <w:t>Ecco sei tendenze chiave che caratterizz</w:t>
      </w:r>
      <w:r w:rsidR="00FB2B10">
        <w:rPr>
          <w:rFonts w:ascii="Visa Dialect Regular" w:hAnsi="Visa Dialect Regular"/>
          <w:lang w:val="it-IT"/>
        </w:rPr>
        <w:t xml:space="preserve">eranno </w:t>
      </w:r>
      <w:r w:rsidRPr="002C29DB">
        <w:rPr>
          <w:rFonts w:ascii="Visa Dialect Regular" w:hAnsi="Visa Dialect Regular"/>
          <w:lang w:val="it-IT"/>
        </w:rPr>
        <w:t>i pagamenti del 2025</w:t>
      </w:r>
      <w:r w:rsidR="00646DB8">
        <w:rPr>
          <w:rFonts w:ascii="Visa Dialect Regular" w:hAnsi="Visa Dialect Regular"/>
          <w:lang w:val="it-IT"/>
        </w:rPr>
        <w:t>.</w:t>
      </w:r>
    </w:p>
    <w:p w14:paraId="38619EB4" w14:textId="77777777" w:rsidR="002C29DB" w:rsidRPr="008475BC" w:rsidRDefault="002C29DB" w:rsidP="002C29DB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60CAC359" w14:textId="044401B1" w:rsidR="0072140D" w:rsidRPr="002C29DB" w:rsidRDefault="002C29DB" w:rsidP="002C29DB">
      <w:pPr>
        <w:pStyle w:val="Paragrafoelenco"/>
        <w:numPr>
          <w:ilvl w:val="0"/>
          <w:numId w:val="33"/>
        </w:numPr>
        <w:jc w:val="both"/>
        <w:rPr>
          <w:rStyle w:val="normaltextrun"/>
          <w:rFonts w:ascii="Visa Dialect Regular" w:hAnsi="Visa Dialect Regular" w:cs="Segoe UI"/>
          <w:lang w:val="it-IT"/>
        </w:rPr>
      </w:pPr>
      <w:bookmarkStart w:id="5" w:name="_Hlk153544320"/>
      <w:bookmarkStart w:id="6" w:name="_Hlk153544372"/>
      <w:bookmarkEnd w:id="2"/>
      <w:bookmarkEnd w:id="4"/>
      <w:r w:rsidRPr="002C29DB">
        <w:rPr>
          <w:rStyle w:val="normaltextrun"/>
          <w:rFonts w:ascii="Visa Dialect Regular" w:hAnsi="Visa Dialect Regular" w:cs="Segoe UI"/>
          <w:b/>
          <w:bCs/>
          <w:u w:val="single"/>
          <w:lang w:val="it-IT"/>
        </w:rPr>
        <w:t>L'intelligenza artificiale protegge dalle frodi</w:t>
      </w:r>
    </w:p>
    <w:bookmarkEnd w:id="3"/>
    <w:bookmarkEnd w:id="5"/>
    <w:bookmarkEnd w:id="6"/>
    <w:p w14:paraId="105FB6F1" w14:textId="42064F62" w:rsidR="008B5A6C" w:rsidRDefault="008B5A6C" w:rsidP="00CB6EF7">
      <w:pPr>
        <w:spacing w:after="0" w:line="240" w:lineRule="auto"/>
        <w:jc w:val="both"/>
        <w:rPr>
          <w:rStyle w:val="normaltextrun"/>
          <w:rFonts w:ascii="Visa Dialect Regular" w:hAnsi="Visa Dialect Regular" w:cs="Segoe UI"/>
          <w:lang w:val="it-IT"/>
        </w:rPr>
      </w:pPr>
    </w:p>
    <w:p w14:paraId="7CDDB426" w14:textId="6129ADF6" w:rsidR="006F17CE" w:rsidRPr="006F17CE" w:rsidRDefault="006F17CE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6F17CE">
        <w:rPr>
          <w:rFonts w:ascii="Visa Dialect Regular" w:hAnsi="Visa Dialect Regular"/>
          <w:lang w:val="it-IT"/>
        </w:rPr>
        <w:t xml:space="preserve">L'intelligenza artificiale svolgerà un ruolo cruciale nella personalizzazione delle esperienze di pagamento e nel miglioramento delle capacità di rilevamento delle frodi, creando un profondo impatto su </w:t>
      </w:r>
      <w:r w:rsidR="00646DB8">
        <w:rPr>
          <w:rFonts w:ascii="Visa Dialect Regular" w:hAnsi="Visa Dialect Regular"/>
          <w:lang w:val="it-IT"/>
        </w:rPr>
        <w:t>consumatori</w:t>
      </w:r>
      <w:r w:rsidRPr="006F17CE">
        <w:rPr>
          <w:rFonts w:ascii="Visa Dialect Regular" w:hAnsi="Visa Dialect Regular"/>
          <w:lang w:val="it-IT"/>
        </w:rPr>
        <w:t xml:space="preserve"> e venditori. Possiamo aspettarci che gli algoritmi di deep learning diventino sempre più sofisticati nell'analisi dei modelli di transazione e nell'identificazione di potenziali rischi in tempo reale.</w:t>
      </w:r>
    </w:p>
    <w:p w14:paraId="0BE5BA1D" w14:textId="77777777" w:rsidR="008B5A6C" w:rsidRPr="003D386C" w:rsidRDefault="008B5A6C" w:rsidP="00CB6EF7">
      <w:pPr>
        <w:spacing w:after="0" w:line="240" w:lineRule="auto"/>
        <w:jc w:val="both"/>
        <w:rPr>
          <w:rFonts w:ascii="Visa Dialect Regular" w:hAnsi="Visa Dialect Regular"/>
          <w:b/>
          <w:bCs/>
          <w:u w:val="single"/>
          <w:lang w:val="it-IT"/>
        </w:rPr>
      </w:pPr>
    </w:p>
    <w:p w14:paraId="55C676B1" w14:textId="03F9D12D" w:rsidR="006F17CE" w:rsidRPr="006F17CE" w:rsidRDefault="006F17CE" w:rsidP="006F17CE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6F17CE">
        <w:rPr>
          <w:rFonts w:ascii="Visa Dialect Regular" w:hAnsi="Visa Dialect Regular"/>
          <w:lang w:val="it-IT"/>
        </w:rPr>
        <w:t xml:space="preserve">Da oltre 30 anni Visa è al centro dell'IA nei pagamenti e negli ultimi dieci anni ha investito 3,3 miliardi di dollari nella </w:t>
      </w:r>
      <w:r w:rsidR="00B54C57">
        <w:rPr>
          <w:rFonts w:ascii="Visa Dialect Regular" w:hAnsi="Visa Dialect Regular"/>
          <w:lang w:val="it-IT"/>
        </w:rPr>
        <w:t>propria</w:t>
      </w:r>
      <w:r w:rsidRPr="006F17CE">
        <w:rPr>
          <w:rFonts w:ascii="Visa Dialect Regular" w:hAnsi="Visa Dialect Regular"/>
          <w:lang w:val="it-IT"/>
        </w:rPr>
        <w:t xml:space="preserve"> infrastruttura di IA e di dati. Quest'anno abbiamo introdotto tre </w:t>
      </w:r>
      <w:hyperlink r:id="rId7" w:history="1">
        <w:r w:rsidRPr="006F17CE">
          <w:rPr>
            <w:rStyle w:val="Collegamentoipertestuale"/>
            <w:rFonts w:ascii="Visa Dialect Regular" w:hAnsi="Visa Dialect Regular"/>
            <w:lang w:val="it-IT"/>
          </w:rPr>
          <w:t>nuove soluzioni di prevenzione dei rischi e delle frodi basate sull'intelligenza artificiale</w:t>
        </w:r>
      </w:hyperlink>
      <w:r w:rsidRPr="006F17CE">
        <w:rPr>
          <w:rFonts w:ascii="Visa Dialect Regular" w:hAnsi="Visa Dialect Regular"/>
          <w:lang w:val="it-IT"/>
        </w:rPr>
        <w:t xml:space="preserve">, come parte della suite Visa Protect, progettate per ridurre le frodi nei pagamenti </w:t>
      </w:r>
      <w:r w:rsidR="00646DB8">
        <w:rPr>
          <w:rFonts w:ascii="Visa Dialect Regular" w:hAnsi="Visa Dialect Regular"/>
          <w:lang w:val="it-IT"/>
        </w:rPr>
        <w:t>istantanei</w:t>
      </w:r>
      <w:r w:rsidRPr="006F17CE">
        <w:rPr>
          <w:rFonts w:ascii="Visa Dialect Regular" w:hAnsi="Visa Dialect Regular"/>
          <w:lang w:val="it-IT"/>
        </w:rPr>
        <w:t xml:space="preserve"> A2A e </w:t>
      </w:r>
      <w:r w:rsidR="00B54C57" w:rsidRPr="00B54C57">
        <w:rPr>
          <w:rFonts w:ascii="Visa Dialect Regular" w:hAnsi="Visa Dialect Regular"/>
          <w:lang w:val="it-IT"/>
        </w:rPr>
        <w:t>card-not-</w:t>
      </w:r>
      <w:proofErr w:type="spellStart"/>
      <w:r w:rsidR="00B54C57" w:rsidRPr="00B54C57">
        <w:rPr>
          <w:rFonts w:ascii="Visa Dialect Regular" w:hAnsi="Visa Dialect Regular"/>
          <w:lang w:val="it-IT"/>
        </w:rPr>
        <w:t>present</w:t>
      </w:r>
      <w:proofErr w:type="spellEnd"/>
      <w:r w:rsidR="00B54C57" w:rsidRPr="00B54C57">
        <w:rPr>
          <w:rFonts w:ascii="Visa Dialect Regular" w:hAnsi="Visa Dialect Regular"/>
          <w:lang w:val="it-IT"/>
        </w:rPr>
        <w:t xml:space="preserve"> </w:t>
      </w:r>
      <w:r w:rsidRPr="006F17CE">
        <w:rPr>
          <w:rFonts w:ascii="Visa Dialect Regular" w:hAnsi="Visa Dialect Regular"/>
          <w:lang w:val="it-IT"/>
        </w:rPr>
        <w:t>(CNP), nonché nelle transazioni all'interno e all'esterno della rete Visa.</w:t>
      </w:r>
    </w:p>
    <w:p w14:paraId="39C44B07" w14:textId="77777777" w:rsidR="006F17CE" w:rsidRPr="006F17CE" w:rsidRDefault="006F17CE" w:rsidP="006F17CE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619B52A" w14:textId="3A7F2682" w:rsidR="008F5A71" w:rsidRDefault="006F17CE" w:rsidP="006F17CE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6F17CE">
        <w:rPr>
          <w:rFonts w:ascii="Visa Dialect Regular" w:hAnsi="Visa Dialect Regular"/>
          <w:lang w:val="it-IT"/>
        </w:rPr>
        <w:t>L'utilizzo responsabile dell'IA è fondamentale. Continueremo a dare priorità al rafforzamento delle nostre iniziative di governance dell'IA nel 2025 e oltre. Detto questo, il potenziale della prossima generazione di IA per trasformare l'ecosistema dei pagamenti - rendendolo più sicuro, più intelligente e più fluido - è vasto e rappresenta un fattore critico per il successo delle società di pagamento e di altri settori nel 2025 e oltre.</w:t>
      </w:r>
    </w:p>
    <w:p w14:paraId="565CCF41" w14:textId="77777777" w:rsidR="006F17CE" w:rsidRDefault="006F17CE" w:rsidP="006F17CE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12B926F1" w14:textId="0FA51E59" w:rsidR="006F17CE" w:rsidRDefault="006F17CE" w:rsidP="006F17CE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b/>
          <w:bCs/>
          <w:u w:val="single"/>
          <w:lang w:val="it-IT"/>
        </w:rPr>
      </w:pPr>
      <w:r w:rsidRPr="006F17CE">
        <w:rPr>
          <w:rFonts w:ascii="Visa Dialect Regular" w:hAnsi="Visa Dialect Regular"/>
          <w:b/>
          <w:bCs/>
          <w:u w:val="single"/>
          <w:lang w:val="it-IT"/>
        </w:rPr>
        <w:t>L'identità digitale semplifica l'autenticazione</w:t>
      </w:r>
    </w:p>
    <w:p w14:paraId="32CF656D" w14:textId="77777777" w:rsidR="00967453" w:rsidRDefault="00967453" w:rsidP="00967453">
      <w:pPr>
        <w:jc w:val="both"/>
        <w:rPr>
          <w:rFonts w:ascii="Visa Dialect Regular" w:hAnsi="Visa Dialect Regular"/>
          <w:b/>
          <w:bCs/>
          <w:u w:val="single"/>
          <w:lang w:val="it-IT"/>
        </w:rPr>
      </w:pPr>
    </w:p>
    <w:p w14:paraId="1C6BB0F8" w14:textId="0C44E114" w:rsidR="00967453" w:rsidRPr="00967453" w:rsidRDefault="00967453" w:rsidP="00967453">
      <w:pPr>
        <w:jc w:val="both"/>
        <w:rPr>
          <w:rFonts w:ascii="Visa Dialect Regular" w:hAnsi="Visa Dialect Regular"/>
          <w:lang w:val="it-IT"/>
        </w:rPr>
      </w:pPr>
      <w:r w:rsidRPr="00967453">
        <w:rPr>
          <w:rFonts w:ascii="Visa Dialect Regular" w:hAnsi="Visa Dialect Regular"/>
          <w:lang w:val="it-IT"/>
        </w:rPr>
        <w:t xml:space="preserve">Le password, le domande di sicurezza e persino i numeri delle carte di credito sono stati a lungo </w:t>
      </w:r>
      <w:r w:rsidR="00B54C57">
        <w:rPr>
          <w:rFonts w:ascii="Visa Dialect Regular" w:hAnsi="Visa Dialect Regular"/>
          <w:lang w:val="it-IT"/>
        </w:rPr>
        <w:t>utilizzati</w:t>
      </w:r>
      <w:r w:rsidRPr="00967453">
        <w:rPr>
          <w:rFonts w:ascii="Visa Dialect Regular" w:hAnsi="Visa Dialect Regular"/>
          <w:lang w:val="it-IT"/>
        </w:rPr>
        <w:t xml:space="preserve"> da</w:t>
      </w:r>
      <w:r w:rsidR="00B54C57">
        <w:rPr>
          <w:rFonts w:ascii="Visa Dialect Regular" w:hAnsi="Visa Dialect Regular"/>
          <w:lang w:val="it-IT"/>
        </w:rPr>
        <w:t>lle persone</w:t>
      </w:r>
      <w:r w:rsidRPr="00967453">
        <w:rPr>
          <w:rFonts w:ascii="Visa Dialect Regular" w:hAnsi="Visa Dialect Regular"/>
          <w:lang w:val="it-IT"/>
        </w:rPr>
        <w:t xml:space="preserve"> e i truffatori ne hanno approfittato. </w:t>
      </w:r>
      <w:r w:rsidR="00B54C57">
        <w:rPr>
          <w:rFonts w:ascii="Visa Dialect Regular" w:hAnsi="Visa Dialect Regular"/>
          <w:lang w:val="it-IT"/>
        </w:rPr>
        <w:t>Ma l</w:t>
      </w:r>
      <w:r w:rsidRPr="00967453">
        <w:rPr>
          <w:rFonts w:ascii="Visa Dialect Regular" w:hAnsi="Visa Dialect Regular"/>
          <w:lang w:val="it-IT"/>
        </w:rPr>
        <w:t>e cose stanno cambiando. Oggi e sempre</w:t>
      </w:r>
      <w:r w:rsidR="00B54C57">
        <w:rPr>
          <w:rFonts w:ascii="Visa Dialect Regular" w:hAnsi="Visa Dialect Regular"/>
          <w:lang w:val="it-IT"/>
        </w:rPr>
        <w:t xml:space="preserve"> di</w:t>
      </w:r>
      <w:r w:rsidRPr="00967453">
        <w:rPr>
          <w:rFonts w:ascii="Visa Dialect Regular" w:hAnsi="Visa Dialect Regular"/>
          <w:lang w:val="it-IT"/>
        </w:rPr>
        <w:t xml:space="preserve"> più in futuro, l'autenticazione si baserà su credenziali altamente sicure: il volto, le impronte digitali o altri elementi biometrici. Questo cambiamento migliorerà la sicurezza e la convenienza, riducendo la dipendenza da PIN e password tradizionali. Prodotti come </w:t>
      </w:r>
      <w:hyperlink r:id="rId8" w:history="1">
        <w:r w:rsidRPr="00B54C57">
          <w:rPr>
            <w:rStyle w:val="Collegamentoipertestuale"/>
            <w:rFonts w:ascii="Visa Dialect Regular" w:hAnsi="Visa Dialect Regular"/>
            <w:lang w:val="it-IT"/>
          </w:rPr>
          <w:t xml:space="preserve">Visa Payment </w:t>
        </w:r>
        <w:proofErr w:type="spellStart"/>
        <w:r w:rsidRPr="00B54C57">
          <w:rPr>
            <w:rStyle w:val="Collegamentoipertestuale"/>
            <w:rFonts w:ascii="Visa Dialect Regular" w:hAnsi="Visa Dialect Regular"/>
            <w:lang w:val="it-IT"/>
          </w:rPr>
          <w:t>Passkey</w:t>
        </w:r>
        <w:proofErr w:type="spellEnd"/>
      </w:hyperlink>
      <w:r w:rsidRPr="00967453">
        <w:rPr>
          <w:rFonts w:ascii="Visa Dialect Regular" w:hAnsi="Visa Dialect Regular"/>
          <w:lang w:val="it-IT"/>
        </w:rPr>
        <w:t xml:space="preserve"> fanno proprio questo. Per esempio, Visa ha collaborato con QNB in Qatar per lanciare la versione migliorata di Visa Click to </w:t>
      </w:r>
      <w:proofErr w:type="spellStart"/>
      <w:r w:rsidRPr="00967453">
        <w:rPr>
          <w:rFonts w:ascii="Visa Dialect Regular" w:hAnsi="Visa Dialect Regular"/>
          <w:lang w:val="it-IT"/>
        </w:rPr>
        <w:t>Pay</w:t>
      </w:r>
      <w:proofErr w:type="spellEnd"/>
      <w:r w:rsidRPr="00967453">
        <w:rPr>
          <w:rFonts w:ascii="Visa Dialect Regular" w:hAnsi="Visa Dialect Regular"/>
          <w:lang w:val="it-IT"/>
        </w:rPr>
        <w:t xml:space="preserve"> per i rivenditori, segnando la prima implementazione dell'autenticazione biometrica al mondo e stabilendo un nuovo standard per i pagamenti online sicuri, fluidi e convenienti.</w:t>
      </w:r>
    </w:p>
    <w:p w14:paraId="6624D3AE" w14:textId="2DF0312B" w:rsidR="004B0351" w:rsidRDefault="00D83E04" w:rsidP="00967453">
      <w:pPr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Utilizzare</w:t>
      </w:r>
      <w:r w:rsidRPr="00D83E04">
        <w:rPr>
          <w:rFonts w:ascii="Visa Dialect Regular" w:hAnsi="Visa Dialect Regular"/>
          <w:lang w:val="it-IT"/>
        </w:rPr>
        <w:t xml:space="preserve"> i marker biometrici nell'autenticazione dei pagamenti </w:t>
      </w:r>
      <w:r w:rsidR="00967453" w:rsidRPr="00967453">
        <w:rPr>
          <w:rFonts w:ascii="Visa Dialect Regular" w:hAnsi="Visa Dialect Regular"/>
          <w:lang w:val="it-IT"/>
        </w:rPr>
        <w:t>- e farlo in linea con le migliori pratiche di privacy dei dati, cybersecurity e governance dell'IA - contribuisce a rendere l'inter</w:t>
      </w:r>
      <w:r>
        <w:rPr>
          <w:rFonts w:ascii="Visa Dialect Regular" w:hAnsi="Visa Dialect Regular"/>
          <w:lang w:val="it-IT"/>
        </w:rPr>
        <w:t xml:space="preserve">o processo </w:t>
      </w:r>
      <w:r w:rsidR="00967453" w:rsidRPr="00967453">
        <w:rPr>
          <w:rFonts w:ascii="Visa Dialect Regular" w:hAnsi="Visa Dialect Regular"/>
          <w:lang w:val="it-IT"/>
        </w:rPr>
        <w:t>più conveniente e sicur</w:t>
      </w:r>
      <w:r>
        <w:rPr>
          <w:rFonts w:ascii="Visa Dialect Regular" w:hAnsi="Visa Dialect Regular"/>
          <w:lang w:val="it-IT"/>
        </w:rPr>
        <w:t>o</w:t>
      </w:r>
      <w:r w:rsidR="00967453" w:rsidRPr="00967453">
        <w:rPr>
          <w:rFonts w:ascii="Visa Dialect Regular" w:hAnsi="Visa Dialect Regular"/>
          <w:lang w:val="it-IT"/>
        </w:rPr>
        <w:t xml:space="preserve">. </w:t>
      </w:r>
    </w:p>
    <w:p w14:paraId="2B6E6F05" w14:textId="77777777" w:rsidR="001E3212" w:rsidRDefault="001E3212" w:rsidP="00967453">
      <w:pPr>
        <w:jc w:val="both"/>
        <w:rPr>
          <w:rFonts w:ascii="Visa Dialect Regular" w:hAnsi="Visa Dialect Regular"/>
          <w:lang w:val="it-IT"/>
        </w:rPr>
      </w:pPr>
    </w:p>
    <w:p w14:paraId="117B8C98" w14:textId="0CCF8F2A" w:rsidR="004B0351" w:rsidRDefault="004B0351" w:rsidP="004B0351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b/>
          <w:bCs/>
          <w:u w:val="single"/>
          <w:lang w:val="it-IT"/>
        </w:rPr>
      </w:pPr>
      <w:r w:rsidRPr="004B0351">
        <w:rPr>
          <w:rFonts w:ascii="Visa Dialect Regular" w:hAnsi="Visa Dialect Regular"/>
          <w:b/>
          <w:bCs/>
          <w:u w:val="single"/>
          <w:lang w:val="it-IT"/>
        </w:rPr>
        <w:t>I pagamenti in tempo reale acquistano importanza a livello globale</w:t>
      </w:r>
    </w:p>
    <w:p w14:paraId="423049BB" w14:textId="77777777" w:rsidR="004B0351" w:rsidRDefault="004B0351" w:rsidP="004B0351">
      <w:pPr>
        <w:jc w:val="both"/>
        <w:rPr>
          <w:rFonts w:ascii="Visa Dialect Regular" w:hAnsi="Visa Dialect Regular"/>
          <w:b/>
          <w:bCs/>
          <w:u w:val="single"/>
          <w:lang w:val="it-IT"/>
        </w:rPr>
      </w:pPr>
    </w:p>
    <w:p w14:paraId="52A46B82" w14:textId="7016DC75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>Nel 2025, lo sviluppo dei pagamenti in tempo reale (RTP) sarà influenzato da</w:t>
      </w:r>
      <w:r w:rsidR="00D83E04">
        <w:rPr>
          <w:rFonts w:ascii="Visa Dialect Regular" w:hAnsi="Visa Dialect Regular"/>
          <w:lang w:val="it-IT"/>
        </w:rPr>
        <w:t>ll’</w:t>
      </w:r>
      <w:r w:rsidRPr="004B0351">
        <w:rPr>
          <w:rFonts w:ascii="Visa Dialect Regular" w:hAnsi="Visa Dialect Regular"/>
          <w:lang w:val="it-IT"/>
        </w:rPr>
        <w:t>andament</w:t>
      </w:r>
      <w:r w:rsidR="00D83E04">
        <w:rPr>
          <w:rFonts w:ascii="Visa Dialect Regular" w:hAnsi="Visa Dialect Regular"/>
          <w:lang w:val="it-IT"/>
        </w:rPr>
        <w:t>o</w:t>
      </w:r>
      <w:r w:rsidRPr="004B0351">
        <w:rPr>
          <w:rFonts w:ascii="Visa Dialect Regular" w:hAnsi="Visa Dialect Regular"/>
          <w:lang w:val="it-IT"/>
        </w:rPr>
        <w:t xml:space="preserve"> delle maggiori economie mondiali.</w:t>
      </w:r>
      <w:r w:rsidR="00D83E04">
        <w:rPr>
          <w:rFonts w:ascii="Visa Dialect Regular" w:hAnsi="Visa Dialect Regular"/>
          <w:lang w:val="it-IT"/>
        </w:rPr>
        <w:t xml:space="preserve"> </w:t>
      </w:r>
    </w:p>
    <w:p w14:paraId="370129C8" w14:textId="73967F72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 xml:space="preserve">In Europa, il sistema di trasferimento istantaneo dei crediti dell'Area unica dei pagamenti in euro (SEPA) sarà ampiamente adottato, facilitando le transazioni istantanee in euro </w:t>
      </w:r>
      <w:r w:rsidR="00D83E04">
        <w:rPr>
          <w:rFonts w:ascii="Visa Dialect Regular" w:hAnsi="Visa Dialect Regular"/>
          <w:lang w:val="it-IT"/>
        </w:rPr>
        <w:t>ne</w:t>
      </w:r>
      <w:r w:rsidRPr="004B0351">
        <w:rPr>
          <w:rFonts w:ascii="Visa Dialect Regular" w:hAnsi="Visa Dialect Regular"/>
          <w:lang w:val="it-IT"/>
        </w:rPr>
        <w:t>i confini dell'UE.</w:t>
      </w:r>
    </w:p>
    <w:p w14:paraId="77AC2D6F" w14:textId="0E80F2DA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 xml:space="preserve">Sebbene questi progressi rappresentino un </w:t>
      </w:r>
      <w:r w:rsidR="00D83E04">
        <w:rPr>
          <w:rFonts w:ascii="Visa Dialect Regular" w:hAnsi="Visa Dialect Regular"/>
          <w:lang w:val="it-IT"/>
        </w:rPr>
        <w:t>passo avanti</w:t>
      </w:r>
      <w:r w:rsidRPr="004B0351">
        <w:rPr>
          <w:rFonts w:ascii="Visa Dialect Regular" w:hAnsi="Visa Dialect Regular"/>
          <w:lang w:val="it-IT"/>
        </w:rPr>
        <w:t xml:space="preserve"> significativo, rimangono </w:t>
      </w:r>
      <w:r w:rsidR="00D83E04">
        <w:rPr>
          <w:rFonts w:ascii="Visa Dialect Regular" w:hAnsi="Visa Dialect Regular"/>
          <w:lang w:val="it-IT"/>
        </w:rPr>
        <w:t xml:space="preserve">ancora </w:t>
      </w:r>
      <w:r w:rsidRPr="004B0351">
        <w:rPr>
          <w:rFonts w:ascii="Visa Dialect Regular" w:hAnsi="Visa Dialect Regular"/>
          <w:lang w:val="it-IT"/>
        </w:rPr>
        <w:t>delle sfide da affrontare. I governi nazionali che hanno cercato di gestire autonomamente le reti RTP hanno dovuto affrontare problemi quali frodi, vulnerabilità della sicurezza, problemi di disponibilità e mancanza di capacità transfrontaliere/</w:t>
      </w:r>
      <w:proofErr w:type="spellStart"/>
      <w:r w:rsidRPr="004B0351">
        <w:rPr>
          <w:rFonts w:ascii="Visa Dialect Regular" w:hAnsi="Visa Dialect Regular"/>
          <w:lang w:val="it-IT"/>
        </w:rPr>
        <w:t>fx</w:t>
      </w:r>
      <w:proofErr w:type="spellEnd"/>
      <w:r w:rsidRPr="004B0351">
        <w:rPr>
          <w:rFonts w:ascii="Visa Dialect Regular" w:hAnsi="Visa Dialect Regular"/>
          <w:lang w:val="it-IT"/>
        </w:rPr>
        <w:t>. La collaborazione con il settore privato, comprese aziende come Visa, può aiutare a superare queste sfide fornendo competenze e risorse per migliorare la sicurezza, l'interoperabilità e le funzionalità transfrontaliere.</w:t>
      </w:r>
    </w:p>
    <w:p w14:paraId="52256E5B" w14:textId="0578FF48" w:rsidR="00D83E04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 xml:space="preserve">Il compito cruciale per le autorità di regolamentazione, i responsabili politici e l'intero ecosistema dei pagamenti è quello di bilanciare l'innovazione </w:t>
      </w:r>
      <w:r w:rsidR="00D83E04">
        <w:rPr>
          <w:rFonts w:ascii="Visa Dialect Regular" w:hAnsi="Visa Dialect Regular"/>
          <w:lang w:val="it-IT"/>
        </w:rPr>
        <w:t xml:space="preserve">e </w:t>
      </w:r>
      <w:r w:rsidR="00646DB8">
        <w:rPr>
          <w:rFonts w:ascii="Visa Dialect Regular" w:hAnsi="Visa Dialect Regular"/>
          <w:lang w:val="it-IT"/>
        </w:rPr>
        <w:t xml:space="preserve">la </w:t>
      </w:r>
      <w:r w:rsidR="00D83E04">
        <w:rPr>
          <w:rFonts w:ascii="Visa Dialect Regular" w:hAnsi="Visa Dialect Regular"/>
          <w:lang w:val="it-IT"/>
        </w:rPr>
        <w:t>sicurezza</w:t>
      </w:r>
      <w:r w:rsidRPr="004B0351">
        <w:rPr>
          <w:rFonts w:ascii="Visa Dialect Regular" w:hAnsi="Visa Dialect Regular"/>
          <w:lang w:val="it-IT"/>
        </w:rPr>
        <w:t>, proteggendo dai rischi associati alla natura istantanea e irreversibile dei pagamenti RTP. Garantire l'apertura e l'interoperabilità d</w:t>
      </w:r>
      <w:r w:rsidR="00D83E04">
        <w:rPr>
          <w:rFonts w:ascii="Visa Dialect Regular" w:hAnsi="Visa Dialect Regular"/>
          <w:lang w:val="it-IT"/>
        </w:rPr>
        <w:t xml:space="preserve">i queste </w:t>
      </w:r>
      <w:r w:rsidRPr="004B0351">
        <w:rPr>
          <w:rFonts w:ascii="Visa Dialect Regular" w:hAnsi="Visa Dialect Regular"/>
          <w:lang w:val="it-IT"/>
        </w:rPr>
        <w:t>reti nazionali è fondamentale anche per facilitare il commercio e la crescita globale.</w:t>
      </w:r>
    </w:p>
    <w:p w14:paraId="63E55830" w14:textId="77777777" w:rsidR="001E3212" w:rsidRDefault="001E3212" w:rsidP="004B0351">
      <w:pPr>
        <w:jc w:val="both"/>
        <w:rPr>
          <w:rFonts w:ascii="Visa Dialect Regular" w:hAnsi="Visa Dialect Regular"/>
          <w:lang w:val="it-IT"/>
        </w:rPr>
      </w:pPr>
    </w:p>
    <w:p w14:paraId="60571204" w14:textId="42161FC7" w:rsidR="004B0351" w:rsidRPr="004B0351" w:rsidRDefault="004B0351" w:rsidP="004B0351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b/>
          <w:bCs/>
          <w:u w:val="single"/>
          <w:lang w:val="it-IT"/>
        </w:rPr>
      </w:pPr>
      <w:r w:rsidRPr="004B0351">
        <w:rPr>
          <w:rFonts w:ascii="Visa Dialect Regular" w:hAnsi="Visa Dialect Regular"/>
          <w:b/>
          <w:bCs/>
          <w:u w:val="single"/>
          <w:lang w:val="it-IT"/>
        </w:rPr>
        <w:t>I pagamenti A2A si semplificano</w:t>
      </w:r>
    </w:p>
    <w:p w14:paraId="29CBAC79" w14:textId="77777777" w:rsidR="004B0351" w:rsidRDefault="004B0351" w:rsidP="004B0351">
      <w:pPr>
        <w:jc w:val="both"/>
        <w:rPr>
          <w:rFonts w:ascii="Visa Dialect Regular" w:hAnsi="Visa Dialect Regular"/>
          <w:lang w:val="it-IT"/>
        </w:rPr>
      </w:pPr>
    </w:p>
    <w:p w14:paraId="25AAE58F" w14:textId="6B634E97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lastRenderedPageBreak/>
        <w:t>I pagamenti con carta offrono una certa esperienza, sicurezza e protezione che i pagamenti senza carta semplicemente non garantiscono.</w:t>
      </w:r>
      <w:r>
        <w:rPr>
          <w:rFonts w:ascii="Visa Dialect Regular" w:hAnsi="Visa Dialect Regular"/>
          <w:lang w:val="it-IT"/>
        </w:rPr>
        <w:t xml:space="preserve"> </w:t>
      </w:r>
      <w:r w:rsidRPr="004B0351">
        <w:rPr>
          <w:rFonts w:ascii="Visa Dialect Regular" w:hAnsi="Visa Dialect Regular"/>
          <w:lang w:val="it-IT"/>
        </w:rPr>
        <w:t>Ma le cose stanno cambiando.</w:t>
      </w:r>
    </w:p>
    <w:p w14:paraId="2605F374" w14:textId="77C95555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 xml:space="preserve">I pagamenti elettronici, come i trasferimenti ACH, sono stati in gran parte esclusi dalla rivoluzione digitale. Prodotti come il </w:t>
      </w:r>
      <w:hyperlink r:id="rId9" w:history="1">
        <w:proofErr w:type="spellStart"/>
        <w:r w:rsidRPr="00D83E04">
          <w:rPr>
            <w:rStyle w:val="Collegamentoipertestuale"/>
            <w:rFonts w:ascii="Visa Dialect Regular" w:hAnsi="Visa Dialect Regular"/>
            <w:lang w:val="it-IT"/>
          </w:rPr>
          <w:t>pay</w:t>
        </w:r>
        <w:proofErr w:type="spellEnd"/>
        <w:r w:rsidRPr="00D83E04">
          <w:rPr>
            <w:rStyle w:val="Collegamentoipertestuale"/>
            <w:rFonts w:ascii="Visa Dialect Regular" w:hAnsi="Visa Dialect Regular"/>
            <w:lang w:val="it-IT"/>
          </w:rPr>
          <w:t xml:space="preserve"> by bank</w:t>
        </w:r>
      </w:hyperlink>
      <w:r w:rsidRPr="004B0351">
        <w:rPr>
          <w:rFonts w:ascii="Visa Dialect Regular" w:hAnsi="Visa Dialect Regular"/>
          <w:lang w:val="it-IT"/>
        </w:rPr>
        <w:t xml:space="preserve"> stanno digitalizzando e semplificando i pagamenti A2A, offrendo ai consumatori più modi per pagare.</w:t>
      </w:r>
    </w:p>
    <w:p w14:paraId="218F6D8D" w14:textId="3814778E" w:rsidR="001C4B78" w:rsidRDefault="00D83E04" w:rsidP="004B0351">
      <w:pPr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I</w:t>
      </w:r>
      <w:r w:rsidR="004B0351" w:rsidRPr="004B0351">
        <w:rPr>
          <w:rFonts w:ascii="Visa Dialect Regular" w:hAnsi="Visa Dialect Regular"/>
          <w:lang w:val="it-IT"/>
        </w:rPr>
        <w:t xml:space="preserve"> pagamenti in tempo reale sono diventati popolari e diffusi </w:t>
      </w:r>
      <w:r>
        <w:rPr>
          <w:rFonts w:ascii="Visa Dialect Regular" w:hAnsi="Visa Dialect Regular"/>
          <w:lang w:val="it-IT"/>
        </w:rPr>
        <w:t>e, allo stes</w:t>
      </w:r>
      <w:r w:rsidR="00CC3CE0">
        <w:rPr>
          <w:rFonts w:ascii="Visa Dialect Regular" w:hAnsi="Visa Dialect Regular"/>
          <w:lang w:val="it-IT"/>
        </w:rPr>
        <w:t>s</w:t>
      </w:r>
      <w:r>
        <w:rPr>
          <w:rFonts w:ascii="Visa Dialect Regular" w:hAnsi="Visa Dialect Regular"/>
          <w:lang w:val="it-IT"/>
        </w:rPr>
        <w:t xml:space="preserve">o tempo, </w:t>
      </w:r>
      <w:r w:rsidR="004B0351" w:rsidRPr="004B0351">
        <w:rPr>
          <w:rFonts w:ascii="Visa Dialect Regular" w:hAnsi="Visa Dialect Regular"/>
          <w:lang w:val="it-IT"/>
        </w:rPr>
        <w:t>sono stati presi di mira dai truffatori. Strumenti innovativi</w:t>
      </w:r>
      <w:r w:rsidR="00646DB8">
        <w:rPr>
          <w:rFonts w:ascii="Visa Dialect Regular" w:hAnsi="Visa Dialect Regular"/>
          <w:lang w:val="it-IT"/>
        </w:rPr>
        <w:t>,</w:t>
      </w:r>
      <w:r w:rsidR="004B0351" w:rsidRPr="004B0351">
        <w:rPr>
          <w:rFonts w:ascii="Visa Dialect Regular" w:hAnsi="Visa Dialect Regular"/>
          <w:lang w:val="it-IT"/>
        </w:rPr>
        <w:t xml:space="preserve"> come </w:t>
      </w:r>
      <w:hyperlink r:id="rId10" w:history="1">
        <w:r w:rsidR="004B0351" w:rsidRPr="004B0351">
          <w:rPr>
            <w:rStyle w:val="Collegamentoipertestuale"/>
            <w:rFonts w:ascii="Visa Dialect Regular" w:hAnsi="Visa Dialect Regular"/>
            <w:lang w:val="it-IT"/>
          </w:rPr>
          <w:t>Visa Protect for A2A Payments</w:t>
        </w:r>
      </w:hyperlink>
      <w:r w:rsidR="00646DB8">
        <w:rPr>
          <w:rStyle w:val="Collegamentoipertestuale"/>
          <w:rFonts w:ascii="Visa Dialect Regular" w:hAnsi="Visa Dialect Regular"/>
          <w:lang w:val="it-IT"/>
        </w:rPr>
        <w:t>,</w:t>
      </w:r>
      <w:r w:rsidR="004B0351" w:rsidRPr="004B0351">
        <w:rPr>
          <w:rFonts w:ascii="Visa Dialect Regular" w:hAnsi="Visa Dialect Regular"/>
          <w:lang w:val="it-IT"/>
        </w:rPr>
        <w:t xml:space="preserve"> si stanno diffondendo per aiutare a mitigare le frodi sulle reti RTP.</w:t>
      </w:r>
    </w:p>
    <w:p w14:paraId="56CEACA6" w14:textId="77777777" w:rsidR="001E3212" w:rsidRDefault="001E3212" w:rsidP="004B0351">
      <w:pPr>
        <w:jc w:val="both"/>
        <w:rPr>
          <w:rFonts w:ascii="Visa Dialect Regular" w:hAnsi="Visa Dialect Regular"/>
          <w:lang w:val="it-IT"/>
        </w:rPr>
      </w:pPr>
    </w:p>
    <w:p w14:paraId="6DA60957" w14:textId="12DD02C3" w:rsidR="004B0351" w:rsidRPr="004715B6" w:rsidRDefault="001C4B78" w:rsidP="004B0351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b/>
          <w:bCs/>
          <w:u w:val="single"/>
          <w:lang w:val="it-IT"/>
        </w:rPr>
      </w:pPr>
      <w:r w:rsidRPr="004715B6">
        <w:rPr>
          <w:rFonts w:ascii="Visa Dialect Regular" w:hAnsi="Visa Dialect Regular"/>
          <w:b/>
          <w:bCs/>
          <w:u w:val="single"/>
          <w:lang w:val="it-IT"/>
        </w:rPr>
        <w:t>Cresce l</w:t>
      </w:r>
      <w:r w:rsidR="004B0351" w:rsidRPr="004715B6">
        <w:rPr>
          <w:rFonts w:ascii="Visa Dialect Regular" w:hAnsi="Visa Dialect Regular"/>
          <w:b/>
          <w:bCs/>
          <w:u w:val="single"/>
          <w:lang w:val="it-IT"/>
        </w:rPr>
        <w:t xml:space="preserve">’embedded finance </w:t>
      </w:r>
    </w:p>
    <w:p w14:paraId="7658A4FE" w14:textId="77777777" w:rsidR="004B0351" w:rsidRPr="004715B6" w:rsidRDefault="004B0351" w:rsidP="004B0351">
      <w:pPr>
        <w:jc w:val="both"/>
        <w:rPr>
          <w:rFonts w:ascii="Visa Dialect Regular" w:hAnsi="Visa Dialect Regular"/>
          <w:b/>
          <w:bCs/>
          <w:lang w:val="it-IT"/>
        </w:rPr>
      </w:pPr>
    </w:p>
    <w:p w14:paraId="6ACBEE5D" w14:textId="56A5C9D8" w:rsidR="004B0351" w:rsidRPr="004715B6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715B6">
        <w:rPr>
          <w:rFonts w:ascii="Visa Dialect Regular" w:hAnsi="Visa Dialect Regular"/>
          <w:lang w:val="it-IT"/>
        </w:rPr>
        <w:t>L’</w:t>
      </w:r>
      <w:hyperlink r:id="rId11" w:history="1">
        <w:r w:rsidRPr="00CC3CE0">
          <w:rPr>
            <w:rStyle w:val="Collegamentoipertestuale"/>
            <w:rFonts w:ascii="Visa Dialect Regular" w:hAnsi="Visa Dialect Regular"/>
            <w:lang w:val="it-IT"/>
          </w:rPr>
          <w:t>embedded finance</w:t>
        </w:r>
      </w:hyperlink>
      <w:r w:rsidRPr="004715B6">
        <w:rPr>
          <w:rFonts w:ascii="Visa Dialect Regular" w:hAnsi="Visa Dialect Regular"/>
          <w:lang w:val="it-IT"/>
        </w:rPr>
        <w:t xml:space="preserve"> consiste nell'incorporare prodotti e servizi finanziari di terzi in piattaforme digitali </w:t>
      </w:r>
      <w:r w:rsidR="001C4B78" w:rsidRPr="004715B6">
        <w:rPr>
          <w:rFonts w:ascii="Visa Dialect Regular" w:hAnsi="Visa Dialect Regular"/>
          <w:lang w:val="it-IT"/>
        </w:rPr>
        <w:t xml:space="preserve">di natura </w:t>
      </w:r>
      <w:r w:rsidRPr="004715B6">
        <w:rPr>
          <w:rFonts w:ascii="Visa Dialect Regular" w:hAnsi="Visa Dialect Regular"/>
          <w:lang w:val="it-IT"/>
        </w:rPr>
        <w:t>non finanziari</w:t>
      </w:r>
      <w:r w:rsidR="001C4B78" w:rsidRPr="004715B6">
        <w:rPr>
          <w:rFonts w:ascii="Visa Dialect Regular" w:hAnsi="Visa Dialect Regular"/>
          <w:lang w:val="it-IT"/>
        </w:rPr>
        <w:t>a</w:t>
      </w:r>
      <w:r w:rsidRPr="004715B6">
        <w:rPr>
          <w:rFonts w:ascii="Visa Dialect Regular" w:hAnsi="Visa Dialect Regular"/>
          <w:lang w:val="it-IT"/>
        </w:rPr>
        <w:t>. Le soluzioni di pagamento sono sempre più integrate, in particolare nell'ecosistema de</w:t>
      </w:r>
      <w:r w:rsidR="001C4B78" w:rsidRPr="004715B6">
        <w:rPr>
          <w:rFonts w:ascii="Visa Dialect Regular" w:hAnsi="Visa Dialect Regular"/>
          <w:lang w:val="it-IT"/>
        </w:rPr>
        <w:t>gli esercenti</w:t>
      </w:r>
      <w:r w:rsidRPr="004715B6">
        <w:rPr>
          <w:rFonts w:ascii="Visa Dialect Regular" w:hAnsi="Visa Dialect Regular"/>
          <w:lang w:val="it-IT"/>
        </w:rPr>
        <w:t xml:space="preserve">. Si assiste anche a un aumento dei prodotti di prestito di </w:t>
      </w:r>
      <w:r w:rsidR="001C4B78" w:rsidRPr="004715B6">
        <w:rPr>
          <w:rFonts w:ascii="Visa Dialect Regular" w:hAnsi="Visa Dialect Regular"/>
          <w:lang w:val="it-IT"/>
        </w:rPr>
        <w:t>embedded finance</w:t>
      </w:r>
      <w:r w:rsidRPr="004715B6">
        <w:rPr>
          <w:rFonts w:ascii="Visa Dialect Regular" w:hAnsi="Visa Dialect Regular"/>
          <w:lang w:val="it-IT"/>
        </w:rPr>
        <w:t xml:space="preserve"> e delle soluzioni di pagamento white-label.</w:t>
      </w:r>
    </w:p>
    <w:p w14:paraId="4FFACEDA" w14:textId="0B58ECCB" w:rsidR="004B0351" w:rsidRPr="004715B6" w:rsidRDefault="001C4B78" w:rsidP="004B0351">
      <w:pPr>
        <w:jc w:val="both"/>
        <w:rPr>
          <w:rFonts w:ascii="Visa Dialect Regular" w:hAnsi="Visa Dialect Regular"/>
          <w:lang w:val="it-IT"/>
        </w:rPr>
      </w:pPr>
      <w:r w:rsidRPr="004715B6">
        <w:rPr>
          <w:rFonts w:ascii="Visa Dialect Regular" w:hAnsi="Visa Dialect Regular"/>
          <w:lang w:val="it-IT"/>
        </w:rPr>
        <w:t>Potrebbe essere</w:t>
      </w:r>
      <w:r w:rsidR="004B0351" w:rsidRPr="004715B6">
        <w:rPr>
          <w:rFonts w:ascii="Visa Dialect Regular" w:hAnsi="Visa Dialect Regular"/>
          <w:lang w:val="it-IT"/>
        </w:rPr>
        <w:t xml:space="preserve"> un vantaggio </w:t>
      </w:r>
      <w:r w:rsidR="000D0A89" w:rsidRPr="004715B6">
        <w:rPr>
          <w:rFonts w:ascii="Visa Dialect Regular" w:hAnsi="Visa Dialect Regular"/>
          <w:lang w:val="it-IT"/>
        </w:rPr>
        <w:t>da quattro punti di vista</w:t>
      </w:r>
      <w:r w:rsidR="004B0351" w:rsidRPr="004715B6">
        <w:rPr>
          <w:rFonts w:ascii="Visa Dialect Regular" w:hAnsi="Visa Dialect Regular"/>
          <w:lang w:val="it-IT"/>
        </w:rPr>
        <w:t>: i fornitori guadagnano dalla distribuzione a basso costo; gli abilitatori sfruttano la domanda di semplicità e convenienza</w:t>
      </w:r>
      <w:r w:rsidR="00646DB8" w:rsidRPr="004715B6">
        <w:rPr>
          <w:rFonts w:ascii="Visa Dialect Regular" w:hAnsi="Visa Dialect Regular"/>
          <w:lang w:val="it-IT"/>
        </w:rPr>
        <w:t>,</w:t>
      </w:r>
      <w:r w:rsidR="004B0351" w:rsidRPr="004715B6">
        <w:rPr>
          <w:rFonts w:ascii="Visa Dialect Regular" w:hAnsi="Visa Dialect Regular"/>
          <w:lang w:val="it-IT"/>
        </w:rPr>
        <w:t xml:space="preserve"> i distributori migliorano il coinvolgimento della piattaforma e, soprattutto, gli utenti finali ottengono servizi finanziari contestualizzati in un unico luogo.</w:t>
      </w:r>
    </w:p>
    <w:p w14:paraId="13A5B407" w14:textId="77777777" w:rsidR="00646DB8" w:rsidRDefault="00646DB8" w:rsidP="004B0351">
      <w:pPr>
        <w:jc w:val="both"/>
        <w:rPr>
          <w:rFonts w:ascii="Visa Dialect Regular" w:hAnsi="Visa Dialect Regular"/>
          <w:lang w:val="it-IT"/>
        </w:rPr>
      </w:pPr>
    </w:p>
    <w:p w14:paraId="6403DDB1" w14:textId="783D7BC8" w:rsidR="004B0351" w:rsidRDefault="004B0351" w:rsidP="004B0351">
      <w:pPr>
        <w:pStyle w:val="Paragrafoelenco"/>
        <w:numPr>
          <w:ilvl w:val="0"/>
          <w:numId w:val="33"/>
        </w:numPr>
        <w:jc w:val="both"/>
        <w:rPr>
          <w:rFonts w:ascii="Visa Dialect Regular" w:hAnsi="Visa Dialect Regular"/>
          <w:b/>
          <w:bCs/>
          <w:u w:val="single"/>
          <w:lang w:val="it-IT"/>
        </w:rPr>
      </w:pPr>
      <w:r w:rsidRPr="004B0351">
        <w:rPr>
          <w:rFonts w:ascii="Visa Dialect Regular" w:hAnsi="Visa Dialect Regular"/>
          <w:b/>
          <w:bCs/>
          <w:u w:val="single"/>
          <w:lang w:val="it-IT"/>
        </w:rPr>
        <w:t xml:space="preserve">I pagamenti transfrontalieri viaggiano velocemente </w:t>
      </w:r>
    </w:p>
    <w:p w14:paraId="6C918A86" w14:textId="77777777" w:rsidR="004B0351" w:rsidRDefault="004B0351" w:rsidP="004B0351">
      <w:pPr>
        <w:jc w:val="both"/>
        <w:rPr>
          <w:rFonts w:ascii="Visa Dialect Regular" w:hAnsi="Visa Dialect Regular"/>
          <w:b/>
          <w:bCs/>
          <w:u w:val="single"/>
          <w:lang w:val="it-IT"/>
        </w:rPr>
      </w:pPr>
    </w:p>
    <w:p w14:paraId="28F52645" w14:textId="6472F4AF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 xml:space="preserve">Il </w:t>
      </w:r>
      <w:hyperlink r:id="rId12" w:history="1">
        <w:r w:rsidRPr="004B0351">
          <w:rPr>
            <w:rStyle w:val="Collegamentoipertestuale"/>
            <w:rFonts w:ascii="Visa Dialect Regular" w:hAnsi="Visa Dialect Regular"/>
            <w:lang w:val="it-IT"/>
          </w:rPr>
          <w:t>movimento di denaro transfrontaliero</w:t>
        </w:r>
      </w:hyperlink>
      <w:r w:rsidRPr="004B0351">
        <w:rPr>
          <w:rFonts w:ascii="Visa Dialect Regular" w:hAnsi="Visa Dialect Regular"/>
          <w:lang w:val="it-IT"/>
        </w:rPr>
        <w:t xml:space="preserve"> è stato storicamente incentrato sul B2B e gestito principalmente dalle banche tradizionali. Ma la globalizzazione e il commercio mondiale hanno cambiato le cose.</w:t>
      </w:r>
    </w:p>
    <w:p w14:paraId="60DDB7A1" w14:textId="3F07D3E0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>Poiché i consumatori e le piccole e medie imprese hanno sempre più bisogno di inviare denaro da persona a persona in tutto il mondo, le carenze del mercato - troppo complesso, costoso</w:t>
      </w:r>
      <w:r w:rsidR="001C4B78">
        <w:rPr>
          <w:rFonts w:ascii="Visa Dialect Regular" w:hAnsi="Visa Dialect Regular"/>
          <w:lang w:val="it-IT"/>
        </w:rPr>
        <w:t xml:space="preserve"> </w:t>
      </w:r>
      <w:r w:rsidRPr="004B0351">
        <w:rPr>
          <w:rFonts w:ascii="Visa Dialect Regular" w:hAnsi="Visa Dialect Regular"/>
          <w:lang w:val="it-IT"/>
        </w:rPr>
        <w:t>e lento - stanno diventando sempre più evidenti.</w:t>
      </w:r>
    </w:p>
    <w:p w14:paraId="3BB16ABD" w14:textId="7B31926F" w:rsidR="004B0351" w:rsidRPr="004B0351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t>L</w:t>
      </w:r>
      <w:r w:rsidR="0010500F">
        <w:rPr>
          <w:rFonts w:ascii="Visa Dialect Regular" w:hAnsi="Visa Dialect Regular"/>
          <w:lang w:val="it-IT"/>
        </w:rPr>
        <w:t>’</w:t>
      </w:r>
      <w:r w:rsidRPr="004B0351">
        <w:rPr>
          <w:rFonts w:ascii="Visa Dialect Regular" w:hAnsi="Visa Dialect Regular"/>
          <w:lang w:val="it-IT"/>
        </w:rPr>
        <w:t>espansione delle reti di pagamento in tempo reale potrebbe rivoluzionare i pagamenti transfrontalieri, ma abbiamo bisogno di reti RTP globali interoperabili, con meccanismi che consentano di elaborare pagamenti in più valute, e non di reti nazionali isolate che non poss</w:t>
      </w:r>
      <w:r w:rsidR="001C4B78">
        <w:rPr>
          <w:rFonts w:ascii="Visa Dialect Regular" w:hAnsi="Visa Dialect Regular"/>
          <w:lang w:val="it-IT"/>
        </w:rPr>
        <w:t>a</w:t>
      </w:r>
      <w:r w:rsidRPr="004B0351">
        <w:rPr>
          <w:rFonts w:ascii="Visa Dialect Regular" w:hAnsi="Visa Dialect Regular"/>
          <w:lang w:val="it-IT"/>
        </w:rPr>
        <w:t xml:space="preserve">no </w:t>
      </w:r>
      <w:r w:rsidR="001C4B78">
        <w:rPr>
          <w:rFonts w:ascii="Visa Dialect Regular" w:hAnsi="Visa Dialect Regular"/>
          <w:lang w:val="it-IT"/>
        </w:rPr>
        <w:t>dialogare</w:t>
      </w:r>
      <w:r w:rsidRPr="004B0351">
        <w:rPr>
          <w:rFonts w:ascii="Visa Dialect Regular" w:hAnsi="Visa Dialect Regular"/>
          <w:lang w:val="it-IT"/>
        </w:rPr>
        <w:t xml:space="preserve"> tra loro. Visa Direct è un ottimo esempio di rete globale per i pagamenti in tempo reale</w:t>
      </w:r>
      <w:r w:rsidR="001C4B78">
        <w:rPr>
          <w:rFonts w:ascii="Visa Dialect Regular" w:hAnsi="Visa Dialect Regular"/>
          <w:lang w:val="it-IT"/>
        </w:rPr>
        <w:t xml:space="preserve">, </w:t>
      </w:r>
      <w:r w:rsidRPr="004B0351">
        <w:rPr>
          <w:rFonts w:ascii="Visa Dialect Regular" w:hAnsi="Visa Dialect Regular"/>
          <w:lang w:val="it-IT"/>
        </w:rPr>
        <w:t>interoperabile e che consente funzionalità transfrontaliere più rapide ed economiche.</w:t>
      </w:r>
    </w:p>
    <w:p w14:paraId="7C28371D" w14:textId="67BA05D3" w:rsidR="001C4B78" w:rsidRDefault="004B0351" w:rsidP="004B0351">
      <w:pPr>
        <w:jc w:val="both"/>
        <w:rPr>
          <w:rFonts w:ascii="Visa Dialect Regular" w:hAnsi="Visa Dialect Regular"/>
          <w:lang w:val="it-IT"/>
        </w:rPr>
      </w:pPr>
      <w:r w:rsidRPr="004B0351">
        <w:rPr>
          <w:rFonts w:ascii="Visa Dialect Regular" w:hAnsi="Visa Dialect Regular"/>
          <w:lang w:val="it-IT"/>
        </w:rPr>
        <w:lastRenderedPageBreak/>
        <w:t>Soluzioni di pagamento transfrontaliero più efficienti e convenienti consentiranno alle aziende e ai consumatori di effettuare transazioni senza ritardi e</w:t>
      </w:r>
      <w:r w:rsidR="001C4B78">
        <w:rPr>
          <w:rFonts w:ascii="Visa Dialect Regular" w:hAnsi="Visa Dialect Regular"/>
          <w:lang w:val="it-IT"/>
        </w:rPr>
        <w:t xml:space="preserve"> </w:t>
      </w:r>
      <w:r w:rsidRPr="004B0351">
        <w:rPr>
          <w:rFonts w:ascii="Visa Dialect Regular" w:hAnsi="Visa Dialect Regular"/>
          <w:lang w:val="it-IT"/>
        </w:rPr>
        <w:t>commissioni, semplificando al contempo le conversioni di valuta e la conformità alle normative locali.</w:t>
      </w:r>
    </w:p>
    <w:p w14:paraId="355B5365" w14:textId="26ADDC2B" w:rsidR="00721229" w:rsidRDefault="00A966DE" w:rsidP="004B0351">
      <w:pPr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“</w:t>
      </w:r>
      <w:r w:rsidR="00721229" w:rsidRPr="00721229">
        <w:rPr>
          <w:rFonts w:ascii="Visa Dialect Regular" w:hAnsi="Visa Dialect Regular"/>
          <w:lang w:val="it-IT"/>
        </w:rPr>
        <w:t>I pagamenti sono in continua evoluzione per offrire convenienza, trasparenza e fiducia</w:t>
      </w:r>
      <w:r>
        <w:rPr>
          <w:rFonts w:ascii="Visa Dialect Regular" w:hAnsi="Visa Dialect Regular"/>
          <w:lang w:val="it-IT"/>
        </w:rPr>
        <w:t>”</w:t>
      </w:r>
      <w:r w:rsidR="002C63EA">
        <w:rPr>
          <w:rFonts w:ascii="Visa Dialect Regular" w:hAnsi="Visa Dialect Regular"/>
          <w:lang w:val="it-IT"/>
        </w:rPr>
        <w:t>,</w:t>
      </w:r>
      <w:r>
        <w:rPr>
          <w:rFonts w:ascii="Visa Dialect Regular" w:hAnsi="Visa Dialect Regular"/>
          <w:lang w:val="it-IT"/>
        </w:rPr>
        <w:t xml:space="preserve"> ha dichiarato Stefano M. Stoppani, Country Manager Visa in Italia</w:t>
      </w:r>
      <w:r w:rsidR="00721229" w:rsidRPr="00721229">
        <w:rPr>
          <w:rFonts w:ascii="Visa Dialect Regular" w:hAnsi="Visa Dialect Regular"/>
          <w:lang w:val="it-IT"/>
        </w:rPr>
        <w:t xml:space="preserve">. </w:t>
      </w:r>
      <w:r>
        <w:rPr>
          <w:rFonts w:ascii="Visa Dialect Regular" w:hAnsi="Visa Dialect Regular"/>
          <w:lang w:val="it-IT"/>
        </w:rPr>
        <w:t>“</w:t>
      </w:r>
      <w:r w:rsidR="00721229" w:rsidRPr="00721229">
        <w:rPr>
          <w:rFonts w:ascii="Visa Dialect Regular" w:hAnsi="Visa Dialect Regular"/>
          <w:lang w:val="it-IT"/>
        </w:rPr>
        <w:t>Permettono alle aziende di crescere, ai consumatori di sentirsi sicuri e alle comunità di prosperare. Dall'autenticazione biometrica alle transazioni istantanee e senza</w:t>
      </w:r>
      <w:r w:rsidR="001C4B78">
        <w:rPr>
          <w:rFonts w:ascii="Visa Dialect Regular" w:hAnsi="Visa Dialect Regular"/>
          <w:lang w:val="it-IT"/>
        </w:rPr>
        <w:t xml:space="preserve"> interruzioni </w:t>
      </w:r>
      <w:r w:rsidR="00721229" w:rsidRPr="00721229">
        <w:rPr>
          <w:rFonts w:ascii="Visa Dialect Regular" w:hAnsi="Visa Dialect Regular"/>
          <w:lang w:val="it-IT"/>
        </w:rPr>
        <w:t>in tutto il mondo, ogni innovazione rappresenta un passo avanti per soddisfare le esigenze di tutti coloro che pagano e vengono pagati.</w:t>
      </w:r>
      <w:r>
        <w:rPr>
          <w:rFonts w:ascii="Visa Dialect Regular" w:hAnsi="Visa Dialect Regular"/>
          <w:lang w:val="it-IT"/>
        </w:rPr>
        <w:t>”</w:t>
      </w:r>
    </w:p>
    <w:p w14:paraId="1DAE1974" w14:textId="60BC5894" w:rsidR="00B10A4A" w:rsidRDefault="00B10A4A" w:rsidP="004B0351">
      <w:pPr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 xml:space="preserve">Per saperne di </w:t>
      </w:r>
      <w:r w:rsidR="004715B6">
        <w:rPr>
          <w:rFonts w:ascii="Visa Dialect Regular" w:hAnsi="Visa Dialect Regular"/>
          <w:lang w:val="it-IT"/>
        </w:rPr>
        <w:t>più</w:t>
      </w:r>
      <w:r>
        <w:rPr>
          <w:rFonts w:ascii="Visa Dialect Regular" w:hAnsi="Visa Dialect Regular"/>
          <w:lang w:val="it-IT"/>
        </w:rPr>
        <w:t xml:space="preserve"> </w:t>
      </w:r>
      <w:r w:rsidR="000A5E2B">
        <w:rPr>
          <w:rFonts w:ascii="Visa Dialect Regular" w:hAnsi="Visa Dialect Regular"/>
          <w:lang w:val="it-IT"/>
        </w:rPr>
        <w:t xml:space="preserve">sui Trend 2025 clicca </w:t>
      </w:r>
      <w:hyperlink r:id="rId13" w:anchor=":~:text=Digital%20payments%20are%20on%20the,and%20driven%20by%20consumer%20choice." w:history="1">
        <w:r w:rsidR="000A5E2B" w:rsidRPr="009B4B3D">
          <w:rPr>
            <w:rStyle w:val="Collegamentoipertestuale"/>
            <w:rFonts w:ascii="Visa Dialect Regular" w:hAnsi="Visa Dialect Regular"/>
            <w:lang w:val="it-IT"/>
          </w:rPr>
          <w:t>qui</w:t>
        </w:r>
      </w:hyperlink>
    </w:p>
    <w:p w14:paraId="122C821A" w14:textId="77777777" w:rsidR="00721229" w:rsidRPr="00721229" w:rsidRDefault="00721229" w:rsidP="00721229">
      <w:pPr>
        <w:jc w:val="both"/>
        <w:rPr>
          <w:rFonts w:ascii="Visa Dialect Regular" w:hAnsi="Visa Dialect Regular"/>
          <w:b/>
          <w:bCs/>
          <w:lang w:val="it-IT"/>
        </w:rPr>
      </w:pPr>
      <w:r w:rsidRPr="00721229">
        <w:rPr>
          <w:rFonts w:ascii="Visa Dialect Regular" w:hAnsi="Visa Dialect Regular"/>
          <w:b/>
          <w:bCs/>
          <w:lang w:val="it-IT"/>
        </w:rPr>
        <w:t xml:space="preserve">Visa </w:t>
      </w:r>
    </w:p>
    <w:p w14:paraId="5087D638" w14:textId="77777777" w:rsidR="00721229" w:rsidRPr="00721229" w:rsidRDefault="00721229" w:rsidP="00721229">
      <w:pPr>
        <w:jc w:val="both"/>
        <w:rPr>
          <w:rFonts w:ascii="Visa Dialect Regular" w:hAnsi="Visa Dialect Regular"/>
          <w:u w:val="single"/>
          <w:lang w:val="it-IT"/>
        </w:rPr>
      </w:pPr>
      <w:r w:rsidRPr="00721229">
        <w:rPr>
          <w:rFonts w:ascii="Visa Dialect Regular" w:hAnsi="Visa Dialect Regular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Per maggiori informazioni, visita </w:t>
      </w:r>
      <w:hyperlink r:id="rId14" w:tgtFrame="_blank" w:history="1">
        <w:r w:rsidRPr="00721229">
          <w:rPr>
            <w:rStyle w:val="Collegamentoipertestuale"/>
            <w:rFonts w:ascii="Visa Dialect Regular" w:hAnsi="Visa Dialect Regular"/>
            <w:lang w:val="it-IT"/>
          </w:rPr>
          <w:t>https://www.visaitalia.com/</w:t>
        </w:r>
      </w:hyperlink>
      <w:r w:rsidRPr="00721229">
        <w:rPr>
          <w:rFonts w:ascii="Visa Dialect Regular" w:hAnsi="Visa Dialect Regular"/>
          <w:lang w:val="it-IT"/>
        </w:rPr>
        <w:t xml:space="preserve"> </w:t>
      </w:r>
    </w:p>
    <w:p w14:paraId="74315BCE" w14:textId="77777777" w:rsidR="00721229" w:rsidRPr="004B0351" w:rsidRDefault="00721229" w:rsidP="004B0351">
      <w:pPr>
        <w:jc w:val="both"/>
        <w:rPr>
          <w:rFonts w:ascii="Visa Dialect Regular" w:hAnsi="Visa Dialect Regular"/>
          <w:lang w:val="it-IT"/>
        </w:rPr>
      </w:pPr>
    </w:p>
    <w:sectPr w:rsidR="00721229" w:rsidRPr="004B03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2C9F" w14:textId="77777777" w:rsidR="00DC0397" w:rsidRDefault="00DC0397" w:rsidP="00337D65">
      <w:pPr>
        <w:spacing w:after="0" w:line="240" w:lineRule="auto"/>
      </w:pPr>
      <w:r>
        <w:separator/>
      </w:r>
    </w:p>
  </w:endnote>
  <w:endnote w:type="continuationSeparator" w:id="0">
    <w:p w14:paraId="14683F2F" w14:textId="77777777" w:rsidR="00DC0397" w:rsidRDefault="00DC0397" w:rsidP="003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AEF3" w14:textId="77777777" w:rsidR="007E0937" w:rsidRDefault="007E09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98E7" w14:textId="011883AE" w:rsidR="00721229" w:rsidRPr="0069706E" w:rsidRDefault="00721229" w:rsidP="00721229">
    <w:pPr>
      <w:spacing w:after="0"/>
      <w:jc w:val="both"/>
      <w:rPr>
        <w:rFonts w:eastAsia="Calibri" w:cs="Times New Roman"/>
        <w:b/>
        <w:bCs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b/>
        <w:bCs/>
        <w:color w:val="171717" w:themeColor="background2" w:themeShade="1A"/>
        <w:sz w:val="16"/>
        <w:szCs w:val="16"/>
        <w:lang w:val="it-IT"/>
      </w:rPr>
      <w:t xml:space="preserve">Contatti ufficio stampa Visa </w:t>
    </w:r>
  </w:p>
  <w:p w14:paraId="78D78079" w14:textId="77777777" w:rsidR="00721229" w:rsidRPr="0069706E" w:rsidRDefault="00721229" w:rsidP="00721229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Enrica Banti, Senior Manager Corporate Communication, Visa </w:t>
    </w:r>
    <w:proofErr w:type="spellStart"/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Italy</w:t>
    </w:r>
    <w:proofErr w:type="spellEnd"/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bantie@visa.com</w:t>
    </w:r>
  </w:p>
  <w:p w14:paraId="7E68A8C0" w14:textId="77777777" w:rsidR="00721229" w:rsidRDefault="00721229" w:rsidP="00721229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Matteo Rasset, DAG Communication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69706E">
      <w:rPr>
        <w:color w:val="171717" w:themeColor="background2" w:themeShade="1A"/>
        <w:sz w:val="16"/>
        <w:szCs w:val="16"/>
        <w:lang w:val="it-IT"/>
      </w:rPr>
      <w:t>mrasset@dagcom.com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+39 333 8032644</w:t>
    </w:r>
  </w:p>
  <w:p w14:paraId="101EC544" w14:textId="415B4C47" w:rsidR="00721229" w:rsidRDefault="00721229" w:rsidP="00721229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Elena Gioia,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egioia@dagcom.com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="007E0937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                  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+39 327 7734872</w:t>
    </w:r>
  </w:p>
  <w:p w14:paraId="07826A65" w14:textId="77777777" w:rsidR="00721229" w:rsidRDefault="00721229" w:rsidP="00721229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Vincenzo Virgilio,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hyperlink r:id="rId1" w:history="1">
      <w:r w:rsidRPr="00D402E1">
        <w:rPr>
          <w:rFonts w:eastAsia="Calibri" w:cs="Times New Roman"/>
          <w:color w:val="171717" w:themeColor="background2" w:themeShade="1A"/>
          <w:sz w:val="16"/>
          <w:szCs w:val="16"/>
          <w:lang w:val="it-IT"/>
        </w:rPr>
        <w:t>vvirgilio@dagcom.com</w:t>
      </w:r>
    </w:hyperlink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+39 392 3400166</w:t>
    </w:r>
  </w:p>
  <w:p w14:paraId="31384A02" w14:textId="77777777" w:rsidR="00721229" w:rsidRPr="00FA6883" w:rsidRDefault="00721229" w:rsidP="00721229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6"/>
        <w:szCs w:val="16"/>
        <w:u w:color="000000"/>
        <w:bdr w:val="nil"/>
        <w:lang w:val="it-IT" w:eastAsia="en-GB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Gabriele Sciuto,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gsciuto@dagcom.com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+39 335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5993284</w:t>
    </w:r>
  </w:p>
  <w:p w14:paraId="2FBEB2D6" w14:textId="4CA3DB79" w:rsidR="00721229" w:rsidRPr="00721229" w:rsidRDefault="00721229">
    <w:pPr>
      <w:pStyle w:val="Pidipagina"/>
      <w:rPr>
        <w:lang w:val="it-IT"/>
      </w:rPr>
    </w:pPr>
  </w:p>
  <w:p w14:paraId="14013F85" w14:textId="77777777" w:rsidR="00721229" w:rsidRPr="00721229" w:rsidRDefault="00721229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7DEE" w14:textId="77777777" w:rsidR="007E0937" w:rsidRDefault="007E09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A2F2" w14:textId="77777777" w:rsidR="00DC0397" w:rsidRDefault="00DC0397" w:rsidP="00337D65">
      <w:pPr>
        <w:spacing w:after="0" w:line="240" w:lineRule="auto"/>
      </w:pPr>
      <w:r>
        <w:separator/>
      </w:r>
    </w:p>
  </w:footnote>
  <w:footnote w:type="continuationSeparator" w:id="0">
    <w:p w14:paraId="6E9E6E7E" w14:textId="77777777" w:rsidR="00DC0397" w:rsidRDefault="00DC0397" w:rsidP="0033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C1A5" w14:textId="77777777" w:rsidR="007E0937" w:rsidRDefault="007E09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1EAE" w14:textId="5CF30B4E" w:rsidR="00337D65" w:rsidRDefault="00337D65" w:rsidP="00337D65">
    <w:pPr>
      <w:pStyle w:val="Intestazione"/>
      <w:jc w:val="right"/>
    </w:pPr>
    <w:r>
      <w:rPr>
        <w:noProof/>
      </w:rPr>
      <w:drawing>
        <wp:inline distT="0" distB="0" distL="0" distR="0" wp14:anchorId="73059709" wp14:editId="38801D18">
          <wp:extent cx="925830" cy="299720"/>
          <wp:effectExtent l="0" t="0" r="7620" b="5080"/>
          <wp:docPr id="140868406" name="Picture 1408684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68406" name="Picture 140868406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815A" w14:textId="77777777" w:rsidR="007E0937" w:rsidRDefault="007E09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7DD"/>
    <w:multiLevelType w:val="hybridMultilevel"/>
    <w:tmpl w:val="9792363C"/>
    <w:lvl w:ilvl="0" w:tplc="5C28D7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6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8E2"/>
    <w:multiLevelType w:val="multilevel"/>
    <w:tmpl w:val="DE4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371F5"/>
    <w:multiLevelType w:val="hybridMultilevel"/>
    <w:tmpl w:val="3E7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6A7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3395"/>
    <w:multiLevelType w:val="multilevel"/>
    <w:tmpl w:val="34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146E6E"/>
    <w:multiLevelType w:val="hybridMultilevel"/>
    <w:tmpl w:val="607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514F"/>
    <w:multiLevelType w:val="multilevel"/>
    <w:tmpl w:val="088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D37F6C"/>
    <w:multiLevelType w:val="hybridMultilevel"/>
    <w:tmpl w:val="2E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D1079"/>
    <w:multiLevelType w:val="hybridMultilevel"/>
    <w:tmpl w:val="66D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62941"/>
    <w:multiLevelType w:val="hybridMultilevel"/>
    <w:tmpl w:val="DA0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73B7"/>
    <w:multiLevelType w:val="multilevel"/>
    <w:tmpl w:val="FB8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D07B12"/>
    <w:multiLevelType w:val="hybridMultilevel"/>
    <w:tmpl w:val="641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C5D02"/>
    <w:multiLevelType w:val="hybridMultilevel"/>
    <w:tmpl w:val="B5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5E68"/>
    <w:multiLevelType w:val="hybridMultilevel"/>
    <w:tmpl w:val="027E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33AA"/>
    <w:multiLevelType w:val="multilevel"/>
    <w:tmpl w:val="803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A7887"/>
    <w:multiLevelType w:val="hybridMultilevel"/>
    <w:tmpl w:val="B57E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D285F"/>
    <w:multiLevelType w:val="hybridMultilevel"/>
    <w:tmpl w:val="E5DE2F0A"/>
    <w:lvl w:ilvl="0" w:tplc="ECE0F2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9661"/>
    <w:multiLevelType w:val="hybridMultilevel"/>
    <w:tmpl w:val="D2EE9C88"/>
    <w:lvl w:ilvl="0" w:tplc="A4FAB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00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7A77"/>
    <w:multiLevelType w:val="hybridMultilevel"/>
    <w:tmpl w:val="E5DE2F0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C6D19"/>
    <w:multiLevelType w:val="hybridMultilevel"/>
    <w:tmpl w:val="42D2D13C"/>
    <w:lvl w:ilvl="0" w:tplc="14904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6752"/>
    <w:multiLevelType w:val="hybridMultilevel"/>
    <w:tmpl w:val="11FE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652FD"/>
    <w:multiLevelType w:val="hybridMultilevel"/>
    <w:tmpl w:val="0FAC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C6EF4"/>
    <w:multiLevelType w:val="hybridMultilevel"/>
    <w:tmpl w:val="B02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05FB6"/>
    <w:multiLevelType w:val="hybridMultilevel"/>
    <w:tmpl w:val="ADB8E9F8"/>
    <w:lvl w:ilvl="0" w:tplc="F232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4CCC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588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829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763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38E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2F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667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B42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6D0F25D1"/>
    <w:multiLevelType w:val="hybridMultilevel"/>
    <w:tmpl w:val="D50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D6A9D"/>
    <w:multiLevelType w:val="hybridMultilevel"/>
    <w:tmpl w:val="A46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87582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C24B3"/>
    <w:multiLevelType w:val="hybridMultilevel"/>
    <w:tmpl w:val="839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10E8D"/>
    <w:multiLevelType w:val="hybridMultilevel"/>
    <w:tmpl w:val="CC6E317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67364"/>
    <w:multiLevelType w:val="hybridMultilevel"/>
    <w:tmpl w:val="1256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2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13784">
    <w:abstractNumId w:val="28"/>
  </w:num>
  <w:num w:numId="3" w16cid:durableId="1561986860">
    <w:abstractNumId w:val="26"/>
  </w:num>
  <w:num w:numId="4" w16cid:durableId="1196893719">
    <w:abstractNumId w:val="23"/>
  </w:num>
  <w:num w:numId="5" w16cid:durableId="2097047257">
    <w:abstractNumId w:val="25"/>
  </w:num>
  <w:num w:numId="6" w16cid:durableId="5374759">
    <w:abstractNumId w:val="15"/>
  </w:num>
  <w:num w:numId="7" w16cid:durableId="573586806">
    <w:abstractNumId w:val="10"/>
  </w:num>
  <w:num w:numId="8" w16cid:durableId="866286962">
    <w:abstractNumId w:val="24"/>
  </w:num>
  <w:num w:numId="9" w16cid:durableId="782379524">
    <w:abstractNumId w:val="12"/>
  </w:num>
  <w:num w:numId="10" w16cid:durableId="68239834">
    <w:abstractNumId w:val="5"/>
  </w:num>
  <w:num w:numId="11" w16cid:durableId="761336679">
    <w:abstractNumId w:val="7"/>
  </w:num>
  <w:num w:numId="12" w16cid:durableId="843591784">
    <w:abstractNumId w:val="13"/>
  </w:num>
  <w:num w:numId="13" w16cid:durableId="865555721">
    <w:abstractNumId w:val="4"/>
  </w:num>
  <w:num w:numId="14" w16cid:durableId="1235706025">
    <w:abstractNumId w:val="6"/>
  </w:num>
  <w:num w:numId="15" w16cid:durableId="2033145782">
    <w:abstractNumId w:val="1"/>
  </w:num>
  <w:num w:numId="16" w16cid:durableId="833642977">
    <w:abstractNumId w:val="11"/>
  </w:num>
  <w:num w:numId="17" w16cid:durableId="1990817820">
    <w:abstractNumId w:val="9"/>
  </w:num>
  <w:num w:numId="18" w16cid:durableId="76367634">
    <w:abstractNumId w:val="17"/>
  </w:num>
  <w:num w:numId="19" w16cid:durableId="722143027">
    <w:abstractNumId w:val="0"/>
  </w:num>
  <w:num w:numId="20" w16cid:durableId="1977833762">
    <w:abstractNumId w:val="18"/>
  </w:num>
  <w:num w:numId="21" w16cid:durableId="1102650438">
    <w:abstractNumId w:val="27"/>
  </w:num>
  <w:num w:numId="22" w16cid:durableId="463696230">
    <w:abstractNumId w:val="8"/>
  </w:num>
  <w:num w:numId="23" w16cid:durableId="2031757766">
    <w:abstractNumId w:val="16"/>
  </w:num>
  <w:num w:numId="24" w16cid:durableId="98795029">
    <w:abstractNumId w:val="14"/>
  </w:num>
  <w:num w:numId="25" w16cid:durableId="1887719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735165">
    <w:abstractNumId w:val="3"/>
  </w:num>
  <w:num w:numId="27" w16cid:durableId="1640573836">
    <w:abstractNumId w:val="22"/>
  </w:num>
  <w:num w:numId="28" w16cid:durableId="1887569137">
    <w:abstractNumId w:val="19"/>
  </w:num>
  <w:num w:numId="29" w16cid:durableId="478691335">
    <w:abstractNumId w:val="29"/>
  </w:num>
  <w:num w:numId="30" w16cid:durableId="557320579">
    <w:abstractNumId w:val="2"/>
  </w:num>
  <w:num w:numId="31" w16cid:durableId="968125867">
    <w:abstractNumId w:val="30"/>
  </w:num>
  <w:num w:numId="32" w16cid:durableId="2037660624">
    <w:abstractNumId w:val="21"/>
  </w:num>
  <w:num w:numId="33" w16cid:durableId="1003240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1"/>
    <w:rsid w:val="00000065"/>
    <w:rsid w:val="00022BDA"/>
    <w:rsid w:val="00042B1E"/>
    <w:rsid w:val="000505CB"/>
    <w:rsid w:val="000A19BC"/>
    <w:rsid w:val="000A4560"/>
    <w:rsid w:val="000A5E2B"/>
    <w:rsid w:val="000D0A89"/>
    <w:rsid w:val="000E6B42"/>
    <w:rsid w:val="000F2390"/>
    <w:rsid w:val="000F590E"/>
    <w:rsid w:val="0010500F"/>
    <w:rsid w:val="00113A1B"/>
    <w:rsid w:val="0012648D"/>
    <w:rsid w:val="00127A11"/>
    <w:rsid w:val="001327F2"/>
    <w:rsid w:val="00136493"/>
    <w:rsid w:val="001521FC"/>
    <w:rsid w:val="00152DFB"/>
    <w:rsid w:val="00156F9D"/>
    <w:rsid w:val="00163CA4"/>
    <w:rsid w:val="00166C4C"/>
    <w:rsid w:val="00173331"/>
    <w:rsid w:val="00195D3B"/>
    <w:rsid w:val="001C2633"/>
    <w:rsid w:val="001C4B78"/>
    <w:rsid w:val="001D01D3"/>
    <w:rsid w:val="001D27CF"/>
    <w:rsid w:val="001E3212"/>
    <w:rsid w:val="001E67DE"/>
    <w:rsid w:val="001F5C87"/>
    <w:rsid w:val="00246661"/>
    <w:rsid w:val="0024668A"/>
    <w:rsid w:val="0025108E"/>
    <w:rsid w:val="00252655"/>
    <w:rsid w:val="00262981"/>
    <w:rsid w:val="00274463"/>
    <w:rsid w:val="00283384"/>
    <w:rsid w:val="002C29DB"/>
    <w:rsid w:val="002C63EA"/>
    <w:rsid w:val="002F0755"/>
    <w:rsid w:val="00300E56"/>
    <w:rsid w:val="00302D52"/>
    <w:rsid w:val="00307769"/>
    <w:rsid w:val="00337D65"/>
    <w:rsid w:val="003429C1"/>
    <w:rsid w:val="003445F8"/>
    <w:rsid w:val="003513CB"/>
    <w:rsid w:val="003569C2"/>
    <w:rsid w:val="003750DE"/>
    <w:rsid w:val="00375ADA"/>
    <w:rsid w:val="003B469E"/>
    <w:rsid w:val="003C6EEE"/>
    <w:rsid w:val="003D0E1B"/>
    <w:rsid w:val="003D386C"/>
    <w:rsid w:val="003D79D3"/>
    <w:rsid w:val="003E69AA"/>
    <w:rsid w:val="00427994"/>
    <w:rsid w:val="0044142A"/>
    <w:rsid w:val="004715B6"/>
    <w:rsid w:val="00485C29"/>
    <w:rsid w:val="004A6985"/>
    <w:rsid w:val="004B0351"/>
    <w:rsid w:val="004D3640"/>
    <w:rsid w:val="004E19AE"/>
    <w:rsid w:val="004F242E"/>
    <w:rsid w:val="004F40CE"/>
    <w:rsid w:val="004F4A2F"/>
    <w:rsid w:val="004F4C4D"/>
    <w:rsid w:val="00502AEE"/>
    <w:rsid w:val="00503BE9"/>
    <w:rsid w:val="00514D19"/>
    <w:rsid w:val="005156DE"/>
    <w:rsid w:val="0054133D"/>
    <w:rsid w:val="00551CAF"/>
    <w:rsid w:val="00590E15"/>
    <w:rsid w:val="00594354"/>
    <w:rsid w:val="00596A1F"/>
    <w:rsid w:val="005A387D"/>
    <w:rsid w:val="005C4AED"/>
    <w:rsid w:val="005E6992"/>
    <w:rsid w:val="005F0293"/>
    <w:rsid w:val="006173B8"/>
    <w:rsid w:val="006212A4"/>
    <w:rsid w:val="00646DB8"/>
    <w:rsid w:val="00646DC2"/>
    <w:rsid w:val="00685C27"/>
    <w:rsid w:val="0069022D"/>
    <w:rsid w:val="006A4765"/>
    <w:rsid w:val="006C1EFF"/>
    <w:rsid w:val="006D1DA8"/>
    <w:rsid w:val="006E2E62"/>
    <w:rsid w:val="006E4153"/>
    <w:rsid w:val="006E564D"/>
    <w:rsid w:val="006F02A6"/>
    <w:rsid w:val="006F17CE"/>
    <w:rsid w:val="006F414B"/>
    <w:rsid w:val="006F5339"/>
    <w:rsid w:val="00700842"/>
    <w:rsid w:val="0070170B"/>
    <w:rsid w:val="00701EE6"/>
    <w:rsid w:val="00704460"/>
    <w:rsid w:val="0071568B"/>
    <w:rsid w:val="00721229"/>
    <w:rsid w:val="0072140D"/>
    <w:rsid w:val="0075337E"/>
    <w:rsid w:val="00756D52"/>
    <w:rsid w:val="007A700F"/>
    <w:rsid w:val="007C232D"/>
    <w:rsid w:val="007D032E"/>
    <w:rsid w:val="007E0937"/>
    <w:rsid w:val="007E4979"/>
    <w:rsid w:val="007F6623"/>
    <w:rsid w:val="007F7C40"/>
    <w:rsid w:val="0081298C"/>
    <w:rsid w:val="008233AE"/>
    <w:rsid w:val="00834677"/>
    <w:rsid w:val="008475BC"/>
    <w:rsid w:val="008546A0"/>
    <w:rsid w:val="00855CE5"/>
    <w:rsid w:val="00861E11"/>
    <w:rsid w:val="008934E6"/>
    <w:rsid w:val="00893635"/>
    <w:rsid w:val="008B0FAF"/>
    <w:rsid w:val="008B5A6C"/>
    <w:rsid w:val="008C5748"/>
    <w:rsid w:val="008F5A71"/>
    <w:rsid w:val="009031D8"/>
    <w:rsid w:val="00906A63"/>
    <w:rsid w:val="00925B4B"/>
    <w:rsid w:val="00943910"/>
    <w:rsid w:val="00950D06"/>
    <w:rsid w:val="0096049C"/>
    <w:rsid w:val="009616A1"/>
    <w:rsid w:val="00967453"/>
    <w:rsid w:val="00977FB3"/>
    <w:rsid w:val="009A333B"/>
    <w:rsid w:val="009A3E9A"/>
    <w:rsid w:val="009B4B3D"/>
    <w:rsid w:val="009F298D"/>
    <w:rsid w:val="00A0102B"/>
    <w:rsid w:val="00A12162"/>
    <w:rsid w:val="00A1266B"/>
    <w:rsid w:val="00A45808"/>
    <w:rsid w:val="00A50176"/>
    <w:rsid w:val="00A7017E"/>
    <w:rsid w:val="00A966DE"/>
    <w:rsid w:val="00AA0EDA"/>
    <w:rsid w:val="00AA2493"/>
    <w:rsid w:val="00AA3F77"/>
    <w:rsid w:val="00AA6AA7"/>
    <w:rsid w:val="00AB1400"/>
    <w:rsid w:val="00AC5C7A"/>
    <w:rsid w:val="00AC5D5C"/>
    <w:rsid w:val="00AE056D"/>
    <w:rsid w:val="00AE3538"/>
    <w:rsid w:val="00AE386D"/>
    <w:rsid w:val="00B10A4A"/>
    <w:rsid w:val="00B11DC7"/>
    <w:rsid w:val="00B12DA0"/>
    <w:rsid w:val="00B13907"/>
    <w:rsid w:val="00B23A08"/>
    <w:rsid w:val="00B40554"/>
    <w:rsid w:val="00B54C57"/>
    <w:rsid w:val="00B63105"/>
    <w:rsid w:val="00B6689C"/>
    <w:rsid w:val="00B72D38"/>
    <w:rsid w:val="00BD4686"/>
    <w:rsid w:val="00C03C16"/>
    <w:rsid w:val="00C03CC7"/>
    <w:rsid w:val="00C117C8"/>
    <w:rsid w:val="00C20A8C"/>
    <w:rsid w:val="00C25463"/>
    <w:rsid w:val="00C30214"/>
    <w:rsid w:val="00C31750"/>
    <w:rsid w:val="00C6058E"/>
    <w:rsid w:val="00C62333"/>
    <w:rsid w:val="00C842BB"/>
    <w:rsid w:val="00CB6EF7"/>
    <w:rsid w:val="00CB7B79"/>
    <w:rsid w:val="00CC3CE0"/>
    <w:rsid w:val="00CD02A0"/>
    <w:rsid w:val="00CD6101"/>
    <w:rsid w:val="00D01F29"/>
    <w:rsid w:val="00D10E60"/>
    <w:rsid w:val="00D24A0D"/>
    <w:rsid w:val="00D24E0C"/>
    <w:rsid w:val="00D575E7"/>
    <w:rsid w:val="00D643FE"/>
    <w:rsid w:val="00D83E04"/>
    <w:rsid w:val="00D91335"/>
    <w:rsid w:val="00DA0D77"/>
    <w:rsid w:val="00DC0397"/>
    <w:rsid w:val="00DE4E12"/>
    <w:rsid w:val="00DE60C8"/>
    <w:rsid w:val="00E1681B"/>
    <w:rsid w:val="00E255DA"/>
    <w:rsid w:val="00E5365A"/>
    <w:rsid w:val="00E651DB"/>
    <w:rsid w:val="00E6774A"/>
    <w:rsid w:val="00E81C0A"/>
    <w:rsid w:val="00E91430"/>
    <w:rsid w:val="00E9564C"/>
    <w:rsid w:val="00EA0C8A"/>
    <w:rsid w:val="00EB1D34"/>
    <w:rsid w:val="00EB3DBA"/>
    <w:rsid w:val="00EC71A0"/>
    <w:rsid w:val="00EF4B57"/>
    <w:rsid w:val="00EF57D8"/>
    <w:rsid w:val="00F0311B"/>
    <w:rsid w:val="00F10F42"/>
    <w:rsid w:val="00F20043"/>
    <w:rsid w:val="00F302CB"/>
    <w:rsid w:val="00F41B83"/>
    <w:rsid w:val="00F429A0"/>
    <w:rsid w:val="00F436A2"/>
    <w:rsid w:val="00F52B26"/>
    <w:rsid w:val="00F54FA1"/>
    <w:rsid w:val="00F60F04"/>
    <w:rsid w:val="00F62080"/>
    <w:rsid w:val="00F77E9D"/>
    <w:rsid w:val="00F801D4"/>
    <w:rsid w:val="00FA323B"/>
    <w:rsid w:val="00FB2B10"/>
    <w:rsid w:val="00FB55A0"/>
    <w:rsid w:val="00FD11D3"/>
    <w:rsid w:val="00FE243A"/>
    <w:rsid w:val="00FF1FEC"/>
    <w:rsid w:val="01C5F261"/>
    <w:rsid w:val="125D3925"/>
    <w:rsid w:val="18E0566A"/>
    <w:rsid w:val="1BEF6A30"/>
    <w:rsid w:val="1C26277B"/>
    <w:rsid w:val="1ED069B8"/>
    <w:rsid w:val="22AF1259"/>
    <w:rsid w:val="22E16BA6"/>
    <w:rsid w:val="250BAC1F"/>
    <w:rsid w:val="2576F38D"/>
    <w:rsid w:val="292C3DB6"/>
    <w:rsid w:val="2A3E1729"/>
    <w:rsid w:val="2D3E69E2"/>
    <w:rsid w:val="3098671C"/>
    <w:rsid w:val="38E0C3A1"/>
    <w:rsid w:val="3E0573CE"/>
    <w:rsid w:val="41E72B2D"/>
    <w:rsid w:val="421FB304"/>
    <w:rsid w:val="469EB8C9"/>
    <w:rsid w:val="4710A6D8"/>
    <w:rsid w:val="48D974BB"/>
    <w:rsid w:val="49280DAC"/>
    <w:rsid w:val="506E0FA2"/>
    <w:rsid w:val="518DC960"/>
    <w:rsid w:val="51C875E4"/>
    <w:rsid w:val="53E6DDCF"/>
    <w:rsid w:val="59319A1C"/>
    <w:rsid w:val="5E244F27"/>
    <w:rsid w:val="5F66D38A"/>
    <w:rsid w:val="63D28151"/>
    <w:rsid w:val="682A84A0"/>
    <w:rsid w:val="6E8E05B6"/>
    <w:rsid w:val="7098D56D"/>
    <w:rsid w:val="79A9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F99B"/>
  <w15:docId w15:val="{E4F2A887-E405-479A-B37E-B3EDF7BB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8F5A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Carpredefinitoparagrafo"/>
    <w:rsid w:val="000F590E"/>
  </w:style>
  <w:style w:type="character" w:styleId="Rimandocommento">
    <w:name w:val="annotation reference"/>
    <w:basedOn w:val="Carpredefinitoparagrafo"/>
    <w:uiPriority w:val="99"/>
    <w:semiHidden/>
    <w:unhideWhenUsed/>
    <w:rsid w:val="00022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2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2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BD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9616A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e"/>
    <w:rsid w:val="00FF1FEC"/>
    <w:pPr>
      <w:spacing w:line="252" w:lineRule="auto"/>
      <w:ind w:left="720"/>
    </w:pPr>
    <w:rPr>
      <w:rFonts w:ascii="Calibri" w:hAnsi="Calibri" w:cs="Calibri"/>
    </w:rPr>
  </w:style>
  <w:style w:type="character" w:customStyle="1" w:styleId="xnormaltextrun">
    <w:name w:val="x_normaltextrun"/>
    <w:basedOn w:val="Carpredefinitoparagrafo"/>
    <w:rsid w:val="00FF1FEC"/>
  </w:style>
  <w:style w:type="character" w:styleId="Collegamentoipertestuale">
    <w:name w:val="Hyperlink"/>
    <w:basedOn w:val="Carpredefinitoparagrafo"/>
    <w:uiPriority w:val="99"/>
    <w:unhideWhenUsed/>
    <w:rsid w:val="00C25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63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65"/>
  </w:style>
  <w:style w:type="paragraph" w:styleId="Pidipagina">
    <w:name w:val="footer"/>
    <w:basedOn w:val="Normale"/>
    <w:link w:val="Pidipagina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65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337D65"/>
    <w:rPr>
      <w:rFonts w:ascii="Calibri" w:hAnsi="Calibri" w:cs="Calibri"/>
    </w:rPr>
  </w:style>
  <w:style w:type="paragraph" w:customStyle="1" w:styleId="SubtitleofDocument">
    <w:name w:val="Subtitle of Document"/>
    <w:basedOn w:val="Normale"/>
    <w:qFormat/>
    <w:rsid w:val="00337D65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337D65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D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24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visa.com/en/sites/visa-perspectives/company-news/visa-payment-passkey-service.html" TargetMode="External"/><Relationship Id="rId13" Type="http://schemas.openxmlformats.org/officeDocument/2006/relationships/hyperlink" Target="https://corporate.visa.com/en/sites/visa-perspectives/trends-insights/top-trends-shaping-2025-payments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vestor.visa.com/news/news-details/2024/Visas-Growing-Services-Business-Infused-with-New-AI-Powered-Products/default.aspx" TargetMode="External"/><Relationship Id="rId12" Type="http://schemas.openxmlformats.org/officeDocument/2006/relationships/hyperlink" Target="https://usa.visa.com/solutions/visa-cross-border-solutions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porate.visa.com/content/dam/VCOM/global/services/documents/vca-embedded-finance-emerging-trend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usa.visa.com/solutions/visa-protect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sa.visa.com/partner-with-us/info-for-partners/open-banking.html" TargetMode="External"/><Relationship Id="rId14" Type="http://schemas.openxmlformats.org/officeDocument/2006/relationships/hyperlink" Target="https://www.visaitalia.co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virgilio@dagco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5445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Deggelman, Tierney</dc:creator>
  <cp:keywords/>
  <dc:description/>
  <cp:lastModifiedBy>D.A.G. Communication Srl</cp:lastModifiedBy>
  <cp:revision>10</cp:revision>
  <dcterms:created xsi:type="dcterms:W3CDTF">2024-12-19T16:42:00Z</dcterms:created>
  <dcterms:modified xsi:type="dcterms:W3CDTF">2025-01-02T09:32:00Z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2023-11-21T22:09:45Z</vt:lpwstr>
  </property>
  <property fmtid="{D5CDD505-2E9C-101B-9397-08002B2CF9AE}" pid="4" name="MSIP_Label_a0f89cb5-682d-4be4-b0e0-739c9b4a93d4_Method">
    <vt:lpwstr>Privileged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3ae5c0f7-f571-471f-a965-6cf9c5a14ccb</vt:lpwstr>
  </property>
  <property fmtid="{D5CDD505-2E9C-101B-9397-08002B2CF9AE}" pid="8" name="MSIP_Label_a0f89cb5-682d-4be4-b0e0-739c9b4a93d4_ContentBits">
    <vt:lpwstr>0</vt:lpwstr>
  </property>
</Properties>
</file>