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9A" w:rsidRPr="00F1109A" w:rsidRDefault="00F1109A"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670F0B">
        <w:rPr>
          <w:rFonts w:ascii="Arial" w:hAnsi="Arial" w:cs="Arial"/>
          <w:b/>
          <w:color w:val="FF9933" w:themeColor="accent1"/>
        </w:rPr>
        <w:fldChar w:fldCharType="begin"/>
      </w:r>
      <w:r w:rsidR="00670F0B">
        <w:rPr>
          <w:rFonts w:ascii="Arial" w:hAnsi="Arial" w:cs="Arial"/>
          <w:b/>
          <w:color w:val="FF9933" w:themeColor="accent1"/>
        </w:rPr>
        <w:instrText xml:space="preserve"> TIME  \@ "yyyy-MM-dd" </w:instrText>
      </w:r>
      <w:r w:rsidR="00670F0B">
        <w:rPr>
          <w:rFonts w:ascii="Arial" w:hAnsi="Arial" w:cs="Arial"/>
          <w:b/>
          <w:color w:val="FF9933" w:themeColor="accent1"/>
        </w:rPr>
        <w:fldChar w:fldCharType="separate"/>
      </w:r>
      <w:r w:rsidR="00680A9A">
        <w:rPr>
          <w:rFonts w:ascii="Arial" w:hAnsi="Arial" w:cs="Arial"/>
          <w:b/>
          <w:noProof/>
          <w:color w:val="FF9933" w:themeColor="accent1"/>
        </w:rPr>
        <w:t>2014-11-11</w:t>
      </w:r>
      <w:r w:rsidR="00670F0B">
        <w:rPr>
          <w:rFonts w:ascii="Arial" w:hAnsi="Arial" w:cs="Arial"/>
          <w:b/>
          <w:color w:val="FF9933" w:themeColor="accent1"/>
        </w:rPr>
        <w:fldChar w:fldCharType="end"/>
      </w:r>
    </w:p>
    <w:p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9264" behindDoc="0" locked="0" layoutInCell="1" allowOverlap="1" wp14:anchorId="66B3D06D" wp14:editId="1F7DF0FA">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a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60288" behindDoc="0" locked="0" layoutInCell="1" allowOverlap="1" wp14:anchorId="6218E7B0" wp14:editId="13582C73">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8240" behindDoc="0" locked="0" layoutInCell="1" allowOverlap="1" wp14:anchorId="0E517CF0" wp14:editId="38ADF8F7">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1109A" w:rsidRPr="00F1109A">
        <w:rPr>
          <w:rFonts w:ascii="Arial" w:hAnsi="Arial" w:cs="Arial"/>
          <w:b/>
          <w:color w:val="FF9933" w:themeColor="accent1"/>
          <w:sz w:val="56"/>
        </w:rPr>
        <w:t>Pressmeddelande</w:t>
      </w:r>
    </w:p>
    <w:p w:rsidR="00F77DCD" w:rsidRDefault="00F77DCD" w:rsidP="00F1109A">
      <w:pPr>
        <w:ind w:left="-284"/>
        <w:rPr>
          <w:rFonts w:ascii="Arial" w:hAnsi="Arial" w:cs="Arial"/>
          <w:b/>
          <w:color w:val="FF9933" w:themeColor="accent1"/>
          <w:sz w:val="56"/>
        </w:rPr>
      </w:pPr>
    </w:p>
    <w:p w:rsidR="00F77DCD" w:rsidRDefault="00F77DCD" w:rsidP="00F1109A">
      <w:pPr>
        <w:ind w:left="-284"/>
        <w:rPr>
          <w:rFonts w:ascii="Arial" w:hAnsi="Arial" w:cs="Arial"/>
          <w:color w:val="FF9933" w:themeColor="accent1"/>
          <w:sz w:val="28"/>
          <w:szCs w:val="28"/>
        </w:rPr>
      </w:pPr>
    </w:p>
    <w:p w:rsidR="00453490" w:rsidRDefault="00453490" w:rsidP="00F1109A">
      <w:pPr>
        <w:ind w:left="-284"/>
        <w:rPr>
          <w:rFonts w:ascii="Arial" w:hAnsi="Arial" w:cs="Arial"/>
          <w:color w:val="FF9933" w:themeColor="accent1"/>
          <w:sz w:val="28"/>
          <w:szCs w:val="28"/>
        </w:rPr>
      </w:pPr>
    </w:p>
    <w:p w:rsidR="00453490" w:rsidRDefault="00453490" w:rsidP="00F1109A">
      <w:pPr>
        <w:ind w:left="-284"/>
        <w:rPr>
          <w:rFonts w:ascii="Arial" w:hAnsi="Arial" w:cs="Arial"/>
          <w:color w:val="FF9933" w:themeColor="accent1"/>
          <w:sz w:val="28"/>
          <w:szCs w:val="28"/>
        </w:rPr>
      </w:pPr>
    </w:p>
    <w:p w:rsidR="00453490" w:rsidRPr="00453490" w:rsidRDefault="006D499D" w:rsidP="00453490">
      <w:pPr>
        <w:spacing w:after="200" w:line="276" w:lineRule="auto"/>
        <w:rPr>
          <w:rFonts w:ascii="Calibri" w:eastAsia="Calibri" w:hAnsi="Calibri"/>
          <w:b/>
          <w:sz w:val="40"/>
          <w:szCs w:val="22"/>
          <w:lang w:eastAsia="en-US"/>
        </w:rPr>
      </w:pPr>
      <w:r>
        <w:rPr>
          <w:rFonts w:ascii="Calibri" w:eastAsia="Calibri" w:hAnsi="Calibri"/>
          <w:b/>
          <w:sz w:val="36"/>
          <w:szCs w:val="22"/>
          <w:lang w:eastAsia="en-US"/>
        </w:rPr>
        <w:t>Karlskrona är sammanlagt dyrast</w:t>
      </w:r>
      <w:r w:rsidR="00154FBF">
        <w:rPr>
          <w:rFonts w:ascii="Calibri" w:eastAsia="Calibri" w:hAnsi="Calibri"/>
          <w:b/>
          <w:sz w:val="36"/>
          <w:szCs w:val="22"/>
          <w:lang w:eastAsia="en-US"/>
        </w:rPr>
        <w:t xml:space="preserve"> i länet</w:t>
      </w:r>
    </w:p>
    <w:p w:rsidR="00670F0B" w:rsidRDefault="00455794" w:rsidP="00453490">
      <w:pPr>
        <w:spacing w:after="200" w:line="276" w:lineRule="auto"/>
        <w:rPr>
          <w:rFonts w:ascii="Calibri" w:eastAsia="Calibri" w:hAnsi="Calibri"/>
          <w:b/>
          <w:szCs w:val="22"/>
          <w:lang w:eastAsia="en-US"/>
        </w:rPr>
      </w:pPr>
      <w:r>
        <w:rPr>
          <w:rFonts w:ascii="Calibri" w:eastAsia="Calibri" w:hAnsi="Calibri"/>
          <w:b/>
          <w:szCs w:val="22"/>
          <w:lang w:eastAsia="en-US"/>
        </w:rPr>
        <w:t>För en genomsnittlig trerumslägenhet får man i</w:t>
      </w:r>
      <w:r w:rsidR="0034165D" w:rsidRPr="0034165D">
        <w:rPr>
          <w:rFonts w:ascii="Calibri" w:eastAsia="Calibri" w:hAnsi="Calibri"/>
          <w:b/>
          <w:szCs w:val="22"/>
          <w:lang w:eastAsia="en-US"/>
        </w:rPr>
        <w:t xml:space="preserve"> Karlskrona varje månad betala 502 kronor mer än i Karlshamn för taxor och avgifter. På ett år blir det 6 024 kronor. </w:t>
      </w:r>
    </w:p>
    <w:p w:rsidR="0034165D" w:rsidRDefault="0034165D" w:rsidP="00453490">
      <w:pPr>
        <w:spacing w:after="200" w:line="276" w:lineRule="auto"/>
        <w:rPr>
          <w:rFonts w:ascii="Calibri" w:eastAsia="Calibri" w:hAnsi="Calibri"/>
          <w:szCs w:val="22"/>
          <w:lang w:eastAsia="en-US"/>
        </w:rPr>
      </w:pPr>
      <w:r>
        <w:rPr>
          <w:rFonts w:ascii="Calibri" w:eastAsia="Calibri" w:hAnsi="Calibri"/>
          <w:szCs w:val="22"/>
          <w:lang w:eastAsia="en-US"/>
        </w:rPr>
        <w:t xml:space="preserve">Slutrapporten från Nils Holgesson säger att skillnaden mellan kommunerna i Blekinge är stor. </w:t>
      </w:r>
      <w:r w:rsidR="00455794">
        <w:rPr>
          <w:rFonts w:ascii="Calibri" w:eastAsia="Calibri" w:hAnsi="Calibri"/>
          <w:szCs w:val="22"/>
          <w:lang w:eastAsia="en-US"/>
        </w:rPr>
        <w:br/>
      </w:r>
      <w:r>
        <w:rPr>
          <w:rFonts w:ascii="Calibri" w:eastAsia="Calibri" w:hAnsi="Calibri"/>
          <w:szCs w:val="22"/>
          <w:lang w:eastAsia="en-US"/>
        </w:rPr>
        <w:t>Rapporten har gjorts i 19 år och under denna tid har avgifter och taxor</w:t>
      </w:r>
      <w:r w:rsidR="00A721C3">
        <w:rPr>
          <w:rFonts w:ascii="Calibri" w:eastAsia="Calibri" w:hAnsi="Calibri"/>
          <w:szCs w:val="22"/>
          <w:lang w:eastAsia="en-US"/>
        </w:rPr>
        <w:t xml:space="preserve"> stigit betydligt mer än </w:t>
      </w:r>
      <w:r w:rsidR="00455794">
        <w:rPr>
          <w:rFonts w:ascii="Calibri" w:eastAsia="Calibri" w:hAnsi="Calibri"/>
          <w:szCs w:val="22"/>
          <w:lang w:eastAsia="en-US"/>
        </w:rPr>
        <w:br/>
      </w:r>
      <w:r w:rsidR="00A721C3">
        <w:rPr>
          <w:rFonts w:ascii="Calibri" w:eastAsia="Calibri" w:hAnsi="Calibri"/>
          <w:szCs w:val="22"/>
          <w:lang w:eastAsia="en-US"/>
        </w:rPr>
        <w:t xml:space="preserve">konsumentprisindex. </w:t>
      </w:r>
    </w:p>
    <w:p w:rsidR="001B6F83" w:rsidRDefault="001B6F83" w:rsidP="00453490">
      <w:pPr>
        <w:spacing w:after="200" w:line="276" w:lineRule="auto"/>
        <w:rPr>
          <w:rFonts w:ascii="Calibri" w:eastAsia="Calibri" w:hAnsi="Calibri"/>
          <w:szCs w:val="22"/>
          <w:lang w:eastAsia="en-US"/>
        </w:rPr>
      </w:pPr>
      <w:r>
        <w:rPr>
          <w:rFonts w:ascii="Calibri" w:eastAsia="Calibri" w:hAnsi="Calibri"/>
          <w:szCs w:val="22"/>
          <w:lang w:eastAsia="en-US"/>
        </w:rPr>
        <w:t xml:space="preserve">– Ofta beror </w:t>
      </w:r>
      <w:r w:rsidR="00680A9A">
        <w:rPr>
          <w:rFonts w:ascii="Calibri" w:eastAsia="Calibri" w:hAnsi="Calibri"/>
          <w:szCs w:val="22"/>
          <w:lang w:eastAsia="en-US"/>
        </w:rPr>
        <w:t>de höga priserna på att konkurre</w:t>
      </w:r>
      <w:bookmarkStart w:id="0" w:name="_GoBack"/>
      <w:bookmarkEnd w:id="0"/>
      <w:r>
        <w:rPr>
          <w:rFonts w:ascii="Calibri" w:eastAsia="Calibri" w:hAnsi="Calibri"/>
          <w:szCs w:val="22"/>
          <w:lang w:eastAsia="en-US"/>
        </w:rPr>
        <w:t>nssituationen är bristande, vilket gör att konsumente</w:t>
      </w:r>
      <w:r>
        <w:rPr>
          <w:rFonts w:ascii="Calibri" w:eastAsia="Calibri" w:hAnsi="Calibri"/>
          <w:szCs w:val="22"/>
          <w:lang w:eastAsia="en-US"/>
        </w:rPr>
        <w:t>r</w:t>
      </w:r>
      <w:r>
        <w:rPr>
          <w:rFonts w:ascii="Calibri" w:eastAsia="Calibri" w:hAnsi="Calibri"/>
          <w:szCs w:val="22"/>
          <w:lang w:eastAsia="en-US"/>
        </w:rPr>
        <w:t>na har små möjligheter att påverka. En stor del av hushållens ekonomi går till taxor och avgifter. Nu är det dags för fastighetsägarna att också sätta press på kommunerna för att sätta stopp för denna u</w:t>
      </w:r>
      <w:r>
        <w:rPr>
          <w:rFonts w:ascii="Calibri" w:eastAsia="Calibri" w:hAnsi="Calibri"/>
          <w:szCs w:val="22"/>
          <w:lang w:eastAsia="en-US"/>
        </w:rPr>
        <w:t>t</w:t>
      </w:r>
      <w:r>
        <w:rPr>
          <w:rFonts w:ascii="Calibri" w:eastAsia="Calibri" w:hAnsi="Calibri"/>
          <w:szCs w:val="22"/>
          <w:lang w:eastAsia="en-US"/>
        </w:rPr>
        <w:t>veckling, säger Björn Johansson, ordförande Hyresgästföreningen region Sydost.</w:t>
      </w:r>
    </w:p>
    <w:p w:rsidR="008674C2" w:rsidRDefault="008674C2" w:rsidP="00453490">
      <w:pPr>
        <w:spacing w:after="200" w:line="276" w:lineRule="auto"/>
        <w:rPr>
          <w:rFonts w:ascii="Calibri" w:eastAsia="Calibri" w:hAnsi="Calibri"/>
          <w:szCs w:val="22"/>
          <w:lang w:eastAsia="en-US"/>
        </w:rPr>
      </w:pPr>
    </w:p>
    <w:p w:rsidR="008674C2" w:rsidRPr="008F41F8" w:rsidRDefault="008674C2" w:rsidP="008674C2">
      <w:pPr>
        <w:rPr>
          <w:rFonts w:ascii="Calibri" w:hAnsi="Calibri" w:cs="Calibri"/>
          <w:b/>
        </w:rPr>
      </w:pPr>
      <w:r w:rsidRPr="008F41F8">
        <w:rPr>
          <w:rStyle w:val="Stark"/>
          <w:rFonts w:ascii="Calibri" w:hAnsi="Calibri" w:cs="Calibri"/>
        </w:rPr>
        <w:t>Kommuner med högst månadskostnad för en vanlig trerumslägenhet</w:t>
      </w:r>
    </w:p>
    <w:tbl>
      <w:tblPr>
        <w:tblW w:w="4929" w:type="dxa"/>
        <w:tblInd w:w="55" w:type="dxa"/>
        <w:tblCellMar>
          <w:left w:w="0" w:type="dxa"/>
          <w:right w:w="0" w:type="dxa"/>
        </w:tblCellMar>
        <w:tblLook w:val="04A0" w:firstRow="1" w:lastRow="0" w:firstColumn="1" w:lastColumn="0" w:noHBand="0" w:noVBand="1"/>
      </w:tblPr>
      <w:tblGrid>
        <w:gridCol w:w="320"/>
        <w:gridCol w:w="1695"/>
        <w:gridCol w:w="977"/>
        <w:gridCol w:w="1937"/>
      </w:tblGrid>
      <w:tr w:rsidR="008674C2" w:rsidRPr="008F41F8" w:rsidTr="007C122F">
        <w:trPr>
          <w:trHeight w:val="255"/>
        </w:trPr>
        <w:tc>
          <w:tcPr>
            <w:tcW w:w="320"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1.</w:t>
            </w:r>
          </w:p>
        </w:tc>
        <w:tc>
          <w:tcPr>
            <w:tcW w:w="1695"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Karlskrona</w:t>
            </w:r>
          </w:p>
        </w:tc>
        <w:tc>
          <w:tcPr>
            <w:tcW w:w="977"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1 952 kr</w:t>
            </w:r>
          </w:p>
        </w:tc>
        <w:tc>
          <w:tcPr>
            <w:tcW w:w="1937"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p>
        </w:tc>
      </w:tr>
      <w:tr w:rsidR="008674C2" w:rsidRPr="008F41F8" w:rsidTr="007C122F">
        <w:trPr>
          <w:trHeight w:val="255"/>
        </w:trPr>
        <w:tc>
          <w:tcPr>
            <w:tcW w:w="320"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2.</w:t>
            </w:r>
          </w:p>
        </w:tc>
        <w:tc>
          <w:tcPr>
            <w:tcW w:w="1695"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Olofström</w:t>
            </w:r>
          </w:p>
        </w:tc>
        <w:tc>
          <w:tcPr>
            <w:tcW w:w="977"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1 813 kr</w:t>
            </w:r>
          </w:p>
        </w:tc>
        <w:tc>
          <w:tcPr>
            <w:tcW w:w="1937" w:type="dxa"/>
            <w:shd w:val="clear" w:color="auto" w:fill="FFFFFF"/>
            <w:noWrap/>
            <w:tcMar>
              <w:top w:w="0" w:type="dxa"/>
              <w:left w:w="70" w:type="dxa"/>
              <w:bottom w:w="0" w:type="dxa"/>
              <w:right w:w="70" w:type="dxa"/>
            </w:tcMar>
            <w:vAlign w:val="bottom"/>
          </w:tcPr>
          <w:p w:rsidR="008674C2" w:rsidRPr="008F41F8" w:rsidRDefault="008674C2" w:rsidP="007C122F">
            <w:pPr>
              <w:rPr>
                <w:rFonts w:ascii="Calibri" w:hAnsi="Calibri" w:cs="Calibri"/>
              </w:rPr>
            </w:pPr>
          </w:p>
        </w:tc>
      </w:tr>
    </w:tbl>
    <w:p w:rsidR="008674C2" w:rsidRPr="008F41F8" w:rsidRDefault="008674C2" w:rsidP="008674C2">
      <w:pPr>
        <w:rPr>
          <w:rFonts w:ascii="Calibri" w:hAnsi="Calibri" w:cs="Calibri"/>
          <w:b/>
        </w:rPr>
      </w:pPr>
      <w:r w:rsidRPr="008F41F8">
        <w:rPr>
          <w:rFonts w:ascii="Calibri" w:hAnsi="Calibri" w:cs="Calibri"/>
        </w:rPr>
        <w:br/>
      </w:r>
      <w:r w:rsidRPr="008F41F8">
        <w:rPr>
          <w:rStyle w:val="Stark"/>
          <w:rFonts w:ascii="Calibri" w:hAnsi="Calibri" w:cs="Calibri"/>
        </w:rPr>
        <w:t>Kommuner med lägst månadskostnad för en vanlig trerumslägenhet</w:t>
      </w:r>
    </w:p>
    <w:tbl>
      <w:tblPr>
        <w:tblW w:w="4929" w:type="dxa"/>
        <w:tblInd w:w="55" w:type="dxa"/>
        <w:tblCellMar>
          <w:left w:w="0" w:type="dxa"/>
          <w:right w:w="0" w:type="dxa"/>
        </w:tblCellMar>
        <w:tblLook w:val="04A0" w:firstRow="1" w:lastRow="0" w:firstColumn="1" w:lastColumn="0" w:noHBand="0" w:noVBand="1"/>
      </w:tblPr>
      <w:tblGrid>
        <w:gridCol w:w="320"/>
        <w:gridCol w:w="1695"/>
        <w:gridCol w:w="1119"/>
        <w:gridCol w:w="1795"/>
      </w:tblGrid>
      <w:tr w:rsidR="008674C2" w:rsidRPr="008F41F8" w:rsidTr="007C122F">
        <w:trPr>
          <w:trHeight w:val="255"/>
        </w:trPr>
        <w:tc>
          <w:tcPr>
            <w:tcW w:w="320"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1.</w:t>
            </w:r>
          </w:p>
        </w:tc>
        <w:tc>
          <w:tcPr>
            <w:tcW w:w="1695"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Karlshamn</w:t>
            </w:r>
          </w:p>
        </w:tc>
        <w:tc>
          <w:tcPr>
            <w:tcW w:w="1119"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color w:val="000000"/>
              </w:rPr>
            </w:pPr>
            <w:r w:rsidRPr="008F41F8">
              <w:rPr>
                <w:rFonts w:ascii="Calibri" w:hAnsi="Calibri" w:cs="Calibri"/>
                <w:color w:val="000000"/>
              </w:rPr>
              <w:t>1 450 kr</w:t>
            </w:r>
          </w:p>
        </w:tc>
        <w:tc>
          <w:tcPr>
            <w:tcW w:w="1795"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p>
        </w:tc>
      </w:tr>
      <w:tr w:rsidR="008674C2" w:rsidRPr="008F41F8" w:rsidTr="007C122F">
        <w:trPr>
          <w:trHeight w:val="255"/>
        </w:trPr>
        <w:tc>
          <w:tcPr>
            <w:tcW w:w="320"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2.</w:t>
            </w:r>
          </w:p>
        </w:tc>
        <w:tc>
          <w:tcPr>
            <w:tcW w:w="1695"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Sölvesborg</w:t>
            </w:r>
          </w:p>
        </w:tc>
        <w:tc>
          <w:tcPr>
            <w:tcW w:w="1119"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color w:val="000000"/>
              </w:rPr>
            </w:pPr>
            <w:r w:rsidRPr="008F41F8">
              <w:rPr>
                <w:rFonts w:ascii="Calibri" w:hAnsi="Calibri" w:cs="Calibri"/>
                <w:color w:val="000000"/>
              </w:rPr>
              <w:t>1 726 kr</w:t>
            </w:r>
          </w:p>
        </w:tc>
        <w:tc>
          <w:tcPr>
            <w:tcW w:w="1795" w:type="dxa"/>
            <w:shd w:val="clear" w:color="auto" w:fill="FFFFFF"/>
            <w:noWrap/>
            <w:tcMar>
              <w:top w:w="0" w:type="dxa"/>
              <w:left w:w="70" w:type="dxa"/>
              <w:bottom w:w="0" w:type="dxa"/>
              <w:right w:w="70" w:type="dxa"/>
            </w:tcMar>
            <w:vAlign w:val="bottom"/>
          </w:tcPr>
          <w:p w:rsidR="008674C2" w:rsidRPr="008F41F8" w:rsidRDefault="008674C2" w:rsidP="007C122F">
            <w:pPr>
              <w:rPr>
                <w:rFonts w:ascii="Calibri" w:hAnsi="Calibri" w:cs="Calibri"/>
              </w:rPr>
            </w:pPr>
          </w:p>
        </w:tc>
      </w:tr>
      <w:tr w:rsidR="008674C2" w:rsidRPr="008F41F8" w:rsidTr="007C122F">
        <w:trPr>
          <w:trHeight w:val="87"/>
        </w:trPr>
        <w:tc>
          <w:tcPr>
            <w:tcW w:w="320"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3.</w:t>
            </w:r>
          </w:p>
        </w:tc>
        <w:tc>
          <w:tcPr>
            <w:tcW w:w="1695"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r w:rsidRPr="008F41F8">
              <w:rPr>
                <w:rFonts w:ascii="Calibri" w:hAnsi="Calibri" w:cs="Calibri"/>
              </w:rPr>
              <w:t>Ronneby</w:t>
            </w:r>
          </w:p>
        </w:tc>
        <w:tc>
          <w:tcPr>
            <w:tcW w:w="1119"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color w:val="000000"/>
              </w:rPr>
            </w:pPr>
            <w:r w:rsidRPr="008F41F8">
              <w:rPr>
                <w:rFonts w:ascii="Calibri" w:hAnsi="Calibri" w:cs="Calibri"/>
                <w:color w:val="000000"/>
              </w:rPr>
              <w:t>1 753 kr</w:t>
            </w:r>
          </w:p>
        </w:tc>
        <w:tc>
          <w:tcPr>
            <w:tcW w:w="1795" w:type="dxa"/>
            <w:shd w:val="clear" w:color="auto" w:fill="FFFFFF"/>
            <w:noWrap/>
            <w:tcMar>
              <w:top w:w="0" w:type="dxa"/>
              <w:left w:w="70" w:type="dxa"/>
              <w:bottom w:w="0" w:type="dxa"/>
              <w:right w:w="70" w:type="dxa"/>
            </w:tcMar>
            <w:vAlign w:val="bottom"/>
            <w:hideMark/>
          </w:tcPr>
          <w:p w:rsidR="008674C2" w:rsidRPr="008F41F8" w:rsidRDefault="008674C2" w:rsidP="007C122F">
            <w:pPr>
              <w:rPr>
                <w:rFonts w:ascii="Calibri" w:hAnsi="Calibri" w:cs="Calibri"/>
              </w:rPr>
            </w:pPr>
          </w:p>
        </w:tc>
      </w:tr>
    </w:tbl>
    <w:p w:rsidR="008674C2" w:rsidRPr="0034165D" w:rsidRDefault="008674C2" w:rsidP="00453490">
      <w:pPr>
        <w:spacing w:after="200" w:line="276" w:lineRule="auto"/>
        <w:rPr>
          <w:rFonts w:ascii="Calibri" w:eastAsia="Calibri" w:hAnsi="Calibri"/>
          <w:szCs w:val="22"/>
          <w:lang w:eastAsia="en-US"/>
        </w:rPr>
      </w:pPr>
    </w:p>
    <w:p w:rsidR="00453490" w:rsidRPr="00453490" w:rsidRDefault="00453490" w:rsidP="00453490">
      <w:pPr>
        <w:spacing w:after="200" w:line="276" w:lineRule="auto"/>
        <w:rPr>
          <w:rFonts w:ascii="Calibri" w:eastAsia="Calibri" w:hAnsi="Calibri"/>
          <w:szCs w:val="22"/>
          <w:lang w:eastAsia="en-US"/>
        </w:rPr>
      </w:pPr>
      <w:r w:rsidRPr="008F41F8">
        <w:rPr>
          <w:rFonts w:ascii="Calibri" w:eastAsia="Calibri" w:hAnsi="Calibri"/>
          <w:b/>
          <w:szCs w:val="22"/>
          <w:lang w:eastAsia="en-US"/>
        </w:rPr>
        <w:t>För mer information kontakta:</w:t>
      </w:r>
      <w:r w:rsidRPr="00453490">
        <w:rPr>
          <w:rFonts w:ascii="Calibri" w:eastAsia="Calibri" w:hAnsi="Calibri"/>
          <w:szCs w:val="22"/>
          <w:lang w:eastAsia="en-US"/>
        </w:rPr>
        <w:t xml:space="preserve"> </w:t>
      </w:r>
      <w:r w:rsidR="008674C2">
        <w:rPr>
          <w:rFonts w:ascii="Calibri" w:eastAsia="Calibri" w:hAnsi="Calibri"/>
          <w:szCs w:val="22"/>
          <w:lang w:eastAsia="en-US"/>
        </w:rPr>
        <w:br/>
        <w:t>Björn Johansson, ordförande Hyresgästföreningen region Sydost på telefon</w:t>
      </w:r>
      <w:r w:rsidR="008F41F8">
        <w:rPr>
          <w:rFonts w:ascii="Calibri" w:eastAsia="Calibri" w:hAnsi="Calibri"/>
          <w:szCs w:val="22"/>
          <w:lang w:eastAsia="en-US"/>
        </w:rPr>
        <w:t xml:space="preserve"> 0702-75 30 72</w:t>
      </w:r>
      <w:r w:rsidR="008674C2">
        <w:rPr>
          <w:rFonts w:ascii="Calibri" w:eastAsia="Calibri" w:hAnsi="Calibri"/>
          <w:szCs w:val="22"/>
          <w:lang w:eastAsia="en-US"/>
        </w:rPr>
        <w:t xml:space="preserve"> </w:t>
      </w:r>
    </w:p>
    <w:p w:rsidR="005D5854" w:rsidRDefault="005D5854" w:rsidP="00F1109A">
      <w:pPr>
        <w:ind w:left="-284"/>
        <w:rPr>
          <w:rFonts w:ascii="Calibri" w:eastAsia="Calibri" w:hAnsi="Calibri"/>
          <w:szCs w:val="22"/>
          <w:lang w:eastAsia="en-US"/>
        </w:rPr>
      </w:pPr>
    </w:p>
    <w:p w:rsidR="005D5854" w:rsidRPr="008F41F8" w:rsidRDefault="005D5854" w:rsidP="005D5854">
      <w:pPr>
        <w:rPr>
          <w:rFonts w:ascii="Calibri" w:hAnsi="Calibri" w:cs="Calibri"/>
          <w:i/>
        </w:rPr>
      </w:pPr>
      <w:r w:rsidRPr="008F41F8">
        <w:rPr>
          <w:rFonts w:ascii="Calibri" w:hAnsi="Calibri" w:cs="Calibri"/>
          <w:b/>
          <w:bCs/>
          <w:i/>
        </w:rPr>
        <w:t>Fakta om rapporten:</w:t>
      </w:r>
    </w:p>
    <w:p w:rsidR="005D5854" w:rsidRPr="008F41F8" w:rsidRDefault="005D5854" w:rsidP="005D5854">
      <w:pPr>
        <w:rPr>
          <w:rFonts w:ascii="Calibri" w:hAnsi="Calibri" w:cs="Calibri"/>
          <w:i/>
        </w:rPr>
      </w:pPr>
      <w:r w:rsidRPr="008F41F8">
        <w:rPr>
          <w:rFonts w:ascii="Calibri" w:hAnsi="Calibri" w:cs="Calibri"/>
          <w:i/>
        </w:rPr>
        <w:t xml:space="preserve">I Nils Holgerssonrapporten ”flyttas” en flerbostadsfastighet genom landet och kostnaderna för el och fjärrvärme, sophämtning, vatten och avlopp jämförs. Årets resultat har presenterats i omgångar. </w:t>
      </w:r>
      <w:r w:rsidR="003A0AB8" w:rsidRPr="008F41F8">
        <w:rPr>
          <w:rFonts w:ascii="Calibri" w:hAnsi="Calibri" w:cs="Calibri"/>
          <w:i/>
        </w:rPr>
        <w:t>Detta är slutrapporten som slagit ihop avgifterna och taxorna.</w:t>
      </w:r>
    </w:p>
    <w:p w:rsidR="00524449" w:rsidRPr="008F41F8" w:rsidRDefault="00524449" w:rsidP="005D5854">
      <w:pPr>
        <w:rPr>
          <w:rFonts w:ascii="Calibri" w:hAnsi="Calibri" w:cs="Calibri"/>
          <w:i/>
        </w:rPr>
      </w:pPr>
    </w:p>
    <w:p w:rsidR="00524449" w:rsidRPr="008F41F8" w:rsidRDefault="00524449" w:rsidP="00524449">
      <w:pPr>
        <w:rPr>
          <w:rFonts w:ascii="Calibri" w:hAnsi="Calibri" w:cs="Calibri"/>
          <w:i/>
        </w:rPr>
      </w:pPr>
      <w:r w:rsidRPr="008F41F8">
        <w:rPr>
          <w:rFonts w:ascii="Calibri" w:hAnsi="Calibri" w:cs="Calibri"/>
          <w:b/>
          <w:bCs/>
          <w:i/>
        </w:rPr>
        <w:t xml:space="preserve">Organisationerna bakom rapporten: </w:t>
      </w:r>
    </w:p>
    <w:p w:rsidR="00524449" w:rsidRPr="008F41F8" w:rsidRDefault="00524449" w:rsidP="00524449">
      <w:pPr>
        <w:rPr>
          <w:rFonts w:ascii="Calibri" w:hAnsi="Calibri" w:cs="Calibri"/>
          <w:i/>
        </w:rPr>
      </w:pPr>
      <w:r w:rsidRPr="008F41F8">
        <w:rPr>
          <w:rFonts w:ascii="Calibri" w:hAnsi="Calibri" w:cs="Calibri"/>
          <w:i/>
        </w:rPr>
        <w:t>Fastighetsägarna, HSB, Hyresgästföreningen, Riksbyggen och SABO. EKAN-gruppen gör faktai</w:t>
      </w:r>
      <w:r w:rsidRPr="008F41F8">
        <w:rPr>
          <w:rFonts w:ascii="Calibri" w:hAnsi="Calibri" w:cs="Calibri"/>
          <w:i/>
        </w:rPr>
        <w:t>n</w:t>
      </w:r>
      <w:r w:rsidRPr="008F41F8">
        <w:rPr>
          <w:rFonts w:ascii="Calibri" w:hAnsi="Calibri" w:cs="Calibri"/>
          <w:i/>
        </w:rPr>
        <w:t xml:space="preserve">samling, sammanställning och analys av materialet. Prisjämförelser mellan kommuner samt mellan leverantörer finns på </w:t>
      </w:r>
      <w:hyperlink r:id="rId14" w:history="1">
        <w:r w:rsidRPr="008F41F8">
          <w:rPr>
            <w:rStyle w:val="Hyperlnk"/>
            <w:rFonts w:ascii="Calibri" w:hAnsi="Calibri" w:cs="Calibri"/>
            <w:i/>
          </w:rPr>
          <w:t>www.nilsholgersson.nu</w:t>
        </w:r>
      </w:hyperlink>
    </w:p>
    <w:p w:rsidR="00453490" w:rsidRPr="00453490" w:rsidRDefault="00670F0B" w:rsidP="00F1109A">
      <w:pPr>
        <w:ind w:left="-284"/>
        <w:rPr>
          <w:rFonts w:ascii="Arial" w:hAnsi="Arial" w:cs="Arial"/>
          <w:color w:val="FF9933" w:themeColor="accent1"/>
          <w:sz w:val="28"/>
          <w:szCs w:val="28"/>
        </w:rPr>
      </w:pPr>
      <w:r>
        <w:rPr>
          <w:noProof/>
          <w:sz w:val="18"/>
        </w:rPr>
        <mc:AlternateContent>
          <mc:Choice Requires="wps">
            <w:drawing>
              <wp:anchor distT="0" distB="0" distL="114300" distR="114300" simplePos="0" relativeHeight="251662336" behindDoc="0" locked="0" layoutInCell="1" allowOverlap="1" wp14:anchorId="2A645AAD" wp14:editId="5BE5F1E6">
                <wp:simplePos x="0" y="0"/>
                <wp:positionH relativeFrom="column">
                  <wp:posOffset>-290830</wp:posOffset>
                </wp:positionH>
                <wp:positionV relativeFrom="paragraph">
                  <wp:posOffset>3108960</wp:posOffset>
                </wp:positionV>
                <wp:extent cx="6219825" cy="0"/>
                <wp:effectExtent l="0" t="0" r="9525" b="19050"/>
                <wp:wrapNone/>
                <wp:docPr id="2" name="Rak 2"/>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ak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244.8pt" to="466.85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" strokecolor="#ff9023 [3044]"/>
            </w:pict>
          </mc:Fallback>
        </mc:AlternateContent>
      </w:r>
    </w:p>
    <w:sectPr w:rsidR="00453490" w:rsidRPr="00453490" w:rsidSect="00DE5246">
      <w:headerReference w:type="default" r:id="rId15"/>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93" w:rsidRDefault="00974B93">
      <w:r>
        <w:separator/>
      </w:r>
    </w:p>
  </w:endnote>
  <w:endnote w:type="continuationSeparator" w:id="0">
    <w:p w:rsidR="00974B93" w:rsidRDefault="0097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93" w:rsidRDefault="00974B93">
      <w:r>
        <w:separator/>
      </w:r>
    </w:p>
  </w:footnote>
  <w:footnote w:type="continuationSeparator" w:id="0">
    <w:p w:rsidR="00974B93" w:rsidRDefault="0097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7F"/>
    <w:multiLevelType w:val="singleLevel"/>
    <w:tmpl w:val="72660C36"/>
    <w:lvl w:ilvl="0">
      <w:start w:val="1"/>
      <w:numFmt w:val="decimal"/>
      <w:lvlText w:val="%1."/>
      <w:lvlJc w:val="left"/>
      <w:pPr>
        <w:tabs>
          <w:tab w:val="num" w:pos="643"/>
        </w:tabs>
        <w:ind w:left="643" w:hanging="360"/>
      </w:pPr>
    </w:lvl>
  </w:abstractNum>
  <w:abstractNum w:abstractNumId="2">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nsid w:val="21CA6F03"/>
    <w:multiLevelType w:val="multilevel"/>
    <w:tmpl w:val="DCCC1CB2"/>
    <w:numStyleLink w:val="ListaHyresgstfreningen"/>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E22D7F"/>
    <w:multiLevelType w:val="multilevel"/>
    <w:tmpl w:val="DCCC1CB2"/>
    <w:numStyleLink w:val="ListaHyresgstfreningen"/>
  </w:abstractNum>
  <w:abstractNum w:abstractNumId="16">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9A"/>
    <w:rsid w:val="00001381"/>
    <w:rsid w:val="000116C3"/>
    <w:rsid w:val="00021DE2"/>
    <w:rsid w:val="00023F98"/>
    <w:rsid w:val="00026EEB"/>
    <w:rsid w:val="00071F90"/>
    <w:rsid w:val="00072CBC"/>
    <w:rsid w:val="000C3BCA"/>
    <w:rsid w:val="000F21FA"/>
    <w:rsid w:val="000F386B"/>
    <w:rsid w:val="00114B58"/>
    <w:rsid w:val="00117F7D"/>
    <w:rsid w:val="00140952"/>
    <w:rsid w:val="0015335F"/>
    <w:rsid w:val="00154FBF"/>
    <w:rsid w:val="00165DA9"/>
    <w:rsid w:val="00195A7B"/>
    <w:rsid w:val="001B6F83"/>
    <w:rsid w:val="001B74A6"/>
    <w:rsid w:val="001E3F27"/>
    <w:rsid w:val="001F0B68"/>
    <w:rsid w:val="001F7D80"/>
    <w:rsid w:val="00213AA4"/>
    <w:rsid w:val="00216828"/>
    <w:rsid w:val="00223162"/>
    <w:rsid w:val="00241974"/>
    <w:rsid w:val="00255CF5"/>
    <w:rsid w:val="00274E85"/>
    <w:rsid w:val="00293CEC"/>
    <w:rsid w:val="002D1A1D"/>
    <w:rsid w:val="002E1B14"/>
    <w:rsid w:val="00305BB2"/>
    <w:rsid w:val="00317D8A"/>
    <w:rsid w:val="00332AEC"/>
    <w:rsid w:val="00336D6B"/>
    <w:rsid w:val="0034165D"/>
    <w:rsid w:val="003456F0"/>
    <w:rsid w:val="00350A53"/>
    <w:rsid w:val="00353D5A"/>
    <w:rsid w:val="003710C9"/>
    <w:rsid w:val="003A0AB8"/>
    <w:rsid w:val="003C5B3B"/>
    <w:rsid w:val="003D5D04"/>
    <w:rsid w:val="003F07DC"/>
    <w:rsid w:val="00401F5A"/>
    <w:rsid w:val="00414A5E"/>
    <w:rsid w:val="00422C73"/>
    <w:rsid w:val="00437837"/>
    <w:rsid w:val="004472CE"/>
    <w:rsid w:val="0045269C"/>
    <w:rsid w:val="00453490"/>
    <w:rsid w:val="00455794"/>
    <w:rsid w:val="00467A62"/>
    <w:rsid w:val="00481459"/>
    <w:rsid w:val="0048383D"/>
    <w:rsid w:val="004C57E7"/>
    <w:rsid w:val="004E382D"/>
    <w:rsid w:val="00524449"/>
    <w:rsid w:val="0052735A"/>
    <w:rsid w:val="00527FB5"/>
    <w:rsid w:val="00533FC1"/>
    <w:rsid w:val="00555C2F"/>
    <w:rsid w:val="00560176"/>
    <w:rsid w:val="00573CE2"/>
    <w:rsid w:val="005B6ACD"/>
    <w:rsid w:val="005C347E"/>
    <w:rsid w:val="005D0EF5"/>
    <w:rsid w:val="005D5854"/>
    <w:rsid w:val="00600EA3"/>
    <w:rsid w:val="00604F14"/>
    <w:rsid w:val="00627251"/>
    <w:rsid w:val="006641E8"/>
    <w:rsid w:val="00665F03"/>
    <w:rsid w:val="00670F0B"/>
    <w:rsid w:val="00672A04"/>
    <w:rsid w:val="00680A9A"/>
    <w:rsid w:val="006940B1"/>
    <w:rsid w:val="006A168E"/>
    <w:rsid w:val="006A310C"/>
    <w:rsid w:val="006A488D"/>
    <w:rsid w:val="006C0BFF"/>
    <w:rsid w:val="006D499D"/>
    <w:rsid w:val="00714F71"/>
    <w:rsid w:val="0075743E"/>
    <w:rsid w:val="0079416B"/>
    <w:rsid w:val="007A3DA8"/>
    <w:rsid w:val="007E3D12"/>
    <w:rsid w:val="00823098"/>
    <w:rsid w:val="00865EDE"/>
    <w:rsid w:val="008674C2"/>
    <w:rsid w:val="00873F4D"/>
    <w:rsid w:val="008839C9"/>
    <w:rsid w:val="00891FF2"/>
    <w:rsid w:val="008A1B98"/>
    <w:rsid w:val="008D53B3"/>
    <w:rsid w:val="008E7B15"/>
    <w:rsid w:val="008F1D0A"/>
    <w:rsid w:val="008F41F8"/>
    <w:rsid w:val="00900FA6"/>
    <w:rsid w:val="0090344A"/>
    <w:rsid w:val="00907EF8"/>
    <w:rsid w:val="00916203"/>
    <w:rsid w:val="00943012"/>
    <w:rsid w:val="009647EE"/>
    <w:rsid w:val="00970B21"/>
    <w:rsid w:val="00974B93"/>
    <w:rsid w:val="009978E3"/>
    <w:rsid w:val="009C6B85"/>
    <w:rsid w:val="009E1284"/>
    <w:rsid w:val="009F639F"/>
    <w:rsid w:val="00A1206F"/>
    <w:rsid w:val="00A31DA6"/>
    <w:rsid w:val="00A347D8"/>
    <w:rsid w:val="00A42A1F"/>
    <w:rsid w:val="00A45142"/>
    <w:rsid w:val="00A721C3"/>
    <w:rsid w:val="00A80ADD"/>
    <w:rsid w:val="00A8289D"/>
    <w:rsid w:val="00A872D6"/>
    <w:rsid w:val="00AA6770"/>
    <w:rsid w:val="00AB0FB4"/>
    <w:rsid w:val="00AC0248"/>
    <w:rsid w:val="00AD0C6C"/>
    <w:rsid w:val="00AD209B"/>
    <w:rsid w:val="00AD3EC5"/>
    <w:rsid w:val="00AF3F22"/>
    <w:rsid w:val="00B10FD7"/>
    <w:rsid w:val="00B26D5A"/>
    <w:rsid w:val="00B60524"/>
    <w:rsid w:val="00B9066E"/>
    <w:rsid w:val="00BA4E18"/>
    <w:rsid w:val="00BB5289"/>
    <w:rsid w:val="00BE1F17"/>
    <w:rsid w:val="00C01438"/>
    <w:rsid w:val="00C2416D"/>
    <w:rsid w:val="00C36BAF"/>
    <w:rsid w:val="00C62C02"/>
    <w:rsid w:val="00C63D50"/>
    <w:rsid w:val="00CA4670"/>
    <w:rsid w:val="00CD0C1F"/>
    <w:rsid w:val="00CE1597"/>
    <w:rsid w:val="00CE478C"/>
    <w:rsid w:val="00D1561A"/>
    <w:rsid w:val="00D44A75"/>
    <w:rsid w:val="00D61A67"/>
    <w:rsid w:val="00D65ACC"/>
    <w:rsid w:val="00D72C79"/>
    <w:rsid w:val="00D76A81"/>
    <w:rsid w:val="00D77C89"/>
    <w:rsid w:val="00D82AF9"/>
    <w:rsid w:val="00D90EBD"/>
    <w:rsid w:val="00DC23B6"/>
    <w:rsid w:val="00DE5246"/>
    <w:rsid w:val="00E00612"/>
    <w:rsid w:val="00E03019"/>
    <w:rsid w:val="00E1285D"/>
    <w:rsid w:val="00E23975"/>
    <w:rsid w:val="00E37711"/>
    <w:rsid w:val="00E60E7F"/>
    <w:rsid w:val="00E77680"/>
    <w:rsid w:val="00E81AC0"/>
    <w:rsid w:val="00E85DD9"/>
    <w:rsid w:val="00E969DD"/>
    <w:rsid w:val="00EA43E1"/>
    <w:rsid w:val="00EB4662"/>
    <w:rsid w:val="00EB58E7"/>
    <w:rsid w:val="00ED6FA9"/>
    <w:rsid w:val="00EF013A"/>
    <w:rsid w:val="00EF3F6C"/>
    <w:rsid w:val="00EF7489"/>
    <w:rsid w:val="00F00873"/>
    <w:rsid w:val="00F029F8"/>
    <w:rsid w:val="00F1109A"/>
    <w:rsid w:val="00F55105"/>
    <w:rsid w:val="00F77DCD"/>
    <w:rsid w:val="00FA4CF6"/>
    <w:rsid w:val="00FB0B87"/>
    <w:rsid w:val="00FC14EC"/>
    <w:rsid w:val="00FD3486"/>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Stark">
    <w:name w:val="Strong"/>
    <w:basedOn w:val="Standardstycketeckensnitt"/>
    <w:uiPriority w:val="22"/>
    <w:qFormat/>
    <w:rsid w:val="008674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Stark">
    <w:name w:val="Strong"/>
    <w:basedOn w:val="Standardstycketeckensnitt"/>
    <w:uiPriority w:val="22"/>
    <w:qFormat/>
    <w:rsid w:val="00867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t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ilsholgersson.nu" TargetMode="Externa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GFKeywordsTaxHTField0 xmlns="9e6d27c3-1a2e-4c38-959f-cfcae7a8b244" xsi:nil="true"/>
    <HGFDocOwner xmlns="9e6d27c3-1a2e-4c38-959f-cfcae7a8b244">
      <UserInfo>
        <DisplayName>Håkan Strahl</DisplayName>
        <AccountId>41</AccountId>
        <AccountType/>
      </UserInfo>
    </HGFDocOwner>
    <TaxCatchAll xmlns="bcd96f71-1f6a-4a20-905b-589cffe375ff">
      <Value>18</Value>
      <Value>755</Value>
      <Value>6</Value>
      <Value>762</Value>
      <Value>761</Value>
    </TaxCatchAll>
    <HGFRegionTaxHTField0 xmlns="9e6d27c3-1a2e-4c38-959f-cfcae7a8b244">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bcd96f71-1f6a-4a20-905b-589cffe375ff">
      <Terms xmlns="http://schemas.microsoft.com/office/infopath/2007/PartnerControls">
        <TermInfo xmlns="http://schemas.microsoft.com/office/infopath/2007/PartnerControls">
          <TermName xmlns="http://schemas.microsoft.com/office/infopath/2007/PartnerControls">Mall pressmeddelande region sydost</TermName>
          <TermId xmlns="http://schemas.microsoft.com/office/infopath/2007/PartnerControls">4eb902d8-b345-4478-ad38-58b44a5e8677</TermId>
        </TermInfo>
      </Terms>
    </TaxKeywordTaxHTField>
    <HGFDocTypeTaxHTField0 xmlns="9e6d27c3-1a2e-4c38-959f-cfcae7a8b244">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408e7df8-5ee5-4633-89b6-3d48a84a33d5</TermId>
        </TermInfo>
      </Terms>
    </HGFDocTypeTaxHTField0>
    <HGFDocDate xmlns="9e6d27c3-1a2e-4c38-959f-cfcae7a8b244">2014-11-03T11:16:36+01:00</HGFDocDate>
    <HGFBusinessTaxHTField0 xmlns="9e6d27c3-1a2e-4c38-959f-cfcae7a8b244">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bcd96f71-1f6a-4a20-905b-589cffe375ff">V73YUZTASWVU-511-83</_dlc_DocId>
    <_dlc_DocIdUrl xmlns="bcd96f71-1f6a-4a20-905b-589cffe375ff">
      <Url>https://bosse.hyresgastforeningen.se/_layouts/DocIdRedir.aspx?ID=V73YUZTASWVU-511-83</Url>
      <Description>V73YUZTASWVU-511-83</Description>
    </_dlc_DocIdUrl>
    <HGFFileTypeTaxHTField0 xmlns="9e6d27c3-1a2e-4c38-959f-cfcae7a8b244">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ec245168-bca2-4a48-933e-81d922d569b4</TermId>
        </TermInfo>
      </Terms>
    </HGFFileTypeTaxHTField0>
  </documentManagement>
</p:properties>
</file>

<file path=customXml/item4.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B8577059B003BD41A85AFDF35F4E8CA2" ma:contentTypeVersion="53" ma:contentTypeDescription=" " ma:contentTypeScope="" ma:versionID="b45473f61c822fe08251d2b247555656">
  <xsd:schema xmlns:xsd="http://www.w3.org/2001/XMLSchema" xmlns:xs="http://www.w3.org/2001/XMLSchema" xmlns:p="http://schemas.microsoft.com/office/2006/metadata/properties" xmlns:ns2="bcd96f71-1f6a-4a20-905b-589cffe375ff" xmlns:ns3="9e6d27c3-1a2e-4c38-959f-cfcae7a8b244" targetNamespace="http://schemas.microsoft.com/office/2006/metadata/properties" ma:root="true" ma:fieldsID="b3cc405bfee2d39b8bec2b9ce0461119" ns2:_="" ns3:_="">
    <xsd:import namespace="bcd96f71-1f6a-4a20-905b-589cffe375ff"/>
    <xsd:import namespace="9e6d27c3-1a2e-4c38-959f-cfcae7a8b244"/>
    <xsd:element name="properties">
      <xsd:complexType>
        <xsd:sequence>
          <xsd:element name="documentManagement">
            <xsd:complexType>
              <xsd:all>
                <xsd:element ref="ns2:_dlc_DocId" minOccurs="0"/>
                <xsd:element ref="ns2:_dlc_DocIdUrl" minOccurs="0"/>
                <xsd:element ref="ns2:_dlc_DocIdPersistId" minOccurs="0"/>
                <xsd:element ref="ns3:HGFDocTypeTaxHTField0" minOccurs="0"/>
                <xsd:element ref="ns2:TaxCatchAll" minOccurs="0"/>
                <xsd:element ref="ns2:TaxCatchAllLabel" minOccurs="0"/>
                <xsd:element ref="ns3:HGFDocOwner" minOccurs="0"/>
                <xsd:element ref="ns3:HGFDocDate" minOccurs="0"/>
                <xsd:element ref="ns3:HGFRegionTaxHTField0" minOccurs="0"/>
                <xsd:element ref="ns3:HGFBusinessTaxHTField0" minOccurs="0"/>
                <xsd:element ref="ns2:TaxKeywordTaxHTField" minOccurs="0"/>
                <xsd:element ref="ns3:HGFKeywordsTaxHTField0" minOccurs="0"/>
                <xsd:element ref="ns3: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96f71-1f6a-4a20-905b-589cffe375ff"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d62da7b-89f0-47d0-81ef-49c1b02045cc}" ma:internalName="TaxCatchAll" ma:showField="CatchAllData" ma:web="bcd96f71-1f6a-4a20-905b-589cffe375f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d62da7b-89f0-47d0-81ef-49c1b02045cc}" ma:internalName="TaxCatchAllLabel" ma:readOnly="true" ma:showField="CatchAllDataLabel" ma:web="bcd96f71-1f6a-4a20-905b-589cffe375ff">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6d27c3-1a2e-4c38-959f-cfcae7a8b244" elementFormDefault="qualified">
    <xsd:import namespace="http://schemas.microsoft.com/office/2006/documentManagement/types"/>
    <xsd:import namespace="http://schemas.microsoft.com/office/infopath/2007/PartnerControls"/>
    <xsd:element name="HGFDocTypeTaxHTField0" ma:index="11" nillable="true" ma:taxonomy="true" ma:internalName="HGFDocTypeTaxHTField0" ma:taxonomyFieldName="HGFDocType" ma:displayName="Dokumenttyp"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5" nillable="true"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GFDocDate" ma:index="16" nillable="true" ma:displayName="Dokumentdatum" ma:default="[today]" ma:format="DateOnly" ma:internalName="HGFDocDate" ma:readOnly="false">
      <xsd:simpleType>
        <xsd:restriction base="dms:DateTime"/>
      </xsd:simpleType>
    </xsd:element>
    <xsd:element name="HGFRegionTaxHTField0" ma:index="17" nillable="true" ma:taxonomy="true" ma:internalName="HGFRegionTaxHTField0" ma:taxonomyFieldName="HGFRegion" ma:displayName="Region"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9" nillable="true" ma:taxonomy="true" ma:internalName="HGFBusinessTaxHTField0" ma:taxonomyFieldName="HGFBusiness" ma:displayName="Verksamhetsområd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3"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AA17-6F60-4AFB-9F0D-5FF65860320E}">
  <ds:schemaRefs>
    <ds:schemaRef ds:uri="http://schemas.microsoft.com/sharepoint/events"/>
  </ds:schemaRefs>
</ds:datastoreItem>
</file>

<file path=customXml/itemProps2.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3.xml><?xml version="1.0" encoding="utf-8"?>
<ds:datastoreItem xmlns:ds="http://schemas.openxmlformats.org/officeDocument/2006/customXml" ds:itemID="{0351272E-7B75-40BC-A4BD-EB420E7D4397}">
  <ds:schemaRefs>
    <ds:schemaRef ds:uri="http://schemas.microsoft.com/office/2006/metadata/properties"/>
    <ds:schemaRef ds:uri="http://schemas.microsoft.com/office/infopath/2007/PartnerControls"/>
    <ds:schemaRef ds:uri="9e6d27c3-1a2e-4c38-959f-cfcae7a8b244"/>
    <ds:schemaRef ds:uri="bcd96f71-1f6a-4a20-905b-589cffe375ff"/>
  </ds:schemaRefs>
</ds:datastoreItem>
</file>

<file path=customXml/itemProps4.xml><?xml version="1.0" encoding="utf-8"?>
<ds:datastoreItem xmlns:ds="http://schemas.openxmlformats.org/officeDocument/2006/customXml" ds:itemID="{FB3E3E20-874D-485A-B5BB-A11A7F717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96f71-1f6a-4a20-905b-589cffe375ff"/>
    <ds:schemaRef ds:uri="9e6d27c3-1a2e-4c38-959f-cfcae7a8b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7CB892-6272-49F0-A4E6-68BCB3AE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289</Words>
  <Characters>1536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Strahl</dc:creator>
  <cp:keywords>Mall pressmeddelande region sydost</cp:keywords>
  <dc:description/>
  <cp:lastModifiedBy>Håkan Strahl</cp:lastModifiedBy>
  <cp:revision>11</cp:revision>
  <cp:lastPrinted>2008-11-25T09:11:00Z</cp:lastPrinted>
  <dcterms:created xsi:type="dcterms:W3CDTF">2014-11-03T10:16:00Z</dcterms:created>
  <dcterms:modified xsi:type="dcterms:W3CDTF">2014-11-11T08:04:00Z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0x010100C22C9A619773441A8D703190DAA3143300591CFE58D6E64528804B05BD9DCDEDE900B8577059B003BD41A85AFDF35F4E8CA2</vt:lpwstr>
  </property>
  <property fmtid="{D5CDD505-2E9C-101B-9397-08002B2CF9AE}" pid="3" name="HGFRegion">
    <vt:lpwstr>18;#Region Sydost|9498c21c-d7b5-4eec-991e-03234fefb006</vt:lpwstr>
  </property>
  <property fmtid="{D5CDD505-2E9C-101B-9397-08002B2CF9AE}" pid="4" name="HGFDocType">
    <vt:lpwstr>755;#Mall|408e7df8-5ee5-4633-89b6-3d48a84a33d5</vt:lpwstr>
  </property>
  <property fmtid="{D5CDD505-2E9C-101B-9397-08002B2CF9AE}" pid="5" name="HGFKeywords">
    <vt:lpwstr>762;#Mall pressmeddelande region sydost|4eb902d8-b345-4478-ad38-58b44a5e8677</vt:lpwstr>
  </property>
  <property fmtid="{D5CDD505-2E9C-101B-9397-08002B2CF9AE}" pid="6" name="HGFBusiness">
    <vt:lpwstr>6;#Kommunikation|d6a30504-0cb6-4ea2-84bc-9095caf36273</vt:lpwstr>
  </property>
  <property fmtid="{D5CDD505-2E9C-101B-9397-08002B2CF9AE}" pid="7" name="_dlc_DocIdItemGuid">
    <vt:lpwstr>5933c040-3af8-45a0-8d85-62e449cd97c4</vt:lpwstr>
  </property>
  <property fmtid="{D5CDD505-2E9C-101B-9397-08002B2CF9AE}" pid="8" name="HGFFileType">
    <vt:lpwstr>761;#Word|ec245168-bca2-4a48-933e-81d922d569b4</vt:lpwstr>
  </property>
</Properties>
</file>