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BB3A37"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BB3A37"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941485" w:rsidRPr="00941485" w:rsidRDefault="00941485" w:rsidP="00941485">
      <w:pPr>
        <w:pStyle w:val="BodyText2"/>
        <w:spacing w:line="276" w:lineRule="auto"/>
        <w:jc w:val="both"/>
        <w:rPr>
          <w:rFonts w:ascii="Arial" w:hAnsi="Arial" w:cs="Arial"/>
          <w:b/>
          <w:bCs/>
          <w:sz w:val="44"/>
          <w:szCs w:val="32"/>
          <w:lang w:val="cs-CZ"/>
        </w:rPr>
      </w:pPr>
      <w:r w:rsidRPr="00941485">
        <w:rPr>
          <w:rFonts w:ascii="Arial" w:hAnsi="Arial" w:cs="Arial"/>
          <w:b/>
          <w:bCs/>
          <w:sz w:val="44"/>
          <w:szCs w:val="32"/>
          <w:lang w:val="cs-CZ"/>
        </w:rPr>
        <w:t xml:space="preserve">Ford </w:t>
      </w:r>
      <w:r w:rsidR="00AE3F5E">
        <w:rPr>
          <w:rFonts w:ascii="Arial" w:hAnsi="Arial" w:cs="Arial"/>
          <w:b/>
          <w:bCs/>
          <w:sz w:val="44"/>
          <w:szCs w:val="32"/>
          <w:lang w:val="cs-CZ"/>
        </w:rPr>
        <w:t>zůstává</w:t>
      </w:r>
      <w:r w:rsidRPr="00941485">
        <w:rPr>
          <w:rFonts w:ascii="Arial" w:hAnsi="Arial" w:cs="Arial"/>
          <w:b/>
          <w:bCs/>
          <w:sz w:val="44"/>
          <w:szCs w:val="32"/>
          <w:lang w:val="cs-CZ"/>
        </w:rPr>
        <w:t xml:space="preserve"> i nadále evropskou jedničkou v užitkových vozech!</w:t>
      </w:r>
    </w:p>
    <w:p w:rsidR="004A5828" w:rsidRPr="00B37CF9" w:rsidRDefault="004A5828" w:rsidP="00311D56">
      <w:pPr>
        <w:pStyle w:val="BodyText2"/>
        <w:spacing w:line="276" w:lineRule="auto"/>
        <w:jc w:val="both"/>
        <w:rPr>
          <w:rFonts w:ascii="Arial" w:hAnsi="Arial" w:cs="Arial"/>
          <w:b/>
          <w:bCs/>
          <w:sz w:val="22"/>
          <w:szCs w:val="22"/>
          <w:lang w:val="cs-CZ"/>
        </w:rPr>
      </w:pPr>
    </w:p>
    <w:p w:rsidR="00941485" w:rsidRPr="00941485" w:rsidRDefault="00941485" w:rsidP="00941485">
      <w:pPr>
        <w:pStyle w:val="ListParagraph"/>
        <w:numPr>
          <w:ilvl w:val="0"/>
          <w:numId w:val="44"/>
        </w:numPr>
        <w:spacing w:line="276" w:lineRule="auto"/>
        <w:ind w:right="-24"/>
        <w:jc w:val="both"/>
        <w:rPr>
          <w:rFonts w:ascii="Arial" w:hAnsi="Arial" w:cs="Arial"/>
          <w:b/>
          <w:szCs w:val="22"/>
        </w:rPr>
      </w:pPr>
      <w:r w:rsidRPr="00941485">
        <w:rPr>
          <w:rFonts w:ascii="Arial" w:hAnsi="Arial" w:cs="Arial"/>
          <w:b/>
          <w:szCs w:val="22"/>
        </w:rPr>
        <w:t>Ford prodal v Evropě v prvním čtvrtletí letošního roku 359 400 vozů, z toho 102 400 užitkových</w:t>
      </w:r>
    </w:p>
    <w:p w:rsidR="00941485" w:rsidRPr="00941485" w:rsidRDefault="00941485" w:rsidP="00941485">
      <w:pPr>
        <w:pStyle w:val="ListParagraph"/>
        <w:spacing w:line="276" w:lineRule="auto"/>
        <w:ind w:right="-24"/>
        <w:jc w:val="both"/>
        <w:rPr>
          <w:rFonts w:ascii="Arial" w:hAnsi="Arial" w:cs="Arial"/>
          <w:b/>
          <w:szCs w:val="22"/>
        </w:rPr>
      </w:pPr>
    </w:p>
    <w:p w:rsidR="00941485" w:rsidRPr="00941485" w:rsidRDefault="00941485" w:rsidP="00941485">
      <w:pPr>
        <w:pStyle w:val="ListParagraph"/>
        <w:numPr>
          <w:ilvl w:val="0"/>
          <w:numId w:val="44"/>
        </w:numPr>
        <w:spacing w:line="276" w:lineRule="auto"/>
        <w:ind w:right="-24"/>
        <w:jc w:val="both"/>
        <w:rPr>
          <w:rFonts w:ascii="Arial" w:hAnsi="Arial" w:cs="Arial"/>
          <w:b/>
          <w:szCs w:val="22"/>
        </w:rPr>
      </w:pPr>
      <w:r w:rsidRPr="00941485">
        <w:rPr>
          <w:rFonts w:ascii="Arial" w:hAnsi="Arial" w:cs="Arial"/>
          <w:b/>
          <w:szCs w:val="22"/>
        </w:rPr>
        <w:t xml:space="preserve">V užitkovém segmentu </w:t>
      </w:r>
      <w:r w:rsidR="00AE3F5E">
        <w:rPr>
          <w:rFonts w:ascii="Arial" w:hAnsi="Arial" w:cs="Arial"/>
          <w:b/>
          <w:szCs w:val="22"/>
        </w:rPr>
        <w:t>proběhlo</w:t>
      </w:r>
      <w:r w:rsidRPr="00941485">
        <w:rPr>
          <w:rFonts w:ascii="Arial" w:hAnsi="Arial" w:cs="Arial"/>
          <w:b/>
          <w:szCs w:val="22"/>
        </w:rPr>
        <w:t xml:space="preserve"> pro Ford obchodně nejúspěšnější první čtvrtletí od roku 1993</w:t>
      </w:r>
    </w:p>
    <w:p w:rsidR="00941485" w:rsidRPr="00941485" w:rsidRDefault="00941485" w:rsidP="00941485">
      <w:pPr>
        <w:pStyle w:val="ListParagraph"/>
        <w:spacing w:line="276" w:lineRule="auto"/>
        <w:ind w:right="-24"/>
        <w:jc w:val="both"/>
        <w:rPr>
          <w:rFonts w:ascii="Arial" w:hAnsi="Arial" w:cs="Arial"/>
          <w:b/>
          <w:szCs w:val="22"/>
        </w:rPr>
      </w:pPr>
    </w:p>
    <w:p w:rsidR="00941485" w:rsidRPr="00941485" w:rsidRDefault="00941485" w:rsidP="00941485">
      <w:pPr>
        <w:pStyle w:val="ListParagraph"/>
        <w:numPr>
          <w:ilvl w:val="0"/>
          <w:numId w:val="44"/>
        </w:numPr>
        <w:spacing w:line="276" w:lineRule="auto"/>
        <w:ind w:right="-24"/>
        <w:jc w:val="both"/>
        <w:rPr>
          <w:rFonts w:ascii="Arial" w:hAnsi="Arial" w:cs="Arial"/>
          <w:b/>
          <w:szCs w:val="22"/>
        </w:rPr>
      </w:pPr>
      <w:r w:rsidRPr="00941485">
        <w:rPr>
          <w:rFonts w:ascii="Arial" w:hAnsi="Arial" w:cs="Arial"/>
          <w:b/>
          <w:szCs w:val="22"/>
        </w:rPr>
        <w:t xml:space="preserve">72 procent prodaných osobních vozů Ford připadá na </w:t>
      </w:r>
      <w:r w:rsidR="00AE3F5E">
        <w:rPr>
          <w:rFonts w:ascii="Arial" w:hAnsi="Arial" w:cs="Arial"/>
          <w:b/>
          <w:szCs w:val="22"/>
        </w:rPr>
        <w:t xml:space="preserve">auta s </w:t>
      </w:r>
      <w:r w:rsidRPr="00941485">
        <w:rPr>
          <w:rFonts w:ascii="Arial" w:hAnsi="Arial" w:cs="Arial"/>
          <w:b/>
          <w:szCs w:val="22"/>
        </w:rPr>
        <w:t>vysok</w:t>
      </w:r>
      <w:r w:rsidR="00AE3F5E">
        <w:rPr>
          <w:rFonts w:ascii="Arial" w:hAnsi="Arial" w:cs="Arial"/>
          <w:b/>
          <w:szCs w:val="22"/>
        </w:rPr>
        <w:t>ým</w:t>
      </w:r>
      <w:r w:rsidRPr="00941485">
        <w:rPr>
          <w:rFonts w:ascii="Arial" w:hAnsi="Arial" w:cs="Arial"/>
          <w:b/>
          <w:szCs w:val="22"/>
        </w:rPr>
        <w:t xml:space="preserve"> stupně</w:t>
      </w:r>
      <w:r w:rsidR="00AE3F5E">
        <w:rPr>
          <w:rFonts w:ascii="Arial" w:hAnsi="Arial" w:cs="Arial"/>
          <w:b/>
          <w:szCs w:val="22"/>
        </w:rPr>
        <w:t>m</w:t>
      </w:r>
      <w:r w:rsidRPr="00941485">
        <w:rPr>
          <w:rFonts w:ascii="Arial" w:hAnsi="Arial" w:cs="Arial"/>
          <w:b/>
          <w:szCs w:val="22"/>
        </w:rPr>
        <w:t xml:space="preserve"> výbavy</w:t>
      </w:r>
    </w:p>
    <w:p w:rsidR="00941485" w:rsidRPr="00941485" w:rsidRDefault="00941485" w:rsidP="00941485">
      <w:pPr>
        <w:pStyle w:val="ListParagraph"/>
        <w:spacing w:line="276" w:lineRule="auto"/>
        <w:ind w:right="-24"/>
        <w:jc w:val="both"/>
        <w:rPr>
          <w:rFonts w:ascii="Arial" w:hAnsi="Arial" w:cs="Arial"/>
          <w:b/>
          <w:szCs w:val="22"/>
        </w:rPr>
      </w:pPr>
    </w:p>
    <w:p w:rsidR="00941485" w:rsidRPr="00941485" w:rsidRDefault="00941485" w:rsidP="00941485">
      <w:pPr>
        <w:pStyle w:val="ListParagraph"/>
        <w:numPr>
          <w:ilvl w:val="0"/>
          <w:numId w:val="44"/>
        </w:numPr>
        <w:spacing w:line="276" w:lineRule="auto"/>
        <w:ind w:right="-24"/>
        <w:jc w:val="both"/>
        <w:rPr>
          <w:rFonts w:ascii="Arial" w:hAnsi="Arial" w:cs="Arial"/>
          <w:b/>
          <w:szCs w:val="22"/>
        </w:rPr>
      </w:pPr>
      <w:r w:rsidRPr="00941485">
        <w:rPr>
          <w:rFonts w:ascii="Arial" w:hAnsi="Arial" w:cs="Arial"/>
          <w:b/>
          <w:szCs w:val="22"/>
        </w:rPr>
        <w:t xml:space="preserve">Užitkové vozy a SUV tvoří </w:t>
      </w:r>
      <w:r w:rsidR="00AE3F5E">
        <w:rPr>
          <w:rFonts w:ascii="Arial" w:hAnsi="Arial" w:cs="Arial"/>
          <w:b/>
          <w:szCs w:val="22"/>
        </w:rPr>
        <w:t xml:space="preserve">již </w:t>
      </w:r>
      <w:r w:rsidRPr="00941485">
        <w:rPr>
          <w:rFonts w:ascii="Arial" w:hAnsi="Arial" w:cs="Arial"/>
          <w:b/>
          <w:szCs w:val="22"/>
        </w:rPr>
        <w:t>téměř polovinu celkového odbytu značky v Evropě</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941485">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941485">
        <w:rPr>
          <w:rFonts w:ascii="Arial" w:hAnsi="Arial" w:cs="Arial"/>
          <w:b/>
          <w:i/>
          <w:sz w:val="24"/>
        </w:rPr>
        <w:t>25</w:t>
      </w:r>
      <w:r w:rsidRPr="009A1395">
        <w:rPr>
          <w:rFonts w:ascii="Arial" w:hAnsi="Arial" w:cs="Arial"/>
          <w:b/>
          <w:i/>
          <w:sz w:val="24"/>
        </w:rPr>
        <w:t xml:space="preserve">. </w:t>
      </w:r>
      <w:r w:rsidR="00941485">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941485" w:rsidRPr="00941485">
        <w:rPr>
          <w:rFonts w:ascii="Arial" w:hAnsi="Arial" w:cs="Arial"/>
          <w:b/>
          <w:sz w:val="24"/>
        </w:rPr>
        <w:t xml:space="preserve">V prvním čtvrtletí </w:t>
      </w:r>
      <w:r w:rsidR="00AE3F5E">
        <w:rPr>
          <w:rFonts w:ascii="Arial" w:hAnsi="Arial" w:cs="Arial"/>
          <w:b/>
          <w:sz w:val="24"/>
        </w:rPr>
        <w:t xml:space="preserve">roku </w:t>
      </w:r>
      <w:r w:rsidR="00941485" w:rsidRPr="00941485">
        <w:rPr>
          <w:rFonts w:ascii="Arial" w:hAnsi="Arial" w:cs="Arial"/>
          <w:b/>
          <w:sz w:val="24"/>
        </w:rPr>
        <w:t xml:space="preserve">2019 prodal Ford na </w:t>
      </w:r>
      <w:r w:rsidR="00AE3F5E">
        <w:rPr>
          <w:rFonts w:ascii="Arial" w:hAnsi="Arial" w:cs="Arial"/>
          <w:b/>
          <w:sz w:val="24"/>
        </w:rPr>
        <w:t>dvaceti</w:t>
      </w:r>
      <w:r w:rsidR="00941485" w:rsidRPr="00941485">
        <w:rPr>
          <w:rFonts w:ascii="Arial" w:hAnsi="Arial" w:cs="Arial"/>
          <w:b/>
          <w:sz w:val="24"/>
        </w:rPr>
        <w:t xml:space="preserve"> tradičních evropských trzích* 359 400 automobilů, což odpovídá tržnímu podílu 7,6 </w:t>
      </w:r>
      <w:r w:rsidR="00941485">
        <w:rPr>
          <w:rFonts w:ascii="Arial" w:hAnsi="Arial" w:cs="Arial"/>
          <w:b/>
          <w:sz w:val="24"/>
        </w:rPr>
        <w:t>procent</w:t>
      </w:r>
      <w:r w:rsidR="00AE3F5E">
        <w:rPr>
          <w:rFonts w:ascii="Arial" w:hAnsi="Arial" w:cs="Arial"/>
          <w:b/>
          <w:sz w:val="24"/>
        </w:rPr>
        <w:t>a</w:t>
      </w:r>
      <w:r w:rsidR="00941485" w:rsidRPr="00941485">
        <w:rPr>
          <w:rFonts w:ascii="Arial" w:hAnsi="Arial" w:cs="Arial"/>
          <w:b/>
          <w:sz w:val="24"/>
        </w:rPr>
        <w:t xml:space="preserve">. Obzvlášť </w:t>
      </w:r>
      <w:r w:rsidR="00AE3F5E">
        <w:rPr>
          <w:rFonts w:ascii="Arial" w:hAnsi="Arial" w:cs="Arial"/>
          <w:b/>
          <w:sz w:val="24"/>
        </w:rPr>
        <w:t>úspěšně si vedla</w:t>
      </w:r>
      <w:r w:rsidR="00941485" w:rsidRPr="00941485">
        <w:rPr>
          <w:rFonts w:ascii="Arial" w:hAnsi="Arial" w:cs="Arial"/>
          <w:b/>
          <w:sz w:val="24"/>
        </w:rPr>
        <w:t xml:space="preserve"> značka v užitkovém segmentu, </w:t>
      </w:r>
      <w:r w:rsidR="00AE3F5E">
        <w:rPr>
          <w:rFonts w:ascii="Arial" w:hAnsi="Arial" w:cs="Arial"/>
          <w:b/>
          <w:sz w:val="24"/>
        </w:rPr>
        <w:t xml:space="preserve">neboť </w:t>
      </w:r>
      <w:r w:rsidR="00941485" w:rsidRPr="00941485">
        <w:rPr>
          <w:rFonts w:ascii="Arial" w:hAnsi="Arial" w:cs="Arial"/>
          <w:b/>
          <w:sz w:val="24"/>
        </w:rPr>
        <w:t>první čtvrtletí</w:t>
      </w:r>
      <w:r w:rsidR="00AE3F5E">
        <w:rPr>
          <w:rFonts w:ascii="Arial" w:hAnsi="Arial" w:cs="Arial"/>
          <w:b/>
          <w:sz w:val="24"/>
        </w:rPr>
        <w:t xml:space="preserve"> se pro ni stalo</w:t>
      </w:r>
      <w:r w:rsidR="00941485" w:rsidRPr="00941485">
        <w:rPr>
          <w:rFonts w:ascii="Arial" w:hAnsi="Arial" w:cs="Arial"/>
          <w:b/>
          <w:sz w:val="24"/>
        </w:rPr>
        <w:t xml:space="preserve"> obchodně nejúspěšnější</w:t>
      </w:r>
      <w:r w:rsidR="00AE3F5E">
        <w:rPr>
          <w:rFonts w:ascii="Arial" w:hAnsi="Arial" w:cs="Arial"/>
          <w:b/>
          <w:sz w:val="24"/>
        </w:rPr>
        <w:t>m</w:t>
      </w:r>
      <w:r w:rsidR="00941485" w:rsidRPr="00941485">
        <w:rPr>
          <w:rFonts w:ascii="Arial" w:hAnsi="Arial" w:cs="Arial"/>
          <w:b/>
          <w:sz w:val="24"/>
        </w:rPr>
        <w:t xml:space="preserve"> od roku 1993.</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941485" w:rsidRPr="00941485" w:rsidRDefault="00941485" w:rsidP="00941485">
      <w:pPr>
        <w:widowControl w:val="0"/>
        <w:autoSpaceDE w:val="0"/>
        <w:autoSpaceDN w:val="0"/>
        <w:adjustRightInd w:val="0"/>
        <w:spacing w:line="276" w:lineRule="auto"/>
        <w:jc w:val="both"/>
        <w:rPr>
          <w:rFonts w:ascii="Arial" w:hAnsi="Arial" w:cs="Arial"/>
          <w:sz w:val="24"/>
        </w:rPr>
      </w:pPr>
      <w:r w:rsidRPr="00941485">
        <w:rPr>
          <w:rFonts w:ascii="Arial" w:hAnsi="Arial" w:cs="Arial"/>
          <w:sz w:val="24"/>
        </w:rPr>
        <w:lastRenderedPageBreak/>
        <w:t xml:space="preserve">Užitkových vozů prodal Ford celkem 102 400. Navýšil </w:t>
      </w:r>
      <w:r w:rsidR="00AE3F5E">
        <w:rPr>
          <w:rFonts w:ascii="Arial" w:hAnsi="Arial" w:cs="Arial"/>
          <w:sz w:val="24"/>
        </w:rPr>
        <w:t>tím</w:t>
      </w:r>
      <w:r w:rsidRPr="00941485">
        <w:rPr>
          <w:rFonts w:ascii="Arial" w:hAnsi="Arial" w:cs="Arial"/>
          <w:sz w:val="24"/>
        </w:rPr>
        <w:t xml:space="preserve"> svůj podíl </w:t>
      </w:r>
      <w:r>
        <w:rPr>
          <w:rFonts w:ascii="Arial" w:hAnsi="Arial" w:cs="Arial"/>
          <w:sz w:val="24"/>
        </w:rPr>
        <w:t>o 0,4 procentního bodu</w:t>
      </w:r>
      <w:r w:rsidR="008D1B81">
        <w:rPr>
          <w:rFonts w:ascii="Arial" w:hAnsi="Arial" w:cs="Arial"/>
          <w:sz w:val="24"/>
        </w:rPr>
        <w:t>,</w:t>
      </w:r>
      <w:r>
        <w:rPr>
          <w:rFonts w:ascii="Arial" w:hAnsi="Arial" w:cs="Arial"/>
          <w:sz w:val="24"/>
        </w:rPr>
        <w:t xml:space="preserve"> na 14,5 procent</w:t>
      </w:r>
      <w:r w:rsidR="008D1B81">
        <w:rPr>
          <w:rFonts w:ascii="Arial" w:hAnsi="Arial" w:cs="Arial"/>
          <w:sz w:val="24"/>
        </w:rPr>
        <w:t>a</w:t>
      </w:r>
      <w:r>
        <w:rPr>
          <w:rFonts w:ascii="Arial" w:hAnsi="Arial" w:cs="Arial"/>
          <w:sz w:val="24"/>
        </w:rPr>
        <w:t xml:space="preserve"> </w:t>
      </w:r>
      <w:r w:rsidRPr="00941485">
        <w:rPr>
          <w:rFonts w:ascii="Arial" w:hAnsi="Arial" w:cs="Arial"/>
          <w:sz w:val="24"/>
        </w:rPr>
        <w:t xml:space="preserve">v segmentu, </w:t>
      </w:r>
      <w:r w:rsidR="0005390B">
        <w:rPr>
          <w:rFonts w:ascii="Arial" w:hAnsi="Arial" w:cs="Arial"/>
          <w:sz w:val="24"/>
        </w:rPr>
        <w:t>v</w:t>
      </w:r>
      <w:r w:rsidR="008D1B81">
        <w:rPr>
          <w:rFonts w:ascii="Arial" w:hAnsi="Arial" w:cs="Arial"/>
          <w:sz w:val="24"/>
        </w:rPr>
        <w:t xml:space="preserve"> němž</w:t>
      </w:r>
      <w:r w:rsidRPr="00941485">
        <w:rPr>
          <w:rFonts w:ascii="Arial" w:hAnsi="Arial" w:cs="Arial"/>
          <w:sz w:val="24"/>
        </w:rPr>
        <w:t xml:space="preserve"> v</w:t>
      </w:r>
      <w:r w:rsidR="008D1B81">
        <w:rPr>
          <w:rFonts w:ascii="Arial" w:hAnsi="Arial" w:cs="Arial"/>
          <w:sz w:val="24"/>
        </w:rPr>
        <w:t> </w:t>
      </w:r>
      <w:r w:rsidRPr="00941485">
        <w:rPr>
          <w:rFonts w:ascii="Arial" w:hAnsi="Arial" w:cs="Arial"/>
          <w:sz w:val="24"/>
        </w:rPr>
        <w:t>Evropě</w:t>
      </w:r>
      <w:r w:rsidR="008D1B81">
        <w:rPr>
          <w:rFonts w:ascii="Arial" w:hAnsi="Arial" w:cs="Arial"/>
          <w:sz w:val="24"/>
        </w:rPr>
        <w:t xml:space="preserve"> dominuje jako</w:t>
      </w:r>
      <w:r w:rsidRPr="00941485">
        <w:rPr>
          <w:rFonts w:ascii="Arial" w:hAnsi="Arial" w:cs="Arial"/>
          <w:sz w:val="24"/>
        </w:rPr>
        <w:t xml:space="preserve"> již tradiční leader</w:t>
      </w:r>
      <w:r>
        <w:rPr>
          <w:rFonts w:ascii="Arial" w:hAnsi="Arial" w:cs="Arial"/>
          <w:sz w:val="24"/>
        </w:rPr>
        <w:t xml:space="preserve">. </w:t>
      </w:r>
      <w:r w:rsidRPr="00941485">
        <w:rPr>
          <w:rFonts w:ascii="Arial" w:hAnsi="Arial" w:cs="Arial"/>
          <w:sz w:val="24"/>
        </w:rPr>
        <w:t xml:space="preserve">Odbyt řady Transit přitom meziročně vzrostl o 11,8 </w:t>
      </w:r>
      <w:r>
        <w:rPr>
          <w:rFonts w:ascii="Arial" w:hAnsi="Arial" w:cs="Arial"/>
          <w:sz w:val="24"/>
        </w:rPr>
        <w:t>procent</w:t>
      </w:r>
      <w:r w:rsidR="008D1B81">
        <w:rPr>
          <w:rFonts w:ascii="Arial" w:hAnsi="Arial" w:cs="Arial"/>
          <w:sz w:val="24"/>
        </w:rPr>
        <w:t>a</w:t>
      </w:r>
      <w:r w:rsidRPr="00941485">
        <w:rPr>
          <w:rFonts w:ascii="Arial" w:hAnsi="Arial" w:cs="Arial"/>
          <w:sz w:val="24"/>
        </w:rPr>
        <w:t xml:space="preserve">, pick-up Ranger si připsal nárůst dokonce o 15,6 </w:t>
      </w:r>
      <w:r>
        <w:rPr>
          <w:rFonts w:ascii="Arial" w:hAnsi="Arial" w:cs="Arial"/>
          <w:sz w:val="24"/>
        </w:rPr>
        <w:t>procent</w:t>
      </w:r>
      <w:r w:rsidR="008D1B81">
        <w:rPr>
          <w:rFonts w:ascii="Arial" w:hAnsi="Arial" w:cs="Arial"/>
          <w:sz w:val="24"/>
        </w:rPr>
        <w:t>a</w:t>
      </w:r>
      <w:r w:rsidRPr="00941485">
        <w:rPr>
          <w:rFonts w:ascii="Arial" w:hAnsi="Arial" w:cs="Arial"/>
          <w:sz w:val="24"/>
        </w:rPr>
        <w:t xml:space="preserve">. </w:t>
      </w:r>
    </w:p>
    <w:p w:rsidR="00941485" w:rsidRPr="00941485" w:rsidRDefault="00941485" w:rsidP="00941485">
      <w:pPr>
        <w:widowControl w:val="0"/>
        <w:autoSpaceDE w:val="0"/>
        <w:autoSpaceDN w:val="0"/>
        <w:adjustRightInd w:val="0"/>
        <w:spacing w:line="276" w:lineRule="auto"/>
        <w:jc w:val="both"/>
        <w:rPr>
          <w:rFonts w:ascii="Arial" w:hAnsi="Arial" w:cs="Arial"/>
          <w:sz w:val="24"/>
        </w:rPr>
      </w:pPr>
    </w:p>
    <w:p w:rsidR="00941485" w:rsidRPr="00941485" w:rsidRDefault="00941485" w:rsidP="00941485">
      <w:pPr>
        <w:widowControl w:val="0"/>
        <w:autoSpaceDE w:val="0"/>
        <w:autoSpaceDN w:val="0"/>
        <w:adjustRightInd w:val="0"/>
        <w:spacing w:line="276" w:lineRule="auto"/>
        <w:jc w:val="both"/>
        <w:rPr>
          <w:rFonts w:ascii="Arial" w:hAnsi="Arial" w:cs="Arial"/>
          <w:sz w:val="24"/>
        </w:rPr>
      </w:pPr>
      <w:r w:rsidRPr="00941485">
        <w:rPr>
          <w:rFonts w:ascii="Arial" w:hAnsi="Arial" w:cs="Arial"/>
          <w:sz w:val="24"/>
        </w:rPr>
        <w:t>Historicky nejúspěšnější čtvrtletí zaznamenal</w:t>
      </w:r>
      <w:r w:rsidR="00551FD3">
        <w:rPr>
          <w:rFonts w:ascii="Arial" w:hAnsi="Arial" w:cs="Arial"/>
          <w:sz w:val="24"/>
        </w:rPr>
        <w:t xml:space="preserve"> mimochodem i</w:t>
      </w:r>
      <w:r w:rsidRPr="00941485">
        <w:rPr>
          <w:rFonts w:ascii="Arial" w:hAnsi="Arial" w:cs="Arial"/>
          <w:sz w:val="24"/>
        </w:rPr>
        <w:t xml:space="preserve"> kompaktní crossover EcoSport s 31 700 prodanými vozy. To je o 34,8 </w:t>
      </w:r>
      <w:r>
        <w:rPr>
          <w:rFonts w:ascii="Arial" w:hAnsi="Arial" w:cs="Arial"/>
          <w:sz w:val="24"/>
        </w:rPr>
        <w:t>procenta</w:t>
      </w:r>
      <w:r w:rsidRPr="00941485">
        <w:rPr>
          <w:rFonts w:ascii="Arial" w:hAnsi="Arial" w:cs="Arial"/>
          <w:sz w:val="24"/>
        </w:rPr>
        <w:t xml:space="preserve"> více než v prvním kvartálu roku 2018. Velkému zájmu zákazníků se těší vysoké stupně výbavy (Titanium, Vignale, Active, ST-Line, ST a RS), na které </w:t>
      </w:r>
      <w:r w:rsidR="00631726" w:rsidRPr="00941485">
        <w:rPr>
          <w:rFonts w:ascii="Arial" w:hAnsi="Arial" w:cs="Arial"/>
          <w:sz w:val="24"/>
        </w:rPr>
        <w:t xml:space="preserve">v prvním čtvrtletí </w:t>
      </w:r>
      <w:r w:rsidRPr="00941485">
        <w:rPr>
          <w:rFonts w:ascii="Arial" w:hAnsi="Arial" w:cs="Arial"/>
          <w:sz w:val="24"/>
        </w:rPr>
        <w:t>připadá 72 procent všech prodaných osobních vozů Ford. N</w:t>
      </w:r>
      <w:bookmarkStart w:id="9" w:name="_GoBack"/>
      <w:bookmarkEnd w:id="9"/>
      <w:r w:rsidRPr="00941485">
        <w:rPr>
          <w:rFonts w:ascii="Arial" w:hAnsi="Arial" w:cs="Arial"/>
          <w:sz w:val="24"/>
        </w:rPr>
        <w:t>ejprodávanějším modelem značky</w:t>
      </w:r>
      <w:r w:rsidR="00BB3A37">
        <w:rPr>
          <w:rFonts w:ascii="Arial" w:hAnsi="Arial" w:cs="Arial"/>
          <w:sz w:val="24"/>
        </w:rPr>
        <w:t xml:space="preserve"> </w:t>
      </w:r>
      <w:r w:rsidR="00551FD3">
        <w:rPr>
          <w:rFonts w:ascii="Arial" w:hAnsi="Arial" w:cs="Arial"/>
          <w:sz w:val="24"/>
        </w:rPr>
        <w:t>pak</w:t>
      </w:r>
      <w:r w:rsidRPr="00941485">
        <w:rPr>
          <w:rFonts w:ascii="Arial" w:hAnsi="Arial" w:cs="Arial"/>
          <w:sz w:val="24"/>
        </w:rPr>
        <w:t xml:space="preserve"> byl nový Focus s 66 900 kusy.</w:t>
      </w:r>
    </w:p>
    <w:p w:rsidR="00941485" w:rsidRPr="00941485" w:rsidRDefault="00941485" w:rsidP="00941485">
      <w:pPr>
        <w:widowControl w:val="0"/>
        <w:autoSpaceDE w:val="0"/>
        <w:autoSpaceDN w:val="0"/>
        <w:adjustRightInd w:val="0"/>
        <w:spacing w:line="276" w:lineRule="auto"/>
        <w:jc w:val="both"/>
        <w:rPr>
          <w:rFonts w:ascii="Arial" w:hAnsi="Arial" w:cs="Arial"/>
          <w:sz w:val="24"/>
        </w:rPr>
      </w:pPr>
    </w:p>
    <w:p w:rsidR="00941485" w:rsidRPr="00941485" w:rsidRDefault="00941485" w:rsidP="00941485">
      <w:pPr>
        <w:widowControl w:val="0"/>
        <w:autoSpaceDE w:val="0"/>
        <w:autoSpaceDN w:val="0"/>
        <w:adjustRightInd w:val="0"/>
        <w:spacing w:line="276" w:lineRule="auto"/>
        <w:jc w:val="both"/>
        <w:rPr>
          <w:rFonts w:ascii="Arial" w:hAnsi="Arial" w:cs="Arial"/>
          <w:sz w:val="24"/>
        </w:rPr>
      </w:pPr>
      <w:r w:rsidRPr="00941485">
        <w:rPr>
          <w:rFonts w:ascii="Arial" w:hAnsi="Arial" w:cs="Arial"/>
          <w:sz w:val="24"/>
        </w:rPr>
        <w:t>„</w:t>
      </w:r>
      <w:r w:rsidRPr="0005390B">
        <w:rPr>
          <w:rFonts w:ascii="Arial" w:hAnsi="Arial" w:cs="Arial"/>
          <w:i/>
          <w:sz w:val="24"/>
        </w:rPr>
        <w:t>Velmi rád vidím, že téměř polovinu našich prodejů již tvoří užitkové vozy a SUV</w:t>
      </w:r>
      <w:r w:rsidRPr="00941485">
        <w:rPr>
          <w:rFonts w:ascii="Arial" w:hAnsi="Arial" w:cs="Arial"/>
          <w:sz w:val="24"/>
        </w:rPr>
        <w:t>,“ řekl Roelant de Waard, viceprezident Ford of Europe pro marketing, prodej a služby. „</w:t>
      </w:r>
      <w:r w:rsidRPr="0005390B">
        <w:rPr>
          <w:rFonts w:ascii="Arial" w:hAnsi="Arial" w:cs="Arial"/>
          <w:i/>
          <w:sz w:val="24"/>
        </w:rPr>
        <w:t>Očekáváme, že tento trend bude pokračovat. V průběhu roku uvedeme na evropský trh nové užitkové modely i SUV, například Transit Custom PHEV a Explorer PHEV</w:t>
      </w:r>
      <w:r w:rsidRPr="00941485">
        <w:rPr>
          <w:rFonts w:ascii="Arial" w:hAnsi="Arial" w:cs="Arial"/>
          <w:sz w:val="24"/>
        </w:rPr>
        <w:t>.“</w:t>
      </w:r>
    </w:p>
    <w:p w:rsidR="00941485" w:rsidRPr="00941485" w:rsidRDefault="00941485" w:rsidP="00941485">
      <w:pPr>
        <w:widowControl w:val="0"/>
        <w:autoSpaceDE w:val="0"/>
        <w:autoSpaceDN w:val="0"/>
        <w:adjustRightInd w:val="0"/>
        <w:spacing w:line="276" w:lineRule="auto"/>
        <w:jc w:val="both"/>
        <w:rPr>
          <w:rFonts w:ascii="Arial" w:hAnsi="Arial" w:cs="Arial"/>
          <w:sz w:val="24"/>
        </w:rPr>
      </w:pPr>
    </w:p>
    <w:p w:rsidR="00941485" w:rsidRPr="00941485" w:rsidRDefault="00941485" w:rsidP="00941485">
      <w:pPr>
        <w:widowControl w:val="0"/>
        <w:autoSpaceDE w:val="0"/>
        <w:autoSpaceDN w:val="0"/>
        <w:adjustRightInd w:val="0"/>
        <w:spacing w:line="276" w:lineRule="auto"/>
        <w:jc w:val="both"/>
        <w:rPr>
          <w:rFonts w:ascii="Arial" w:hAnsi="Arial" w:cs="Arial"/>
          <w:sz w:val="24"/>
        </w:rPr>
      </w:pPr>
      <w:r w:rsidRPr="00941485">
        <w:rPr>
          <w:rFonts w:ascii="Arial" w:hAnsi="Arial" w:cs="Arial"/>
          <w:sz w:val="24"/>
        </w:rPr>
        <w:t xml:space="preserve">Největšími evropskými trhy jsou pro Ford tradičně Velká Británie (102 700 vozů za </w:t>
      </w:r>
      <w:r>
        <w:rPr>
          <w:rFonts w:ascii="Arial" w:hAnsi="Arial" w:cs="Arial"/>
          <w:sz w:val="24"/>
        </w:rPr>
        <w:t>první</w:t>
      </w:r>
      <w:r w:rsidRPr="00941485">
        <w:rPr>
          <w:rFonts w:ascii="Arial" w:hAnsi="Arial" w:cs="Arial"/>
          <w:sz w:val="24"/>
        </w:rPr>
        <w:t xml:space="preserve"> čtvrtletí), Německo (81 100) a Itálie (40 300). Nejvyššího tržního podílu dosahuje značka v Maďarsku (13 </w:t>
      </w:r>
      <w:r>
        <w:rPr>
          <w:rFonts w:ascii="Arial" w:hAnsi="Arial" w:cs="Arial"/>
          <w:sz w:val="24"/>
        </w:rPr>
        <w:t>procent</w:t>
      </w:r>
      <w:r w:rsidRPr="00941485">
        <w:rPr>
          <w:rFonts w:ascii="Arial" w:hAnsi="Arial" w:cs="Arial"/>
          <w:sz w:val="24"/>
        </w:rPr>
        <w:t xml:space="preserve">), Británii (12,6 </w:t>
      </w:r>
      <w:r>
        <w:rPr>
          <w:rFonts w:ascii="Arial" w:hAnsi="Arial" w:cs="Arial"/>
          <w:sz w:val="24"/>
        </w:rPr>
        <w:t>procenta</w:t>
      </w:r>
      <w:r w:rsidRPr="00941485">
        <w:rPr>
          <w:rFonts w:ascii="Arial" w:hAnsi="Arial" w:cs="Arial"/>
          <w:sz w:val="24"/>
        </w:rPr>
        <w:t xml:space="preserve">) a Turecku (11,7 </w:t>
      </w:r>
      <w:r>
        <w:rPr>
          <w:rFonts w:ascii="Arial" w:hAnsi="Arial" w:cs="Arial"/>
          <w:sz w:val="24"/>
        </w:rPr>
        <w:t>procenta</w:t>
      </w:r>
      <w:r w:rsidRPr="00941485">
        <w:rPr>
          <w:rFonts w:ascii="Arial" w:hAnsi="Arial" w:cs="Arial"/>
          <w:sz w:val="24"/>
        </w:rPr>
        <w:t xml:space="preserve">). </w:t>
      </w:r>
    </w:p>
    <w:p w:rsidR="00941485" w:rsidRPr="00941485" w:rsidRDefault="00941485" w:rsidP="00941485">
      <w:pPr>
        <w:widowControl w:val="0"/>
        <w:autoSpaceDE w:val="0"/>
        <w:autoSpaceDN w:val="0"/>
        <w:adjustRightInd w:val="0"/>
        <w:spacing w:line="276" w:lineRule="auto"/>
        <w:jc w:val="both"/>
        <w:rPr>
          <w:rFonts w:ascii="Arial" w:hAnsi="Arial" w:cs="Arial"/>
          <w:sz w:val="24"/>
        </w:rPr>
      </w:pPr>
      <w:r w:rsidRPr="00941485">
        <w:rPr>
          <w:rFonts w:ascii="Arial" w:hAnsi="Arial" w:cs="Arial"/>
          <w:sz w:val="24"/>
        </w:rPr>
        <w:t xml:space="preserve">V užitkových vozech se modrému oválu </w:t>
      </w:r>
      <w:r w:rsidR="00154C1A">
        <w:rPr>
          <w:rFonts w:ascii="Arial" w:hAnsi="Arial" w:cs="Arial"/>
          <w:sz w:val="24"/>
        </w:rPr>
        <w:t xml:space="preserve">vede </w:t>
      </w:r>
      <w:r w:rsidRPr="00941485">
        <w:rPr>
          <w:rFonts w:ascii="Arial" w:hAnsi="Arial" w:cs="Arial"/>
          <w:sz w:val="24"/>
        </w:rPr>
        <w:t xml:space="preserve">velmi dobře i v České republice, kde v počtech registrovaných vozů skončil za březen na děleném prvním místě. Nejúspěšnějším modelem </w:t>
      </w:r>
      <w:r w:rsidR="00631726">
        <w:rPr>
          <w:rFonts w:ascii="Arial" w:hAnsi="Arial" w:cs="Arial"/>
          <w:sz w:val="24"/>
        </w:rPr>
        <w:t xml:space="preserve">se </w:t>
      </w:r>
      <w:r w:rsidRPr="00941485">
        <w:rPr>
          <w:rFonts w:ascii="Arial" w:hAnsi="Arial" w:cs="Arial"/>
          <w:sz w:val="24"/>
        </w:rPr>
        <w:t xml:space="preserve">na českém trhu v prvních třech měsících </w:t>
      </w:r>
      <w:r w:rsidR="00631726">
        <w:rPr>
          <w:rFonts w:ascii="Arial" w:hAnsi="Arial" w:cs="Arial"/>
          <w:sz w:val="24"/>
        </w:rPr>
        <w:t xml:space="preserve">stal </w:t>
      </w:r>
      <w:r w:rsidRPr="00941485">
        <w:rPr>
          <w:rFonts w:ascii="Arial" w:hAnsi="Arial" w:cs="Arial"/>
          <w:sz w:val="24"/>
        </w:rPr>
        <w:t>model Transit/Tourneo Custom.</w:t>
      </w:r>
    </w:p>
    <w:p w:rsidR="00941485" w:rsidRPr="00941485" w:rsidRDefault="00941485" w:rsidP="00941485">
      <w:pPr>
        <w:widowControl w:val="0"/>
        <w:autoSpaceDE w:val="0"/>
        <w:autoSpaceDN w:val="0"/>
        <w:adjustRightInd w:val="0"/>
        <w:spacing w:line="276" w:lineRule="auto"/>
        <w:jc w:val="both"/>
        <w:rPr>
          <w:rFonts w:ascii="Arial" w:hAnsi="Arial" w:cs="Arial"/>
          <w:sz w:val="24"/>
        </w:rPr>
      </w:pPr>
    </w:p>
    <w:p w:rsidR="00941485" w:rsidRPr="00941485" w:rsidRDefault="00941485" w:rsidP="00941485">
      <w:pPr>
        <w:widowControl w:val="0"/>
        <w:autoSpaceDE w:val="0"/>
        <w:autoSpaceDN w:val="0"/>
        <w:adjustRightInd w:val="0"/>
        <w:spacing w:line="276" w:lineRule="auto"/>
        <w:jc w:val="both"/>
        <w:rPr>
          <w:rFonts w:ascii="Arial" w:hAnsi="Arial" w:cs="Arial"/>
          <w:sz w:val="24"/>
        </w:rPr>
      </w:pPr>
    </w:p>
    <w:p w:rsidR="00941485" w:rsidRPr="0005390B" w:rsidRDefault="00941485" w:rsidP="00941485">
      <w:pPr>
        <w:widowControl w:val="0"/>
        <w:autoSpaceDE w:val="0"/>
        <w:autoSpaceDN w:val="0"/>
        <w:adjustRightInd w:val="0"/>
        <w:spacing w:line="276" w:lineRule="auto"/>
        <w:jc w:val="both"/>
        <w:rPr>
          <w:rFonts w:ascii="Arial" w:hAnsi="Arial" w:cs="Arial"/>
          <w:sz w:val="22"/>
          <w:szCs w:val="22"/>
        </w:rPr>
      </w:pPr>
      <w:r w:rsidRPr="0005390B">
        <w:rPr>
          <w:rFonts w:ascii="Arial" w:hAnsi="Arial" w:cs="Arial"/>
          <w:sz w:val="22"/>
          <w:szCs w:val="22"/>
        </w:rPr>
        <w:t xml:space="preserve">* Ford of Europe obvykle zveřejňuje výsledky z </w:t>
      </w:r>
      <w:r w:rsidR="00631726">
        <w:rPr>
          <w:rFonts w:ascii="Arial" w:hAnsi="Arial" w:cs="Arial"/>
          <w:sz w:val="22"/>
          <w:szCs w:val="22"/>
        </w:rPr>
        <w:t>dvaceti</w:t>
      </w:r>
      <w:r w:rsidRPr="0005390B">
        <w:rPr>
          <w:rFonts w:ascii="Arial" w:hAnsi="Arial" w:cs="Arial"/>
          <w:sz w:val="22"/>
          <w:szCs w:val="22"/>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941485" w:rsidRPr="00941485" w:rsidRDefault="00941485" w:rsidP="00941485">
      <w:pPr>
        <w:widowControl w:val="0"/>
        <w:autoSpaceDE w:val="0"/>
        <w:autoSpaceDN w:val="0"/>
        <w:adjustRightInd w:val="0"/>
        <w:spacing w:line="276" w:lineRule="auto"/>
        <w:jc w:val="both"/>
        <w:rPr>
          <w:rFonts w:ascii="Arial" w:hAnsi="Arial" w:cs="Arial"/>
          <w:sz w:val="24"/>
        </w:rPr>
      </w:pPr>
    </w:p>
    <w:p w:rsidR="00FF5A06" w:rsidRPr="00941485" w:rsidRDefault="00FF5A06" w:rsidP="00941485">
      <w:pPr>
        <w:widowControl w:val="0"/>
        <w:autoSpaceDE w:val="0"/>
        <w:autoSpaceDN w:val="0"/>
        <w:adjustRightInd w:val="0"/>
        <w:spacing w:line="276" w:lineRule="auto"/>
        <w:jc w:val="both"/>
        <w:rPr>
          <w:rFonts w:ascii="Arial" w:hAnsi="Arial" w:cs="Arial"/>
          <w:sz w:val="24"/>
        </w:rPr>
      </w:pPr>
    </w:p>
    <w:sectPr w:rsidR="00FF5A06" w:rsidRPr="00941485"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F7" w:rsidRDefault="00476CF7">
      <w:r>
        <w:separator/>
      </w:r>
    </w:p>
  </w:endnote>
  <w:endnote w:type="continuationSeparator" w:id="0">
    <w:p w:rsidR="00476CF7" w:rsidRDefault="00476CF7">
      <w:r>
        <w:continuationSeparator/>
      </w:r>
    </w:p>
  </w:endnote>
  <w:endnote w:type="continuationNotice" w:id="1">
    <w:p w:rsidR="00476CF7" w:rsidRDefault="00476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F7" w:rsidRDefault="00476CF7">
      <w:r>
        <w:separator/>
      </w:r>
    </w:p>
  </w:footnote>
  <w:footnote w:type="continuationSeparator" w:id="0">
    <w:p w:rsidR="00476CF7" w:rsidRDefault="00476CF7">
      <w:r>
        <w:continuationSeparator/>
      </w:r>
    </w:p>
  </w:footnote>
  <w:footnote w:type="continuationNotice" w:id="1">
    <w:p w:rsidR="00476CF7" w:rsidRDefault="00476C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59688B"/>
    <w:multiLevelType w:val="hybridMultilevel"/>
    <w:tmpl w:val="B9F2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6"/>
  </w:num>
  <w:num w:numId="4">
    <w:abstractNumId w:val="18"/>
  </w:num>
  <w:num w:numId="5">
    <w:abstractNumId w:val="42"/>
  </w:num>
  <w:num w:numId="6">
    <w:abstractNumId w:val="24"/>
  </w:num>
  <w:num w:numId="7">
    <w:abstractNumId w:val="28"/>
  </w:num>
  <w:num w:numId="8">
    <w:abstractNumId w:val="13"/>
  </w:num>
  <w:num w:numId="9">
    <w:abstractNumId w:val="27"/>
  </w:num>
  <w:num w:numId="10">
    <w:abstractNumId w:val="15"/>
  </w:num>
  <w:num w:numId="11">
    <w:abstractNumId w:val="33"/>
  </w:num>
  <w:num w:numId="12">
    <w:abstractNumId w:val="38"/>
  </w:num>
  <w:num w:numId="13">
    <w:abstractNumId w:val="40"/>
  </w:num>
  <w:num w:numId="14">
    <w:abstractNumId w:val="32"/>
  </w:num>
  <w:num w:numId="15">
    <w:abstractNumId w:val="11"/>
  </w:num>
  <w:num w:numId="16">
    <w:abstractNumId w:val="2"/>
  </w:num>
  <w:num w:numId="17">
    <w:abstractNumId w:val="37"/>
  </w:num>
  <w:num w:numId="18">
    <w:abstractNumId w:val="1"/>
  </w:num>
  <w:num w:numId="19">
    <w:abstractNumId w:val="22"/>
  </w:num>
  <w:num w:numId="20">
    <w:abstractNumId w:val="17"/>
  </w:num>
  <w:num w:numId="21">
    <w:abstractNumId w:val="19"/>
  </w:num>
  <w:num w:numId="22">
    <w:abstractNumId w:val="31"/>
  </w:num>
  <w:num w:numId="23">
    <w:abstractNumId w:val="23"/>
  </w:num>
  <w:num w:numId="24">
    <w:abstractNumId w:val="3"/>
  </w:num>
  <w:num w:numId="25">
    <w:abstractNumId w:val="21"/>
  </w:num>
  <w:num w:numId="26">
    <w:abstractNumId w:val="9"/>
  </w:num>
  <w:num w:numId="27">
    <w:abstractNumId w:val="30"/>
  </w:num>
  <w:num w:numId="28">
    <w:abstractNumId w:val="14"/>
  </w:num>
  <w:num w:numId="29">
    <w:abstractNumId w:val="41"/>
  </w:num>
  <w:num w:numId="30">
    <w:abstractNumId w:val="26"/>
  </w:num>
  <w:num w:numId="31">
    <w:abstractNumId w:val="39"/>
  </w:num>
  <w:num w:numId="32">
    <w:abstractNumId w:val="20"/>
  </w:num>
  <w:num w:numId="33">
    <w:abstractNumId w:val="8"/>
  </w:num>
  <w:num w:numId="34">
    <w:abstractNumId w:val="34"/>
  </w:num>
  <w:num w:numId="35">
    <w:abstractNumId w:val="25"/>
  </w:num>
  <w:num w:numId="36">
    <w:abstractNumId w:val="12"/>
  </w:num>
  <w:num w:numId="37">
    <w:abstractNumId w:val="29"/>
  </w:num>
  <w:num w:numId="38">
    <w:abstractNumId w:val="36"/>
  </w:num>
  <w:num w:numId="39">
    <w:abstractNumId w:val="6"/>
  </w:num>
  <w:num w:numId="40">
    <w:abstractNumId w:val="5"/>
  </w:num>
  <w:num w:numId="41">
    <w:abstractNumId w:val="10"/>
  </w:num>
  <w:num w:numId="42">
    <w:abstractNumId w:val="7"/>
  </w:num>
  <w:num w:numId="43">
    <w:abstractNumId w:val="18"/>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390B"/>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4C1A"/>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98D"/>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6CF7"/>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1FD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1726"/>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C546C"/>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1B81"/>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1485"/>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C70F1"/>
    <w:rsid w:val="00AD1B7E"/>
    <w:rsid w:val="00AD2CD3"/>
    <w:rsid w:val="00AD3059"/>
    <w:rsid w:val="00AD4BC3"/>
    <w:rsid w:val="00AD5E65"/>
    <w:rsid w:val="00AD68F7"/>
    <w:rsid w:val="00AD7EBD"/>
    <w:rsid w:val="00AE0E68"/>
    <w:rsid w:val="00AE1837"/>
    <w:rsid w:val="00AE1A48"/>
    <w:rsid w:val="00AE2880"/>
    <w:rsid w:val="00AE288B"/>
    <w:rsid w:val="00AE3F5E"/>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4F2E"/>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3A37"/>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56A31"/>
  <w15:docId w15:val="{F1FEB100-046B-401F-AB62-B6794B43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6FE9-4A8D-4BAF-BD67-848D6CD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2668</Characters>
  <Application>Microsoft Office Word</Application>
  <DocSecurity>4</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2019-04-25T09:39:00Z</dcterms:created>
  <dcterms:modified xsi:type="dcterms:W3CDTF">2019-04-25T09:39:00Z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