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Im Folgenden eine Kurzbeschreibung der einzelnen Baureihen:</w:t>
      </w:r>
    </w:p>
    <w:p w:rsidR="00946C77" w:rsidRPr="00946C77" w:rsidRDefault="00946C77" w:rsidP="00946C77">
      <w:pPr>
        <w:spacing w:line="360" w:lineRule="auto"/>
      </w:pPr>
      <w:proofErr w:type="spellStart"/>
      <w:r w:rsidRPr="00C15BC1">
        <w:rPr>
          <w:b/>
        </w:rPr>
        <w:t>Tendenza</w:t>
      </w:r>
      <w:proofErr w:type="spellEnd"/>
      <w:r w:rsidR="00CA3ACE">
        <w:t xml:space="preserve"> </w:t>
      </w:r>
      <w:r w:rsidRPr="00946C77">
        <w:t xml:space="preserve">– </w:t>
      </w:r>
      <w:r w:rsidR="006111C8">
        <w:t xml:space="preserve">4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D</w:t>
      </w:r>
      <w:r w:rsidR="00A32DC3" w:rsidRPr="00A32DC3">
        <w:t>er Design-Caravan mit den klaren Wohnkonzepten</w:t>
      </w: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946C77">
      <w:pPr>
        <w:spacing w:line="360" w:lineRule="auto"/>
        <w:rPr>
          <w:b/>
          <w:sz w:val="32"/>
          <w:szCs w:val="32"/>
        </w:rPr>
      </w:pPr>
    </w:p>
    <w:p w:rsidR="00EA320D" w:rsidRPr="0098069C" w:rsidRDefault="00EA320D" w:rsidP="00946C77">
      <w:pPr>
        <w:spacing w:line="360" w:lineRule="auto"/>
        <w:rPr>
          <w:b/>
          <w:sz w:val="32"/>
          <w:szCs w:val="32"/>
        </w:rPr>
      </w:pPr>
    </w:p>
    <w:p w:rsidR="00946C77" w:rsidRPr="00E26F99" w:rsidRDefault="00946C77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TENDENZA</w:t>
      </w:r>
    </w:p>
    <w:p w:rsidR="00946C77" w:rsidRPr="00E26F99" w:rsidRDefault="00E26F99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4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Design-Caravan mit den klaren Wohnkonzepten</w:t>
      </w:r>
    </w:p>
    <w:p w:rsidR="00E26F99" w:rsidRPr="00E26F99" w:rsidRDefault="00E26F99" w:rsidP="00946C77">
      <w:pPr>
        <w:spacing w:line="360" w:lineRule="auto"/>
        <w:rPr>
          <w:sz w:val="32"/>
          <w:szCs w:val="32"/>
        </w:rPr>
      </w:pPr>
    </w:p>
    <w:p w:rsidR="00946C77" w:rsidRPr="00946C77" w:rsidRDefault="00946C77" w:rsidP="00946C77">
      <w:pPr>
        <w:spacing w:line="360" w:lineRule="auto"/>
      </w:pPr>
      <w:r w:rsidRPr="00946C77">
        <w:t xml:space="preserve">Beim </w:t>
      </w:r>
      <w:proofErr w:type="spellStart"/>
      <w:r w:rsidRPr="00946C77">
        <w:t>Tendenz</w:t>
      </w:r>
      <w:r w:rsidR="00CF64FE">
        <w:t>a</w:t>
      </w:r>
      <w:proofErr w:type="spellEnd"/>
      <w:r w:rsidR="00CF64FE">
        <w:t xml:space="preserve"> gibt es 4 attraktive Grundriß</w:t>
      </w:r>
      <w:r w:rsidRPr="00946C77">
        <w:t>lö</w:t>
      </w:r>
      <w:r>
        <w:t xml:space="preserve">sungen mit dem besonderen Etwas </w:t>
      </w:r>
      <w:r w:rsidRPr="00946C77">
        <w:t>in trendiger Optik.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-Besonderheiten:</w:t>
      </w:r>
    </w:p>
    <w:p w:rsidR="00946C77" w:rsidRP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>
        <w:t>Backo</w:t>
      </w:r>
      <w:r w:rsidR="00946C77" w:rsidRPr="00946C77">
        <w:t>fen mit Grillfunktion (</w:t>
      </w:r>
      <w:proofErr w:type="spellStart"/>
      <w:r w:rsidR="00A3066F">
        <w:t>Tendenza</w:t>
      </w:r>
      <w:proofErr w:type="spellEnd"/>
      <w:r w:rsidR="00A3066F">
        <w:t xml:space="preserve"> </w:t>
      </w:r>
      <w:r w:rsidR="00946C77" w:rsidRPr="00946C77">
        <w:t>650 SFD</w:t>
      </w:r>
      <w:r w:rsidR="00A3066F">
        <w:t xml:space="preserve"> und </w:t>
      </w:r>
      <w:proofErr w:type="spellStart"/>
      <w:r w:rsidR="00A3066F">
        <w:t>Tendenza</w:t>
      </w:r>
      <w:proofErr w:type="spellEnd"/>
      <w:r w:rsidR="00A3066F">
        <w:t xml:space="preserve"> </w:t>
      </w:r>
      <w:r w:rsidR="00946C77" w:rsidRPr="00946C77">
        <w:t xml:space="preserve"> 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3-flammige Kocher- oder Kocherspülkombinationen</w:t>
      </w:r>
      <w:r w:rsidR="00942B57">
        <w:t xml:space="preserve"> (modellabhängig)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Zwei </w:t>
      </w:r>
      <w:r w:rsidR="00972900">
        <w:t xml:space="preserve">Grundrisse mit einem </w:t>
      </w:r>
      <w:proofErr w:type="spellStart"/>
      <w:r w:rsidR="00972900">
        <w:t>Queensbett</w:t>
      </w:r>
      <w:proofErr w:type="spellEnd"/>
      <w:r w:rsidR="00972900">
        <w:t xml:space="preserve"> </w:t>
      </w:r>
      <w:r w:rsidRPr="00946C77">
        <w:t>(</w:t>
      </w:r>
      <w:proofErr w:type="spellStart"/>
      <w:r w:rsidR="00A3066F">
        <w:t>Tendenza</w:t>
      </w:r>
      <w:proofErr w:type="spellEnd"/>
      <w:r w:rsidR="00A3066F">
        <w:t xml:space="preserve"> </w:t>
      </w:r>
      <w:r w:rsidRPr="00946C77">
        <w:t xml:space="preserve">650 SFD und </w:t>
      </w:r>
      <w:proofErr w:type="spellStart"/>
      <w:r w:rsidR="00A3066F">
        <w:t>Tendenza</w:t>
      </w:r>
      <w:proofErr w:type="spellEnd"/>
      <w:r w:rsidR="00A3066F">
        <w:t xml:space="preserve"> </w:t>
      </w:r>
      <w:r w:rsidRPr="00946C77">
        <w:t>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Je nach </w:t>
      </w:r>
      <w:r w:rsidR="00CF64FE">
        <w:t>Modell</w:t>
      </w:r>
      <w:r w:rsidRPr="00946C77">
        <w:t xml:space="preserve"> Duschkabine sowie verschiedenste Waschraumvarianten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12 V-Lesespots</w:t>
      </w:r>
    </w:p>
    <w:p w:rsidR="00946C77" w:rsidRPr="00946C77" w:rsidRDefault="00946C77" w:rsidP="002113EF">
      <w:pPr>
        <w:pStyle w:val="Listenabsatz"/>
        <w:numPr>
          <w:ilvl w:val="0"/>
          <w:numId w:val="9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4 oder Combi 6 (</w:t>
      </w:r>
      <w:proofErr w:type="spellStart"/>
      <w:r w:rsidR="002113EF">
        <w:t>Tendenza</w:t>
      </w:r>
      <w:proofErr w:type="spellEnd"/>
      <w:r w:rsidR="002113EF">
        <w:t xml:space="preserve"> </w:t>
      </w:r>
      <w:r>
        <w:t xml:space="preserve">650 SFD) mit CP plus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r w:rsidRPr="00946C77">
        <w:t xml:space="preserve">und </w:t>
      </w: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</w:t>
      </w:r>
      <w:r w:rsidR="00CA3ACE">
        <w:t>hängig) sowie ein TFT-</w:t>
      </w:r>
      <w:proofErr w:type="spellStart"/>
      <w:r w:rsidR="00CA3ACE">
        <w:t>Touchpane</w:t>
      </w:r>
      <w:r w:rsidRPr="00946C77">
        <w:t>l</w:t>
      </w:r>
      <w:proofErr w:type="spellEnd"/>
      <w:r w:rsidRPr="00946C77">
        <w:t xml:space="preserve"> in Glas-Optik</w:t>
      </w:r>
      <w:r w:rsidR="002113EF">
        <w:t xml:space="preserve"> </w:t>
      </w:r>
      <w:r w:rsidRPr="00946C77">
        <w:t>(CI-BUS-Bordmanagement)</w:t>
      </w:r>
    </w:p>
    <w:p w:rsidR="00946C77" w:rsidRP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proofErr w:type="spellStart"/>
      <w:r>
        <w:t>Alde</w:t>
      </w:r>
      <w:proofErr w:type="spellEnd"/>
      <w:r>
        <w:t xml:space="preserve"> </w:t>
      </w:r>
      <w:r w:rsidR="0071448C">
        <w:t>Warmwasserh</w:t>
      </w:r>
      <w:r w:rsidR="00946C77" w:rsidRPr="00946C77">
        <w:t>eizung und W</w:t>
      </w:r>
      <w:r w:rsidR="0071448C">
        <w:t>armwasserf</w:t>
      </w:r>
      <w:r>
        <w:t>ußbodenheizung</w:t>
      </w:r>
      <w:r w:rsidR="00946C77" w:rsidRPr="00946C77">
        <w:t xml:space="preserve"> (</w:t>
      </w:r>
      <w:proofErr w:type="spellStart"/>
      <w:r w:rsidR="002113EF">
        <w:t>Tendenza</w:t>
      </w:r>
      <w:proofErr w:type="spellEnd"/>
      <w:r w:rsidR="002113EF">
        <w:t xml:space="preserve"> </w:t>
      </w:r>
      <w:r w:rsidR="00946C77" w:rsidRPr="00946C77">
        <w:t>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7-Zonen-Komfortschaum-Matratzen in Einzel- und französischen Betten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Rückenpolster mit </w:t>
      </w:r>
      <w:proofErr w:type="spellStart"/>
      <w:r w:rsidRPr="00946C77">
        <w:t>Loungecharakter</w:t>
      </w:r>
      <w:proofErr w:type="spellEnd"/>
      <w:r w:rsidRPr="00946C77">
        <w:t>, Sitzpolster in Komfortschaumqualität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Fliegenschutztüre im Eingangsbereich</w:t>
      </w:r>
    </w:p>
    <w:p w:rsid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>
        <w:t>Anmutiges</w:t>
      </w:r>
      <w:r w:rsidR="00946C77" w:rsidRPr="00946C77">
        <w:t xml:space="preserve"> Möbeldekor </w:t>
      </w:r>
      <w:r w:rsidR="0041080B">
        <w:t>„</w:t>
      </w:r>
      <w:r w:rsidR="00946C77" w:rsidRPr="00946C77">
        <w:t>Chesterfield-</w:t>
      </w:r>
      <w:proofErr w:type="spellStart"/>
      <w:r w:rsidR="00946C77" w:rsidRPr="00946C77">
        <w:t>Oak</w:t>
      </w:r>
      <w:proofErr w:type="spellEnd"/>
      <w:r w:rsidR="0041080B">
        <w:t>“</w:t>
      </w:r>
      <w:r w:rsidR="00946C77" w:rsidRPr="00946C77">
        <w:t>, wa</w:t>
      </w:r>
      <w:r w:rsidR="00946C77">
        <w:t xml:space="preserve">hlweise sind die Stoffvarianten </w:t>
      </w:r>
      <w:r>
        <w:t>„</w:t>
      </w:r>
      <w:proofErr w:type="spellStart"/>
      <w:r w:rsidR="00946C77" w:rsidRPr="00946C77">
        <w:t>Campania</w:t>
      </w:r>
      <w:proofErr w:type="spellEnd"/>
      <w:r>
        <w:t>“</w:t>
      </w:r>
      <w:r w:rsidR="00946C77" w:rsidRPr="00946C77">
        <w:t xml:space="preserve"> und </w:t>
      </w:r>
      <w:r>
        <w:t>„</w:t>
      </w:r>
      <w:r w:rsidR="00946C77" w:rsidRPr="00946C77">
        <w:t>Studio-Line Veneto</w:t>
      </w:r>
      <w:r>
        <w:t>“</w:t>
      </w:r>
      <w:r w:rsidR="00946C77" w:rsidRPr="00946C77">
        <w:t xml:space="preserve"> erhältlich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E26F99" w:rsidRDefault="00E26F99" w:rsidP="00946C77">
      <w:pPr>
        <w:spacing w:line="360" w:lineRule="auto"/>
      </w:pPr>
    </w:p>
    <w:p w:rsidR="00E26F99" w:rsidRDefault="00E26F99" w:rsidP="00946C77">
      <w:pPr>
        <w:spacing w:line="360" w:lineRule="auto"/>
      </w:pPr>
    </w:p>
    <w:p w:rsidR="002113EF" w:rsidRDefault="002113EF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</w:p>
    <w:p w:rsidR="000F4FF7" w:rsidRPr="0098069C" w:rsidRDefault="000F4FF7" w:rsidP="00E26F99">
      <w:pPr>
        <w:spacing w:line="360" w:lineRule="auto"/>
        <w:rPr>
          <w:b/>
          <w:sz w:val="32"/>
          <w:szCs w:val="32"/>
        </w:rPr>
      </w:pPr>
    </w:p>
    <w:p w:rsidR="00E26F99" w:rsidRPr="00E26F99" w:rsidRDefault="00E26F99" w:rsidP="00E26F99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TENDENZA</w:t>
      </w:r>
    </w:p>
    <w:p w:rsidR="00E26F99" w:rsidRDefault="00E26F99" w:rsidP="00E26F99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4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Design-Caravan mit den klaren Wohnkonzepten</w:t>
      </w:r>
    </w:p>
    <w:p w:rsidR="00E26F99" w:rsidRPr="00E26F99" w:rsidRDefault="00E26F99" w:rsidP="00E26F99">
      <w:pPr>
        <w:spacing w:line="360" w:lineRule="auto"/>
        <w:rPr>
          <w:b/>
          <w:sz w:val="32"/>
          <w:szCs w:val="32"/>
        </w:rPr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E26F99">
        <w:t>Neues</w:t>
      </w:r>
      <w:r w:rsidR="00E26F99" w:rsidRPr="00946C77">
        <w:t xml:space="preserve"> Fendt-Caravan-Logo</w:t>
      </w:r>
      <w:r w:rsidR="00E26F99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0F1921">
        <w:t>s</w:t>
      </w:r>
      <w:r w:rsidRPr="00946C77">
        <w:t xml:space="preserve"> Alufelgen</w:t>
      </w:r>
      <w:r w:rsidR="000F1921">
        <w:t>design</w:t>
      </w:r>
      <w:r w:rsidRPr="00946C77">
        <w:t xml:space="preserve"> in </w:t>
      </w:r>
      <w:r w:rsidR="00942B57">
        <w:t>„</w:t>
      </w:r>
      <w:r w:rsidRPr="00946C77">
        <w:t>Silber-Optik</w:t>
      </w:r>
      <w:r w:rsidR="00942B57">
        <w:t>“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-Neuheiten im Innenbereich</w:t>
      </w:r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>• D</w:t>
      </w:r>
      <w:r w:rsidR="00CF64FE">
        <w:t xml:space="preserve">as neue </w:t>
      </w:r>
      <w:proofErr w:type="spellStart"/>
      <w:r w:rsidR="00CF64FE">
        <w:t>Tendenza</w:t>
      </w:r>
      <w:proofErr w:type="spellEnd"/>
      <w:r w:rsidR="00CF64FE">
        <w:t>-Programm umfaß</w:t>
      </w:r>
      <w:r w:rsidRPr="00946C77">
        <w:t>t 4</w:t>
      </w:r>
      <w:r w:rsidR="00CF64FE">
        <w:t xml:space="preserve"> Modelle</w:t>
      </w:r>
      <w:r w:rsidRPr="00946C77">
        <w:t>, davon</w:t>
      </w:r>
      <w:r>
        <w:t xml:space="preserve"> ei</w:t>
      </w:r>
      <w:r w:rsidR="00CF64FE">
        <w:t>n Modell</w:t>
      </w:r>
      <w:r>
        <w:t xml:space="preserve">, den </w:t>
      </w:r>
      <w:proofErr w:type="spellStart"/>
      <w:r w:rsidR="002113EF">
        <w:t>Tendenza</w:t>
      </w:r>
      <w:proofErr w:type="spellEnd"/>
      <w:r w:rsidR="002113EF">
        <w:t xml:space="preserve"> </w:t>
      </w:r>
      <w:r>
        <w:t xml:space="preserve">650 SFDW, </w:t>
      </w:r>
      <w:r w:rsidRPr="00946C77">
        <w:t xml:space="preserve">mit </w:t>
      </w:r>
      <w:proofErr w:type="spellStart"/>
      <w:r w:rsidR="000F1921">
        <w:t>Alde</w:t>
      </w:r>
      <w:proofErr w:type="spellEnd"/>
      <w:r w:rsidR="000F1921">
        <w:tab/>
      </w:r>
      <w:r w:rsidR="00CA3ACE">
        <w:t>Warmwasserheizung und Warmwasserf</w:t>
      </w:r>
      <w:r w:rsidRPr="00946C77">
        <w:t>ußbodenheizung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942B57">
        <w:t>„</w:t>
      </w:r>
      <w:r w:rsidRPr="00946C77">
        <w:t>Slim-Tower</w:t>
      </w:r>
      <w:r w:rsidR="00942B57">
        <w:t>, 133-Liter“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>• Die Stoffvarianten „</w:t>
      </w:r>
      <w:proofErr w:type="spellStart"/>
      <w:r w:rsidRPr="00946C77">
        <w:t>Campania</w:t>
      </w:r>
      <w:proofErr w:type="spellEnd"/>
      <w:r w:rsidRPr="00946C77">
        <w:t xml:space="preserve">“ und </w:t>
      </w:r>
      <w:r w:rsidR="002113EF">
        <w:t xml:space="preserve">„Studio-Line </w:t>
      </w:r>
      <w:r w:rsidRPr="00946C77">
        <w:t xml:space="preserve">Veneto“ sind auf </w:t>
      </w:r>
      <w:r>
        <w:t xml:space="preserve">die moderne Innenarchitektur im </w:t>
      </w:r>
      <w:r w:rsidR="000F1921">
        <w:t>anmutigen</w:t>
      </w:r>
      <w:r w:rsidR="000F1921">
        <w:tab/>
        <w:t xml:space="preserve"> Möbeldekor</w:t>
      </w:r>
      <w:r w:rsidR="00E26F99">
        <w:t xml:space="preserve"> </w:t>
      </w:r>
      <w:r w:rsidRPr="00946C77">
        <w:t>„Chesterfield-</w:t>
      </w:r>
      <w:proofErr w:type="spellStart"/>
      <w:r w:rsidRPr="00946C77">
        <w:t>Oak</w:t>
      </w:r>
      <w:proofErr w:type="spellEnd"/>
      <w:r w:rsidRPr="00946C77">
        <w:t>“ abgestimmt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0F4FF7" w:rsidRDefault="000F4FF7" w:rsidP="00946C77">
      <w:pPr>
        <w:spacing w:line="360" w:lineRule="auto"/>
        <w:rPr>
          <w:b/>
          <w:sz w:val="32"/>
          <w:szCs w:val="32"/>
        </w:rPr>
      </w:pPr>
    </w:p>
    <w:p w:rsidR="00EA320D" w:rsidRDefault="00EA320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0C2C7E">
        <w:rPr>
          <w:rFonts w:ascii="Calibri" w:hAnsi="Calibri"/>
          <w:b/>
          <w:sz w:val="32"/>
          <w:szCs w:val="32"/>
        </w:rPr>
        <w:t xml:space="preserve">Preise „Deutschland“ </w:t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322B5F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9E38AD">
              <w:rPr>
                <w:rFonts w:ascii="Calibri" w:hAnsi="Calibri"/>
              </w:rPr>
              <w:t>Tendenza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23.589,92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24.200,00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25.636,97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26.300,00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5F53D6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32.704,20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33.550,00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5F53D6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SFDW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36.944,54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37.900,00</w:t>
            </w:r>
          </w:p>
        </w:tc>
      </w:tr>
    </w:tbl>
    <w:p w:rsidR="000F4FF7" w:rsidRDefault="000F4FF7" w:rsidP="004C4741">
      <w:pPr>
        <w:rPr>
          <w:rFonts w:ascii="Calibri" w:hAnsi="Calibri"/>
          <w:b/>
          <w:sz w:val="32"/>
          <w:szCs w:val="32"/>
        </w:rPr>
      </w:pPr>
    </w:p>
    <w:sectPr w:rsidR="000F4FF7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A4D41"/>
    <w:rsid w:val="008D125B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A3ACE"/>
    <w:rsid w:val="00CB0064"/>
    <w:rsid w:val="00CC5A67"/>
    <w:rsid w:val="00CF64FE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20D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4277-6E43-4AA0-A95E-003F770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cp:lastPrinted>2019-04-23T11:55:00Z</cp:lastPrinted>
  <dcterms:created xsi:type="dcterms:W3CDTF">2020-06-30T05:17:00Z</dcterms:created>
  <dcterms:modified xsi:type="dcterms:W3CDTF">2020-06-30T05:17:00Z</dcterms:modified>
</cp:coreProperties>
</file>