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ED24C" w14:textId="349ACB81" w:rsidR="0034541C" w:rsidRPr="009B65B9" w:rsidRDefault="0034541C">
      <w:pPr>
        <w:rPr>
          <w:b/>
          <w:sz w:val="30"/>
          <w:szCs w:val="30"/>
        </w:rPr>
      </w:pPr>
      <w:r w:rsidRPr="009B65B9">
        <w:rPr>
          <w:b/>
          <w:noProof/>
          <w:sz w:val="30"/>
          <w:szCs w:val="30"/>
          <w:lang w:val="en-US"/>
        </w:rPr>
        <w:drawing>
          <wp:inline distT="0" distB="0" distL="0" distR="0" wp14:anchorId="317DE1DD" wp14:editId="0C01DE81">
            <wp:extent cx="5727700" cy="930910"/>
            <wp:effectExtent l="0" t="0" r="1270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4BABC" w14:textId="77777777" w:rsidR="001F0C28" w:rsidRPr="009B65B9" w:rsidRDefault="001F0C28" w:rsidP="001F0C28">
      <w:pPr>
        <w:widowControl w:val="0"/>
        <w:autoSpaceDE w:val="0"/>
        <w:autoSpaceDN w:val="0"/>
        <w:adjustRightInd w:val="0"/>
        <w:rPr>
          <w:rFonts w:cs="Ubuntu"/>
          <w:color w:val="4C4D4F"/>
          <w:sz w:val="30"/>
          <w:szCs w:val="30"/>
          <w:lang w:val="en-US"/>
        </w:rPr>
      </w:pPr>
      <w:r w:rsidRPr="009B65B9">
        <w:rPr>
          <w:rFonts w:cs="Ubuntu"/>
          <w:color w:val="4C4D4F"/>
          <w:sz w:val="30"/>
          <w:szCs w:val="30"/>
          <w:lang w:val="en-US"/>
        </w:rPr>
        <w:t> </w:t>
      </w:r>
    </w:p>
    <w:p w14:paraId="23DC3E03" w14:textId="77777777" w:rsidR="00FA0A4D" w:rsidRPr="009B65B9" w:rsidRDefault="00FA0A4D" w:rsidP="00EE05AC">
      <w:pPr>
        <w:jc w:val="center"/>
        <w:rPr>
          <w:rFonts w:ascii="Cambria" w:hAnsi="Cambria"/>
          <w:b/>
          <w:color w:val="000000" w:themeColor="text1"/>
          <w:sz w:val="30"/>
          <w:szCs w:val="30"/>
          <w:lang w:val="en-US"/>
        </w:rPr>
      </w:pPr>
      <w:bookmarkStart w:id="0" w:name="_GoBack"/>
      <w:r w:rsidRPr="009B65B9">
        <w:rPr>
          <w:rFonts w:ascii="Cambria" w:hAnsi="Cambria"/>
          <w:b/>
          <w:color w:val="000000" w:themeColor="text1"/>
          <w:sz w:val="30"/>
          <w:szCs w:val="30"/>
          <w:lang w:val="en-US"/>
        </w:rPr>
        <w:t>Vitafoods Europe teams up with ESSNA</w:t>
      </w:r>
    </w:p>
    <w:p w14:paraId="4354ECA8" w14:textId="7A688511" w:rsidR="003A3178" w:rsidRPr="009B65B9" w:rsidRDefault="00FA0A4D" w:rsidP="00EE05AC">
      <w:pPr>
        <w:jc w:val="center"/>
        <w:rPr>
          <w:rFonts w:ascii="Cambria" w:hAnsi="Cambria"/>
          <w:b/>
          <w:color w:val="000000" w:themeColor="text1"/>
          <w:sz w:val="30"/>
          <w:szCs w:val="30"/>
          <w:lang w:val="en-US"/>
        </w:rPr>
      </w:pPr>
      <w:r w:rsidRPr="009B65B9">
        <w:rPr>
          <w:rFonts w:ascii="Cambria" w:hAnsi="Cambria"/>
          <w:b/>
          <w:color w:val="000000" w:themeColor="text1"/>
          <w:sz w:val="30"/>
          <w:szCs w:val="30"/>
          <w:lang w:val="en-US"/>
        </w:rPr>
        <w:t xml:space="preserve"> to tackle sports nutrition challenges</w:t>
      </w:r>
    </w:p>
    <w:bookmarkEnd w:id="0"/>
    <w:p w14:paraId="2A6FEE22" w14:textId="77777777" w:rsidR="00A8619B" w:rsidRPr="009B65B9" w:rsidRDefault="00A8619B" w:rsidP="003A3178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30"/>
          <w:szCs w:val="30"/>
          <w:lang w:val="en-US"/>
        </w:rPr>
      </w:pPr>
    </w:p>
    <w:p w14:paraId="513D80B7" w14:textId="6194B09B" w:rsidR="00B42876" w:rsidRPr="009B65B9" w:rsidRDefault="00B42876" w:rsidP="003A3178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30"/>
          <w:szCs w:val="30"/>
          <w:lang w:val="en-US"/>
        </w:rPr>
      </w:pPr>
      <w:r w:rsidRPr="009B65B9">
        <w:rPr>
          <w:rFonts w:ascii="Cambria" w:hAnsi="Cambria" w:cs="Times New Roman"/>
          <w:sz w:val="30"/>
          <w:szCs w:val="30"/>
          <w:lang w:val="en-US"/>
        </w:rPr>
        <w:t xml:space="preserve">Vitafoods Europe is </w:t>
      </w:r>
      <w:r w:rsidR="00435544" w:rsidRPr="009B65B9">
        <w:rPr>
          <w:rFonts w:ascii="Cambria" w:hAnsi="Cambria" w:cs="Times New Roman"/>
          <w:sz w:val="30"/>
          <w:szCs w:val="30"/>
          <w:lang w:val="en-US"/>
        </w:rPr>
        <w:t xml:space="preserve">teaming up with the European </w:t>
      </w:r>
      <w:r w:rsidR="00F87D25" w:rsidRPr="009B65B9">
        <w:rPr>
          <w:rFonts w:ascii="Cambria" w:hAnsi="Cambria" w:cs="Times New Roman"/>
          <w:sz w:val="30"/>
          <w:szCs w:val="30"/>
          <w:lang w:val="en-US"/>
        </w:rPr>
        <w:t xml:space="preserve">Specialist </w:t>
      </w:r>
      <w:r w:rsidR="00435544" w:rsidRPr="009B65B9">
        <w:rPr>
          <w:rFonts w:ascii="Cambria" w:hAnsi="Cambria" w:cs="Times New Roman"/>
          <w:sz w:val="30"/>
          <w:szCs w:val="30"/>
          <w:lang w:val="en-US"/>
        </w:rPr>
        <w:t>Sports Nutrition</w:t>
      </w:r>
      <w:r w:rsidR="00F87D25" w:rsidRPr="009B65B9">
        <w:rPr>
          <w:rFonts w:ascii="Cambria" w:hAnsi="Cambria" w:cs="Times New Roman"/>
          <w:sz w:val="30"/>
          <w:szCs w:val="30"/>
          <w:lang w:val="en-US"/>
        </w:rPr>
        <w:t xml:space="preserve"> Alliance</w:t>
      </w:r>
      <w:r w:rsidR="007D3864" w:rsidRPr="009B65B9">
        <w:rPr>
          <w:rFonts w:ascii="Cambria" w:hAnsi="Cambria" w:cs="Times New Roman"/>
          <w:sz w:val="30"/>
          <w:szCs w:val="30"/>
          <w:lang w:val="en-US"/>
        </w:rPr>
        <w:t xml:space="preserve"> (ESSNA)</w:t>
      </w:r>
      <w:r w:rsidR="00435544" w:rsidRPr="009B65B9">
        <w:rPr>
          <w:rFonts w:ascii="Cambria" w:hAnsi="Cambria" w:cs="Times New Roman"/>
          <w:sz w:val="30"/>
          <w:szCs w:val="30"/>
          <w:lang w:val="en-US"/>
        </w:rPr>
        <w:t xml:space="preserve"> to provid</w:t>
      </w:r>
      <w:r w:rsidR="007D3864" w:rsidRPr="009B65B9">
        <w:rPr>
          <w:rFonts w:ascii="Cambria" w:hAnsi="Cambria" w:cs="Times New Roman"/>
          <w:sz w:val="30"/>
          <w:szCs w:val="30"/>
          <w:lang w:val="en-US"/>
        </w:rPr>
        <w:t xml:space="preserve">e greater support for companies in the booming sports nutrition sector. </w:t>
      </w:r>
    </w:p>
    <w:p w14:paraId="24B9E006" w14:textId="77777777" w:rsidR="00B42876" w:rsidRPr="009B65B9" w:rsidRDefault="00B42876" w:rsidP="003A3178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30"/>
          <w:szCs w:val="30"/>
          <w:lang w:val="en-US"/>
        </w:rPr>
      </w:pPr>
    </w:p>
    <w:p w14:paraId="7725D507" w14:textId="7029935F" w:rsidR="00FA0A4D" w:rsidRPr="009B65B9" w:rsidRDefault="00435544" w:rsidP="003A3178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30"/>
          <w:szCs w:val="30"/>
          <w:lang w:val="en-US"/>
        </w:rPr>
      </w:pPr>
      <w:r w:rsidRPr="009B65B9">
        <w:rPr>
          <w:rFonts w:ascii="Cambria" w:hAnsi="Cambria" w:cs="Times New Roman"/>
          <w:sz w:val="30"/>
          <w:szCs w:val="30"/>
          <w:lang w:val="en-US"/>
        </w:rPr>
        <w:t>T</w:t>
      </w:r>
      <w:r w:rsidR="00B42876" w:rsidRPr="009B65B9">
        <w:rPr>
          <w:rFonts w:ascii="Cambria" w:hAnsi="Cambria" w:cs="Times New Roman"/>
          <w:sz w:val="30"/>
          <w:szCs w:val="30"/>
          <w:lang w:val="en-US"/>
        </w:rPr>
        <w:t xml:space="preserve">he announcement </w:t>
      </w:r>
      <w:r w:rsidRPr="009B65B9">
        <w:rPr>
          <w:rFonts w:ascii="Cambria" w:hAnsi="Cambria" w:cs="Times New Roman"/>
          <w:sz w:val="30"/>
          <w:szCs w:val="30"/>
          <w:lang w:val="en-US"/>
        </w:rPr>
        <w:t xml:space="preserve">of an official </w:t>
      </w:r>
      <w:r w:rsidR="009A3323" w:rsidRPr="009B65B9">
        <w:rPr>
          <w:rFonts w:ascii="Cambria" w:hAnsi="Cambria" w:cs="Times New Roman"/>
          <w:sz w:val="30"/>
          <w:szCs w:val="30"/>
          <w:lang w:val="en-US"/>
        </w:rPr>
        <w:t>partnership</w:t>
      </w:r>
      <w:r w:rsidRPr="009B65B9">
        <w:rPr>
          <w:rFonts w:ascii="Cambria" w:hAnsi="Cambria" w:cs="Times New Roman"/>
          <w:sz w:val="30"/>
          <w:szCs w:val="30"/>
          <w:lang w:val="en-US"/>
        </w:rPr>
        <w:t xml:space="preserve"> </w:t>
      </w:r>
      <w:r w:rsidR="00F87D25" w:rsidRPr="009B65B9">
        <w:rPr>
          <w:rFonts w:ascii="Cambria" w:hAnsi="Cambria" w:cs="Times New Roman"/>
          <w:sz w:val="30"/>
          <w:szCs w:val="30"/>
          <w:lang w:val="en-US"/>
        </w:rPr>
        <w:t xml:space="preserve">at this year’s event (9-11 May, Palexpo, Geneva) </w:t>
      </w:r>
      <w:r w:rsidR="00B42876" w:rsidRPr="009B65B9">
        <w:rPr>
          <w:rFonts w:ascii="Cambria" w:hAnsi="Cambria" w:cs="Times New Roman"/>
          <w:sz w:val="30"/>
          <w:szCs w:val="30"/>
          <w:lang w:val="en-US"/>
        </w:rPr>
        <w:t>comes as</w:t>
      </w:r>
      <w:r w:rsidR="007D3864" w:rsidRPr="009B65B9">
        <w:rPr>
          <w:rFonts w:ascii="Cambria" w:hAnsi="Cambria" w:cs="Times New Roman"/>
          <w:sz w:val="30"/>
          <w:szCs w:val="30"/>
          <w:lang w:val="en-US"/>
        </w:rPr>
        <w:t xml:space="preserve"> the head of</w:t>
      </w:r>
      <w:r w:rsidR="00B42876" w:rsidRPr="009B65B9">
        <w:rPr>
          <w:rFonts w:ascii="Cambria" w:hAnsi="Cambria" w:cs="Times New Roman"/>
          <w:sz w:val="30"/>
          <w:szCs w:val="30"/>
          <w:lang w:val="en-US"/>
        </w:rPr>
        <w:t xml:space="preserve"> </w:t>
      </w:r>
      <w:r w:rsidR="00F87D25" w:rsidRPr="009B65B9">
        <w:rPr>
          <w:rFonts w:ascii="Cambria" w:hAnsi="Cambria" w:cs="Times New Roman"/>
          <w:sz w:val="30"/>
          <w:szCs w:val="30"/>
          <w:lang w:val="en-US"/>
        </w:rPr>
        <w:t>ESSNA</w:t>
      </w:r>
      <w:r w:rsidR="007D3864" w:rsidRPr="009B65B9">
        <w:rPr>
          <w:rFonts w:ascii="Cambria" w:hAnsi="Cambria" w:cs="Times New Roman"/>
          <w:sz w:val="30"/>
          <w:szCs w:val="30"/>
          <w:lang w:val="en-US"/>
        </w:rPr>
        <w:t xml:space="preserve"> </w:t>
      </w:r>
      <w:r w:rsidR="00EE6148" w:rsidRPr="009B65B9">
        <w:rPr>
          <w:rFonts w:ascii="Cambria" w:hAnsi="Cambria" w:cs="Times New Roman"/>
          <w:sz w:val="30"/>
          <w:szCs w:val="30"/>
          <w:lang w:val="en-US"/>
        </w:rPr>
        <w:t>welcomes</w:t>
      </w:r>
      <w:r w:rsidR="007D3864" w:rsidRPr="009B65B9">
        <w:rPr>
          <w:rFonts w:ascii="Cambria" w:hAnsi="Cambria" w:cs="Times New Roman"/>
          <w:sz w:val="30"/>
          <w:szCs w:val="30"/>
          <w:lang w:val="en-US"/>
        </w:rPr>
        <w:t xml:space="preserve"> </w:t>
      </w:r>
      <w:r w:rsidR="005F5CEE" w:rsidRPr="009B65B9">
        <w:rPr>
          <w:rFonts w:ascii="Cambria" w:hAnsi="Cambria" w:cs="Times New Roman"/>
          <w:sz w:val="30"/>
          <w:szCs w:val="30"/>
          <w:lang w:val="en-US"/>
        </w:rPr>
        <w:t xml:space="preserve">the opportunities created by </w:t>
      </w:r>
      <w:r w:rsidR="00B42876" w:rsidRPr="009B65B9">
        <w:rPr>
          <w:rFonts w:ascii="Cambria" w:hAnsi="Cambria" w:cs="Times New Roman"/>
          <w:sz w:val="30"/>
          <w:szCs w:val="30"/>
          <w:lang w:val="en-US"/>
        </w:rPr>
        <w:t xml:space="preserve">a </w:t>
      </w:r>
      <w:r w:rsidR="00EE6148" w:rsidRPr="009B65B9">
        <w:rPr>
          <w:rFonts w:ascii="Cambria" w:hAnsi="Cambria" w:cs="Times New Roman"/>
          <w:sz w:val="30"/>
          <w:szCs w:val="30"/>
          <w:lang w:val="en-US"/>
        </w:rPr>
        <w:t>recent</w:t>
      </w:r>
      <w:r w:rsidR="00B42876" w:rsidRPr="009B65B9">
        <w:rPr>
          <w:rFonts w:ascii="Cambria" w:hAnsi="Cambria" w:cs="Times New Roman"/>
          <w:sz w:val="30"/>
          <w:szCs w:val="30"/>
          <w:lang w:val="en-US"/>
        </w:rPr>
        <w:t xml:space="preserve"> regulatory win, </w:t>
      </w:r>
      <w:r w:rsidR="007D3864" w:rsidRPr="009B65B9">
        <w:rPr>
          <w:rFonts w:ascii="Cambria" w:hAnsi="Cambria" w:cs="Times New Roman"/>
          <w:sz w:val="30"/>
          <w:szCs w:val="30"/>
          <w:lang w:val="en-US"/>
        </w:rPr>
        <w:t>but warns of</w:t>
      </w:r>
      <w:r w:rsidR="00B42876" w:rsidRPr="009B65B9">
        <w:rPr>
          <w:rFonts w:ascii="Cambria" w:hAnsi="Cambria" w:cs="Times New Roman"/>
          <w:sz w:val="30"/>
          <w:szCs w:val="30"/>
          <w:lang w:val="en-US"/>
        </w:rPr>
        <w:t xml:space="preserve"> </w:t>
      </w:r>
      <w:r w:rsidR="007D3864" w:rsidRPr="009B65B9">
        <w:rPr>
          <w:rFonts w:ascii="Cambria" w:hAnsi="Cambria" w:cs="Times New Roman"/>
          <w:sz w:val="30"/>
          <w:szCs w:val="30"/>
          <w:lang w:val="en-US"/>
        </w:rPr>
        <w:t>serious challenges ahead</w:t>
      </w:r>
      <w:r w:rsidR="00B42876" w:rsidRPr="009B65B9">
        <w:rPr>
          <w:rFonts w:ascii="Cambria" w:hAnsi="Cambria" w:cs="Times New Roman"/>
          <w:sz w:val="30"/>
          <w:szCs w:val="30"/>
          <w:lang w:val="en-US"/>
        </w:rPr>
        <w:t xml:space="preserve">. </w:t>
      </w:r>
    </w:p>
    <w:p w14:paraId="2610C3A2" w14:textId="77777777" w:rsidR="00B42876" w:rsidRPr="009B65B9" w:rsidRDefault="00B42876" w:rsidP="003A3178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30"/>
          <w:szCs w:val="30"/>
          <w:lang w:val="en-US"/>
        </w:rPr>
      </w:pPr>
    </w:p>
    <w:p w14:paraId="00D0D4BD" w14:textId="53B7150D" w:rsidR="005E2D78" w:rsidRPr="009B65B9" w:rsidRDefault="00B42876" w:rsidP="005E2D78">
      <w:pPr>
        <w:rPr>
          <w:rFonts w:ascii="Cambria" w:hAnsi="Cambria"/>
          <w:color w:val="000000" w:themeColor="text1"/>
          <w:sz w:val="30"/>
          <w:szCs w:val="30"/>
          <w:lang w:val="en-US"/>
        </w:rPr>
      </w:pPr>
      <w:r w:rsidRPr="009B65B9">
        <w:rPr>
          <w:rFonts w:ascii="Cambria" w:hAnsi="Cambria" w:cs="Times New Roman"/>
          <w:sz w:val="30"/>
          <w:szCs w:val="30"/>
          <w:lang w:val="en-US"/>
        </w:rPr>
        <w:t>In June 2016, after years of uncertainty, the EU finally declared that there was no need for specifi</w:t>
      </w:r>
      <w:r w:rsidR="007D3864" w:rsidRPr="009B65B9">
        <w:rPr>
          <w:rFonts w:ascii="Cambria" w:hAnsi="Cambria" w:cs="Times New Roman"/>
          <w:sz w:val="30"/>
          <w:szCs w:val="30"/>
          <w:lang w:val="en-US"/>
        </w:rPr>
        <w:t>c sports nutrition regulation</w:t>
      </w:r>
      <w:r w:rsidR="00975C0B" w:rsidRPr="009B65B9">
        <w:rPr>
          <w:rFonts w:ascii="Cambria" w:hAnsi="Cambria" w:cs="Times New Roman"/>
          <w:sz w:val="30"/>
          <w:szCs w:val="30"/>
          <w:lang w:val="en-US"/>
        </w:rPr>
        <w:t>, and that sports foods could be covered by</w:t>
      </w:r>
      <w:r w:rsidR="00920AF8" w:rsidRPr="009B65B9">
        <w:rPr>
          <w:rFonts w:ascii="Cambria" w:hAnsi="Cambria" w:cs="Times New Roman"/>
          <w:sz w:val="30"/>
          <w:szCs w:val="30"/>
          <w:lang w:val="en-US"/>
        </w:rPr>
        <w:t xml:space="preserve"> General Foods Law provisions.</w:t>
      </w:r>
      <w:r w:rsidR="005F5CEE" w:rsidRPr="009B65B9">
        <w:rPr>
          <w:rFonts w:ascii="Cambria" w:hAnsi="Cambria" w:cs="Times New Roman"/>
          <w:sz w:val="30"/>
          <w:szCs w:val="30"/>
          <w:lang w:val="en-US"/>
        </w:rPr>
        <w:t xml:space="preserve"> </w:t>
      </w:r>
      <w:r w:rsidR="005E2D78" w:rsidRPr="009B65B9">
        <w:rPr>
          <w:rFonts w:ascii="Cambria" w:hAnsi="Cambria" w:cs="Times New Roman"/>
          <w:sz w:val="30"/>
          <w:szCs w:val="30"/>
          <w:lang w:val="en-US"/>
        </w:rPr>
        <w:t xml:space="preserve"> While welcomed by the industry, the landmark decision has creat</w:t>
      </w:r>
      <w:r w:rsidR="00FC3483">
        <w:rPr>
          <w:rFonts w:ascii="Cambria" w:hAnsi="Cambria" w:cs="Times New Roman"/>
          <w:sz w:val="30"/>
          <w:szCs w:val="30"/>
          <w:lang w:val="en-US"/>
        </w:rPr>
        <w:t xml:space="preserve">ed a range of new questions. </w:t>
      </w:r>
      <w:r w:rsidR="0004509D">
        <w:rPr>
          <w:rFonts w:ascii="Cambria" w:hAnsi="Cambria" w:cs="Times New Roman"/>
          <w:sz w:val="30"/>
          <w:szCs w:val="30"/>
          <w:lang w:val="en-US"/>
        </w:rPr>
        <w:t xml:space="preserve"> </w:t>
      </w:r>
      <w:r w:rsidR="00296019">
        <w:rPr>
          <w:rFonts w:ascii="Cambria" w:hAnsi="Cambria" w:cs="Times New Roman"/>
          <w:sz w:val="30"/>
          <w:szCs w:val="30"/>
          <w:lang w:val="en-US"/>
        </w:rPr>
        <w:t xml:space="preserve">To help address these, the </w:t>
      </w:r>
      <w:r w:rsidR="005E2D78" w:rsidRPr="009B65B9">
        <w:rPr>
          <w:rFonts w:ascii="Cambria" w:hAnsi="Cambria" w:cs="Times New Roman"/>
          <w:sz w:val="30"/>
          <w:szCs w:val="30"/>
          <w:lang w:val="en-US"/>
        </w:rPr>
        <w:t xml:space="preserve">Sports Nutrition Zone </w:t>
      </w:r>
      <w:r w:rsidR="00296019">
        <w:rPr>
          <w:rFonts w:ascii="Cambria" w:hAnsi="Cambria" w:cs="Times New Roman"/>
          <w:sz w:val="30"/>
          <w:szCs w:val="30"/>
          <w:lang w:val="en-US"/>
        </w:rPr>
        <w:t>at this year’s event will</w:t>
      </w:r>
      <w:r w:rsidR="00920AF8" w:rsidRPr="009B65B9">
        <w:rPr>
          <w:rFonts w:ascii="Cambria" w:hAnsi="Cambria" w:cs="Times New Roman"/>
          <w:sz w:val="30"/>
          <w:szCs w:val="30"/>
          <w:lang w:val="en-US"/>
        </w:rPr>
        <w:t xml:space="preserve"> offer dedicated </w:t>
      </w:r>
      <w:r w:rsidR="00F812CF">
        <w:rPr>
          <w:rFonts w:ascii="Cambria" w:hAnsi="Cambria" w:cs="Times New Roman"/>
          <w:sz w:val="30"/>
          <w:szCs w:val="30"/>
          <w:lang w:val="en-US"/>
        </w:rPr>
        <w:t xml:space="preserve">regulatory </w:t>
      </w:r>
      <w:r w:rsidR="00920AF8" w:rsidRPr="009B65B9">
        <w:rPr>
          <w:rFonts w:ascii="Cambria" w:hAnsi="Cambria" w:cs="Times New Roman"/>
          <w:sz w:val="30"/>
          <w:szCs w:val="30"/>
          <w:lang w:val="en-US"/>
        </w:rPr>
        <w:t>advice on sports nutrition supplements</w:t>
      </w:r>
      <w:r w:rsidR="00296019">
        <w:rPr>
          <w:rFonts w:ascii="Cambria" w:hAnsi="Cambria" w:cs="Times New Roman"/>
          <w:sz w:val="30"/>
          <w:szCs w:val="30"/>
          <w:lang w:val="en-US"/>
        </w:rPr>
        <w:t>.  These one-to-one sessions will be provided by experts from ESSNA.</w:t>
      </w:r>
    </w:p>
    <w:p w14:paraId="11243F74" w14:textId="77777777" w:rsidR="005E2D78" w:rsidRPr="009B65B9" w:rsidRDefault="005E2D78" w:rsidP="00F87D25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30"/>
          <w:szCs w:val="30"/>
          <w:lang w:val="en-US"/>
        </w:rPr>
      </w:pPr>
    </w:p>
    <w:p w14:paraId="6D388986" w14:textId="1A6123E0" w:rsidR="00F87D25" w:rsidRPr="009B65B9" w:rsidRDefault="005E2D78" w:rsidP="00F87D25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30"/>
          <w:szCs w:val="30"/>
          <w:lang w:val="en-US"/>
        </w:rPr>
      </w:pPr>
      <w:r w:rsidRPr="009B65B9">
        <w:rPr>
          <w:rFonts w:ascii="Cambria" w:hAnsi="Cambria" w:cs="Times New Roman"/>
          <w:sz w:val="30"/>
          <w:szCs w:val="30"/>
          <w:lang w:val="en-US"/>
        </w:rPr>
        <w:t>And i</w:t>
      </w:r>
      <w:r w:rsidR="00F87D25" w:rsidRPr="009B65B9">
        <w:rPr>
          <w:rFonts w:ascii="Cambria" w:hAnsi="Cambria" w:cs="Times New Roman"/>
          <w:sz w:val="30"/>
          <w:szCs w:val="30"/>
          <w:lang w:val="en-US"/>
        </w:rPr>
        <w:t xml:space="preserve">n a panel </w:t>
      </w:r>
      <w:r w:rsidR="00F812CF">
        <w:rPr>
          <w:rFonts w:ascii="Cambria" w:hAnsi="Cambria" w:cs="Times New Roman"/>
          <w:sz w:val="30"/>
          <w:szCs w:val="30"/>
          <w:lang w:val="en-US"/>
        </w:rPr>
        <w:t xml:space="preserve">discussion </w:t>
      </w:r>
      <w:r w:rsidRPr="009B65B9">
        <w:rPr>
          <w:rFonts w:ascii="Cambria" w:hAnsi="Cambria" w:cs="Times New Roman"/>
          <w:sz w:val="30"/>
          <w:szCs w:val="30"/>
          <w:lang w:val="en-US"/>
        </w:rPr>
        <w:t xml:space="preserve">on </w:t>
      </w:r>
      <w:r w:rsidR="00F87D25" w:rsidRPr="009B65B9">
        <w:rPr>
          <w:rFonts w:ascii="Cambria" w:hAnsi="Cambria" w:cs="Times New Roman"/>
          <w:sz w:val="30"/>
          <w:szCs w:val="30"/>
          <w:lang w:val="en-US"/>
        </w:rPr>
        <w:t>Vitafoods</w:t>
      </w:r>
      <w:r w:rsidR="007D3864" w:rsidRPr="009B65B9">
        <w:rPr>
          <w:rFonts w:ascii="Cambria" w:hAnsi="Cambria" w:cs="Times New Roman"/>
          <w:sz w:val="30"/>
          <w:szCs w:val="30"/>
          <w:lang w:val="en-US"/>
        </w:rPr>
        <w:t xml:space="preserve"> </w:t>
      </w:r>
      <w:r w:rsidRPr="009B65B9">
        <w:rPr>
          <w:rFonts w:ascii="Cambria" w:hAnsi="Cambria" w:cs="Times New Roman"/>
          <w:sz w:val="30"/>
          <w:szCs w:val="30"/>
          <w:lang w:val="en-US"/>
        </w:rPr>
        <w:t xml:space="preserve">Centre Stage, </w:t>
      </w:r>
      <w:r w:rsidR="00920AF8" w:rsidRPr="009B65B9">
        <w:rPr>
          <w:rFonts w:ascii="Cambria" w:hAnsi="Cambria" w:cs="Times New Roman"/>
          <w:sz w:val="30"/>
          <w:szCs w:val="30"/>
          <w:lang w:val="en-US"/>
        </w:rPr>
        <w:t>Dr Adam Carey, C</w:t>
      </w:r>
      <w:r w:rsidR="007D3864" w:rsidRPr="009B65B9">
        <w:rPr>
          <w:rFonts w:ascii="Cambria" w:hAnsi="Cambria" w:cs="Times New Roman"/>
          <w:sz w:val="30"/>
          <w:szCs w:val="30"/>
          <w:lang w:val="en-US"/>
        </w:rPr>
        <w:t>hair of ESSNA</w:t>
      </w:r>
      <w:r w:rsidR="00920AF8" w:rsidRPr="009B65B9">
        <w:rPr>
          <w:rFonts w:ascii="Cambria" w:hAnsi="Cambria" w:cs="Times New Roman"/>
          <w:sz w:val="30"/>
          <w:szCs w:val="30"/>
          <w:lang w:val="en-US"/>
        </w:rPr>
        <w:t>,</w:t>
      </w:r>
      <w:r w:rsidR="00F87D25" w:rsidRPr="009B65B9">
        <w:rPr>
          <w:rFonts w:ascii="Cambria" w:hAnsi="Cambria" w:cs="Times New Roman"/>
          <w:sz w:val="30"/>
          <w:szCs w:val="30"/>
          <w:lang w:val="en-US"/>
        </w:rPr>
        <w:t xml:space="preserve"> will </w:t>
      </w:r>
      <w:r w:rsidR="00BC7D7C">
        <w:rPr>
          <w:rFonts w:ascii="Cambria" w:hAnsi="Cambria" w:cs="Times New Roman"/>
          <w:sz w:val="30"/>
          <w:szCs w:val="30"/>
          <w:lang w:val="en-US"/>
        </w:rPr>
        <w:t xml:space="preserve">talk about </w:t>
      </w:r>
      <w:r w:rsidR="00F87D25" w:rsidRPr="009B65B9">
        <w:rPr>
          <w:rFonts w:ascii="Cambria" w:hAnsi="Cambria" w:cs="Times New Roman"/>
          <w:sz w:val="30"/>
          <w:szCs w:val="30"/>
          <w:lang w:val="en-US"/>
        </w:rPr>
        <w:t xml:space="preserve">the future of </w:t>
      </w:r>
      <w:r w:rsidR="007D3864" w:rsidRPr="009B65B9">
        <w:rPr>
          <w:rFonts w:ascii="Cambria" w:hAnsi="Cambria" w:cs="Times New Roman"/>
          <w:sz w:val="30"/>
          <w:szCs w:val="30"/>
          <w:lang w:val="en-US"/>
        </w:rPr>
        <w:t>sports nutrition</w:t>
      </w:r>
      <w:r w:rsidR="00975C0B" w:rsidRPr="009B65B9">
        <w:rPr>
          <w:rFonts w:ascii="Cambria" w:hAnsi="Cambria" w:cs="Times New Roman"/>
          <w:sz w:val="30"/>
          <w:szCs w:val="30"/>
          <w:lang w:val="en-US"/>
        </w:rPr>
        <w:t xml:space="preserve"> in the wake of the decision.</w:t>
      </w:r>
    </w:p>
    <w:p w14:paraId="5F7489E8" w14:textId="77777777" w:rsidR="005D119E" w:rsidRPr="009B65B9" w:rsidRDefault="005D119E" w:rsidP="003A3178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30"/>
          <w:szCs w:val="30"/>
          <w:lang w:val="en-US"/>
        </w:rPr>
      </w:pPr>
    </w:p>
    <w:p w14:paraId="3773A608" w14:textId="2E631901" w:rsidR="005D119E" w:rsidRPr="009B65B9" w:rsidRDefault="005D119E" w:rsidP="005D119E">
      <w:pPr>
        <w:rPr>
          <w:rFonts w:ascii="Cambria" w:hAnsi="Cambria"/>
          <w:color w:val="000000" w:themeColor="text1"/>
          <w:sz w:val="30"/>
          <w:szCs w:val="30"/>
          <w:lang w:val="en-US"/>
        </w:rPr>
      </w:pPr>
      <w:r w:rsidRPr="009B65B9">
        <w:rPr>
          <w:rFonts w:ascii="Cambria" w:hAnsi="Cambria" w:cs="Times New Roman"/>
          <w:sz w:val="30"/>
          <w:szCs w:val="30"/>
          <w:lang w:val="en-US"/>
        </w:rPr>
        <w:t xml:space="preserve">Speaking ahead of the event, </w:t>
      </w:r>
      <w:r w:rsidR="005E2D78" w:rsidRPr="009B65B9">
        <w:rPr>
          <w:rFonts w:ascii="Cambria" w:hAnsi="Cambria" w:cs="Times New Roman"/>
          <w:sz w:val="30"/>
          <w:szCs w:val="30"/>
          <w:lang w:val="en-US"/>
        </w:rPr>
        <w:t>Dr Carey</w:t>
      </w:r>
      <w:r w:rsidRPr="009B65B9">
        <w:rPr>
          <w:rFonts w:ascii="Cambria" w:hAnsi="Cambria" w:cs="Times New Roman"/>
          <w:sz w:val="30"/>
          <w:szCs w:val="30"/>
          <w:lang w:val="en-US"/>
        </w:rPr>
        <w:t xml:space="preserve"> said:  “</w:t>
      </w:r>
      <w:r w:rsidR="005E2D78" w:rsidRPr="009B65B9">
        <w:rPr>
          <w:rFonts w:ascii="Cambria" w:hAnsi="Cambria"/>
          <w:color w:val="000000" w:themeColor="text1"/>
          <w:sz w:val="30"/>
          <w:szCs w:val="30"/>
          <w:lang w:val="en-US"/>
        </w:rPr>
        <w:t>The EU’s decision followed thirteen years of hard work</w:t>
      </w:r>
      <w:r w:rsidR="00920AF8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and has</w:t>
      </w:r>
      <w:r w:rsidR="005E2D78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</w:t>
      </w:r>
      <w:r w:rsidR="00261929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left nutrition companies free to </w:t>
      </w:r>
      <w:r w:rsidR="00920AF8" w:rsidRPr="009B65B9">
        <w:rPr>
          <w:rFonts w:ascii="Cambria" w:hAnsi="Cambria"/>
          <w:color w:val="000000" w:themeColor="text1"/>
          <w:sz w:val="30"/>
          <w:szCs w:val="30"/>
          <w:lang w:val="en-US"/>
        </w:rPr>
        <w:t>innovate exciting</w:t>
      </w:r>
      <w:r w:rsidR="00261929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new products.  But </w:t>
      </w:r>
      <w:r w:rsidR="005E2D78" w:rsidRPr="009B65B9">
        <w:rPr>
          <w:rFonts w:ascii="Cambria" w:hAnsi="Cambria"/>
          <w:color w:val="000000" w:themeColor="text1"/>
          <w:sz w:val="30"/>
          <w:szCs w:val="30"/>
          <w:lang w:val="en-US"/>
        </w:rPr>
        <w:t>we</w:t>
      </w:r>
      <w:r w:rsidR="00261929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face new challenges. </w:t>
      </w:r>
      <w:r w:rsidR="005E2D78" w:rsidRPr="009B65B9">
        <w:rPr>
          <w:rFonts w:ascii="Cambria" w:hAnsi="Cambria"/>
          <w:color w:val="000000" w:themeColor="text1"/>
          <w:sz w:val="30"/>
          <w:szCs w:val="30"/>
          <w:lang w:val="en-US"/>
        </w:rPr>
        <w:t>Because regulation is now very broad,</w:t>
      </w:r>
      <w:r w:rsidR="00261929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</w:t>
      </w:r>
      <w:r w:rsidR="005E2D78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there is a risk that </w:t>
      </w:r>
      <w:r w:rsidR="00261929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the specific needs of sportspeople </w:t>
      </w:r>
      <w:r w:rsidR="005E2D78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will not be taken into account.  </w:t>
      </w:r>
      <w:r w:rsidR="00F53FFC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One example is sodium – it’s an essential ingredient for many athletes, but regulators could be wary of approving a claim that seems to encourage people to consume more </w:t>
      </w:r>
      <w:r w:rsidR="005E2D78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salt. These are major questions, and I </w:t>
      </w:r>
      <w:r w:rsidR="006810E2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welcome the </w:t>
      </w:r>
      <w:r w:rsidR="006810E2" w:rsidRPr="009B65B9">
        <w:rPr>
          <w:rFonts w:ascii="Cambria" w:hAnsi="Cambria"/>
          <w:color w:val="000000" w:themeColor="text1"/>
          <w:sz w:val="30"/>
          <w:szCs w:val="30"/>
          <w:lang w:val="en-US"/>
        </w:rPr>
        <w:lastRenderedPageBreak/>
        <w:t xml:space="preserve">opportunity to partner with </w:t>
      </w:r>
      <w:r w:rsidR="005E2D78" w:rsidRPr="009B65B9">
        <w:rPr>
          <w:rFonts w:ascii="Cambria" w:hAnsi="Cambria"/>
          <w:color w:val="000000" w:themeColor="text1"/>
          <w:sz w:val="30"/>
          <w:szCs w:val="30"/>
          <w:lang w:val="en-US"/>
        </w:rPr>
        <w:t>Vitafoods Europe to help the industry tackle them.”</w:t>
      </w:r>
    </w:p>
    <w:p w14:paraId="60A3E762" w14:textId="77777777" w:rsidR="003A3178" w:rsidRPr="009B65B9" w:rsidRDefault="003A3178" w:rsidP="00A659F5">
      <w:pPr>
        <w:rPr>
          <w:rFonts w:ascii="Cambria" w:hAnsi="Cambria"/>
          <w:color w:val="000000" w:themeColor="text1"/>
          <w:sz w:val="30"/>
          <w:szCs w:val="30"/>
          <w:lang w:val="en-US"/>
        </w:rPr>
      </w:pPr>
    </w:p>
    <w:p w14:paraId="1BAA1541" w14:textId="43038EC1" w:rsidR="00BC7D7C" w:rsidRPr="00BC7D7C" w:rsidRDefault="00BC7D7C" w:rsidP="005E2D78">
      <w:pPr>
        <w:rPr>
          <w:rFonts w:ascii="Cambria" w:hAnsi="Cambria" w:cs="Times New Roman"/>
          <w:sz w:val="30"/>
          <w:szCs w:val="30"/>
          <w:lang w:val="en-US"/>
        </w:rPr>
      </w:pPr>
      <w:r w:rsidRPr="00BC7D7C">
        <w:rPr>
          <w:rFonts w:ascii="Cambria" w:hAnsi="Cambria" w:cs="Times New Roman"/>
          <w:sz w:val="30"/>
          <w:szCs w:val="30"/>
          <w:lang w:val="en-US"/>
        </w:rPr>
        <w:t>Also appearing on Vitafoods Centre Stage will be</w:t>
      </w:r>
      <w:r>
        <w:rPr>
          <w:rFonts w:ascii="Cambria" w:hAnsi="Cambria" w:cs="Times New Roman"/>
          <w:sz w:val="30"/>
          <w:szCs w:val="30"/>
          <w:lang w:val="en-US"/>
        </w:rPr>
        <w:t xml:space="preserve"> Stuart Shotton, Vice C</w:t>
      </w:r>
      <w:r w:rsidRPr="00BC7D7C">
        <w:rPr>
          <w:rFonts w:ascii="Cambria" w:hAnsi="Cambria" w:cs="Times New Roman"/>
          <w:sz w:val="30"/>
          <w:szCs w:val="30"/>
          <w:lang w:val="en-US"/>
        </w:rPr>
        <w:t xml:space="preserve">hair of ESSNA and Head of Nutrition and Regulatory Affairs at MyProtein. He will present a half-day session explaining how the EC’s report will affect nutrition businesses.  </w:t>
      </w:r>
    </w:p>
    <w:p w14:paraId="01A9B495" w14:textId="77777777" w:rsidR="00BC7D7C" w:rsidRDefault="00BC7D7C" w:rsidP="005E2D78">
      <w:pPr>
        <w:rPr>
          <w:rFonts w:ascii="Cambria" w:hAnsi="Cambria"/>
          <w:color w:val="000000" w:themeColor="text1"/>
          <w:sz w:val="30"/>
          <w:szCs w:val="30"/>
          <w:lang w:val="en-US"/>
        </w:rPr>
      </w:pPr>
    </w:p>
    <w:p w14:paraId="0FB9CD6D" w14:textId="5EF94655" w:rsidR="005E2D78" w:rsidRPr="009B65B9" w:rsidRDefault="005E2D78" w:rsidP="005E2D78">
      <w:pPr>
        <w:rPr>
          <w:rFonts w:ascii="Cambria" w:hAnsi="Cambria"/>
          <w:color w:val="000000" w:themeColor="text1"/>
          <w:sz w:val="30"/>
          <w:szCs w:val="30"/>
          <w:lang w:val="en-US"/>
        </w:rPr>
      </w:pP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Sports nutrition has been </w:t>
      </w:r>
      <w:r w:rsidR="009A3323" w:rsidRPr="009B65B9">
        <w:rPr>
          <w:rFonts w:ascii="Cambria" w:hAnsi="Cambria"/>
          <w:color w:val="000000" w:themeColor="text1"/>
          <w:sz w:val="30"/>
          <w:szCs w:val="30"/>
          <w:lang w:val="en-US"/>
        </w:rPr>
        <w:t>a significant</w:t>
      </w: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success story in recent years.  </w:t>
      </w:r>
    </w:p>
    <w:p w14:paraId="660A8392" w14:textId="36B9D16C" w:rsidR="005E2D78" w:rsidRPr="009B65B9" w:rsidRDefault="005E2D78" w:rsidP="005E2D78">
      <w:pPr>
        <w:rPr>
          <w:rFonts w:ascii="Cambria" w:hAnsi="Cambria"/>
          <w:color w:val="000000" w:themeColor="text1"/>
          <w:sz w:val="30"/>
          <w:szCs w:val="30"/>
          <w:lang w:val="en-US"/>
        </w:rPr>
      </w:pP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Last year, according to Euromonitor, the global market was worth $11.9 billion, and </w:t>
      </w:r>
      <w:r w:rsidR="006810E2" w:rsidRPr="009B65B9">
        <w:rPr>
          <w:rFonts w:ascii="Cambria" w:hAnsi="Cambria"/>
          <w:color w:val="000000" w:themeColor="text1"/>
          <w:sz w:val="30"/>
          <w:szCs w:val="30"/>
          <w:lang w:val="en-US"/>
        </w:rPr>
        <w:t>Europe saw growth of over 12%.</w:t>
      </w:r>
    </w:p>
    <w:p w14:paraId="3C6661FD" w14:textId="77777777" w:rsidR="005E2D78" w:rsidRPr="009B65B9" w:rsidRDefault="005E2D78" w:rsidP="00A659F5">
      <w:pPr>
        <w:rPr>
          <w:rFonts w:ascii="Cambria" w:hAnsi="Cambria"/>
          <w:color w:val="000000" w:themeColor="text1"/>
          <w:sz w:val="30"/>
          <w:szCs w:val="30"/>
          <w:lang w:val="en-US"/>
        </w:rPr>
      </w:pPr>
    </w:p>
    <w:p w14:paraId="134C3137" w14:textId="4AC26BA4" w:rsidR="00920AF8" w:rsidRPr="009B65B9" w:rsidRDefault="00975C0B" w:rsidP="00920AF8">
      <w:pPr>
        <w:rPr>
          <w:rFonts w:ascii="Cambria" w:hAnsi="Cambria"/>
          <w:color w:val="000000" w:themeColor="text1"/>
          <w:sz w:val="30"/>
          <w:szCs w:val="30"/>
          <w:lang w:val="en-US"/>
        </w:rPr>
      </w:pP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t>Chris Lee</w:t>
      </w:r>
      <w:r w:rsidR="00920AF8" w:rsidRPr="009B65B9">
        <w:rPr>
          <w:rFonts w:ascii="Cambria" w:hAnsi="Cambria"/>
          <w:color w:val="000000" w:themeColor="text1"/>
          <w:sz w:val="30"/>
          <w:szCs w:val="30"/>
          <w:lang w:val="en-US"/>
        </w:rPr>
        <w:t>, Managing Director, Global Health and Nutrition Network, Europe</w:t>
      </w:r>
      <w:r w:rsidR="00BC7D7C">
        <w:rPr>
          <w:rFonts w:ascii="Cambria" w:hAnsi="Cambria"/>
          <w:color w:val="000000" w:themeColor="text1"/>
          <w:sz w:val="30"/>
          <w:szCs w:val="30"/>
          <w:lang w:val="en-US"/>
        </w:rPr>
        <w:t xml:space="preserve">, Informa Exhibitions, said: </w:t>
      </w:r>
      <w:r w:rsidR="00920AF8" w:rsidRPr="009B65B9">
        <w:rPr>
          <w:rFonts w:ascii="Cambria" w:hAnsi="Cambria"/>
          <w:color w:val="000000" w:themeColor="text1"/>
          <w:sz w:val="30"/>
          <w:szCs w:val="30"/>
          <w:lang w:val="en-US"/>
        </w:rPr>
        <w:t>“</w:t>
      </w:r>
      <w:r w:rsidR="00F63024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Sports nutrition is an increasingly important focus </w:t>
      </w:r>
      <w:r w:rsidR="006810E2" w:rsidRPr="009B65B9">
        <w:rPr>
          <w:rFonts w:ascii="Cambria" w:hAnsi="Cambria"/>
          <w:color w:val="000000" w:themeColor="text1"/>
          <w:sz w:val="30"/>
          <w:szCs w:val="30"/>
          <w:lang w:val="en-US"/>
        </w:rPr>
        <w:t>at Vitafoods Europe.</w:t>
      </w:r>
      <w:r w:rsidR="00F63024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</w:t>
      </w:r>
      <w:r w:rsidR="00E37848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With a </w:t>
      </w:r>
      <w:r w:rsidR="00920AF8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growing segment of </w:t>
      </w:r>
      <w:r w:rsidR="009A3323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physically active </w:t>
      </w:r>
      <w:r w:rsidR="00920AF8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consumers </w:t>
      </w:r>
      <w:r w:rsidR="009A3323" w:rsidRPr="009B65B9">
        <w:rPr>
          <w:rFonts w:ascii="Cambria" w:hAnsi="Cambria"/>
          <w:color w:val="000000" w:themeColor="text1"/>
          <w:sz w:val="30"/>
          <w:szCs w:val="30"/>
          <w:lang w:val="en-US"/>
        </w:rPr>
        <w:t>recognising the importance of nutrition to supplement what they do in the gym</w:t>
      </w:r>
      <w:r w:rsidR="00E37848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, </w:t>
      </w:r>
      <w:r w:rsidR="009B65B9" w:rsidRPr="009B65B9">
        <w:rPr>
          <w:rFonts w:ascii="Cambria" w:hAnsi="Cambria"/>
          <w:color w:val="000000" w:themeColor="text1"/>
          <w:sz w:val="30"/>
          <w:szCs w:val="30"/>
          <w:lang w:val="en-US"/>
        </w:rPr>
        <w:t>it</w:t>
      </w:r>
      <w:r w:rsidR="00E37848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is becoming increasingly mainstream.</w:t>
      </w:r>
      <w:r w:rsidR="006810E2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 Partnering with ESSNA is the ideal way for us to help visitors explore the growing opportunities in this dynamic sector.” </w:t>
      </w:r>
    </w:p>
    <w:p w14:paraId="4F0C5F01" w14:textId="6C97D3CF" w:rsidR="00A659F5" w:rsidRPr="009B65B9" w:rsidRDefault="00975C0B" w:rsidP="00A659F5">
      <w:pPr>
        <w:rPr>
          <w:rFonts w:ascii="Cambria" w:hAnsi="Cambria"/>
          <w:color w:val="000000" w:themeColor="text1"/>
          <w:sz w:val="30"/>
          <w:szCs w:val="30"/>
          <w:lang w:val="en-US"/>
        </w:rPr>
      </w:pP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 </w:t>
      </w:r>
      <w:r w:rsidR="005F5CEE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</w:t>
      </w:r>
    </w:p>
    <w:p w14:paraId="40AF3A52" w14:textId="1FA850FD" w:rsidR="00E37848" w:rsidRPr="009B65B9" w:rsidRDefault="00E37848" w:rsidP="00E37848">
      <w:pPr>
        <w:rPr>
          <w:rFonts w:ascii="Cambria" w:hAnsi="Cambria" w:cs="Times New Roman"/>
          <w:sz w:val="30"/>
          <w:szCs w:val="30"/>
          <w:lang w:val="en-US"/>
        </w:rPr>
      </w:pPr>
      <w:r w:rsidRPr="009B65B9">
        <w:rPr>
          <w:rFonts w:ascii="Cambria" w:hAnsi="Cambria" w:cs="Times New Roman"/>
          <w:sz w:val="30"/>
          <w:szCs w:val="30"/>
          <w:lang w:val="en-US"/>
        </w:rPr>
        <w:t xml:space="preserve">Visitors to Vitafoods Europe Sports Nutrition Zone will be able to talk to experts, </w:t>
      </w:r>
      <w:r w:rsidR="00BC7D7C">
        <w:rPr>
          <w:rFonts w:ascii="Cambria" w:hAnsi="Cambria" w:cs="Times New Roman"/>
          <w:sz w:val="30"/>
          <w:szCs w:val="30"/>
          <w:lang w:val="en-US"/>
        </w:rPr>
        <w:t xml:space="preserve">see product showcases, </w:t>
      </w:r>
      <w:r w:rsidRPr="009B65B9">
        <w:rPr>
          <w:rFonts w:ascii="Cambria" w:hAnsi="Cambria" w:cs="Times New Roman"/>
          <w:sz w:val="30"/>
          <w:szCs w:val="30"/>
          <w:lang w:val="en-US"/>
        </w:rPr>
        <w:t xml:space="preserve">sample the latest products at the Sampling Bar, and learn more about industry trends via Infographics and iPad presentations. </w:t>
      </w:r>
    </w:p>
    <w:p w14:paraId="1D5D2080" w14:textId="77777777" w:rsidR="00E37848" w:rsidRPr="009B65B9" w:rsidRDefault="00E37848" w:rsidP="00E37848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30"/>
          <w:szCs w:val="30"/>
          <w:lang w:val="en-US"/>
        </w:rPr>
      </w:pPr>
    </w:p>
    <w:p w14:paraId="18B497A2" w14:textId="77777777" w:rsidR="00E37848" w:rsidRPr="009B65B9" w:rsidRDefault="00E37848" w:rsidP="00E37848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30"/>
          <w:szCs w:val="30"/>
          <w:lang w:val="en-US"/>
        </w:rPr>
      </w:pPr>
      <w:r w:rsidRPr="009B65B9">
        <w:rPr>
          <w:rFonts w:ascii="Cambria" w:hAnsi="Cambria" w:cs="Times New Roman"/>
          <w:sz w:val="30"/>
          <w:szCs w:val="30"/>
          <w:lang w:val="en-US"/>
        </w:rPr>
        <w:t xml:space="preserve">For further information, visit the Vitafoods Europe </w:t>
      </w:r>
      <w:hyperlink r:id="rId8" w:history="1">
        <w:r w:rsidRPr="009B65B9">
          <w:rPr>
            <w:rStyle w:val="Hyperlink"/>
            <w:rFonts w:ascii="Cambria" w:hAnsi="Cambria" w:cs="Times New Roman"/>
            <w:sz w:val="30"/>
            <w:szCs w:val="30"/>
            <w:lang w:val="en-US"/>
          </w:rPr>
          <w:t>website.</w:t>
        </w:r>
      </w:hyperlink>
    </w:p>
    <w:p w14:paraId="70F8C063" w14:textId="77777777" w:rsidR="00A659F5" w:rsidRPr="009B65B9" w:rsidRDefault="00A659F5" w:rsidP="00431D46">
      <w:pPr>
        <w:rPr>
          <w:rFonts w:ascii="Cambria" w:hAnsi="Cambria"/>
          <w:b/>
          <w:sz w:val="30"/>
          <w:szCs w:val="30"/>
        </w:rPr>
      </w:pPr>
    </w:p>
    <w:p w14:paraId="5A96C577" w14:textId="77777777" w:rsidR="00431D46" w:rsidRPr="009B65B9" w:rsidRDefault="00431D46" w:rsidP="00431D46">
      <w:pPr>
        <w:rPr>
          <w:rFonts w:ascii="Cambria" w:hAnsi="Cambria"/>
          <w:b/>
          <w:sz w:val="30"/>
          <w:szCs w:val="30"/>
        </w:rPr>
      </w:pPr>
      <w:r w:rsidRPr="009B65B9">
        <w:rPr>
          <w:rFonts w:ascii="Cambria" w:hAnsi="Cambria"/>
          <w:b/>
          <w:sz w:val="30"/>
          <w:szCs w:val="30"/>
        </w:rPr>
        <w:t>About Vitafoods Europe</w:t>
      </w:r>
    </w:p>
    <w:p w14:paraId="65225C77" w14:textId="74BAD6AE" w:rsidR="00431D46" w:rsidRPr="009B65B9" w:rsidRDefault="00431D46" w:rsidP="00431D46">
      <w:pPr>
        <w:rPr>
          <w:rFonts w:ascii="Cambria" w:hAnsi="Cambria"/>
          <w:color w:val="000000" w:themeColor="text1"/>
          <w:sz w:val="30"/>
          <w:szCs w:val="30"/>
          <w:lang w:val="en-US"/>
        </w:rPr>
      </w:pP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t>Vitafoods Europe is the global nutraceutical event, featuring exhibitors from all over the world in four key market areas: ingredients &amp; raw materials;</w:t>
      </w:r>
      <w:r w:rsidR="001C6258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branded</w:t>
      </w: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finished </w:t>
      </w:r>
      <w:r w:rsidR="001C6258" w:rsidRPr="009B65B9">
        <w:rPr>
          <w:rFonts w:ascii="Cambria" w:hAnsi="Cambria"/>
          <w:color w:val="000000" w:themeColor="text1"/>
          <w:sz w:val="30"/>
          <w:szCs w:val="30"/>
          <w:lang w:val="en-US"/>
        </w:rPr>
        <w:t>products; contract manufacturing</w:t>
      </w: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&amp; private label; and services &amp; equipment. The </w:t>
      </w:r>
      <w:r w:rsidR="00B91031" w:rsidRPr="009B65B9">
        <w:rPr>
          <w:rFonts w:ascii="Cambria" w:hAnsi="Cambria"/>
          <w:color w:val="000000" w:themeColor="text1"/>
          <w:sz w:val="30"/>
          <w:szCs w:val="30"/>
          <w:lang w:val="en-US"/>
        </w:rPr>
        <w:t>event</w:t>
      </w: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offers a range of visitor attractions, including an industry-leading </w:t>
      </w:r>
      <w:r w:rsidR="001C6258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education </w:t>
      </w: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programme. </w:t>
      </w:r>
    </w:p>
    <w:p w14:paraId="72423332" w14:textId="77777777" w:rsidR="00431D46" w:rsidRPr="009B65B9" w:rsidRDefault="00431D46" w:rsidP="00431D46">
      <w:pPr>
        <w:rPr>
          <w:rFonts w:ascii="Cambria" w:hAnsi="Cambria"/>
          <w:color w:val="000000" w:themeColor="text1"/>
          <w:sz w:val="30"/>
          <w:szCs w:val="30"/>
          <w:lang w:val="en-US"/>
        </w:rPr>
      </w:pPr>
    </w:p>
    <w:p w14:paraId="17C38A14" w14:textId="2A3526E4" w:rsidR="00470E52" w:rsidRPr="009B65B9" w:rsidRDefault="00431D46" w:rsidP="00431D46">
      <w:pPr>
        <w:rPr>
          <w:rFonts w:ascii="Cambria" w:hAnsi="Cambria"/>
          <w:color w:val="000000" w:themeColor="text1"/>
          <w:sz w:val="30"/>
          <w:szCs w:val="30"/>
          <w:lang w:val="en-US"/>
        </w:rPr>
      </w:pP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Vitafoods Europe is part of Informa Exhibitions’ Global Health &amp; Nutrition Network (GHNN), which brings together a portfolio of events, digital media and publishing for marketers, manufacturers and formulators of nutrition and dietary supplements, healthy </w:t>
      </w: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lastRenderedPageBreak/>
        <w:t xml:space="preserve">foods/beverages and personal care </w:t>
      </w:r>
      <w:r w:rsidR="00470E52" w:rsidRPr="009B65B9">
        <w:rPr>
          <w:rFonts w:ascii="Cambria" w:hAnsi="Cambria"/>
          <w:color w:val="000000" w:themeColor="text1"/>
          <w:sz w:val="30"/>
          <w:szCs w:val="30"/>
          <w:lang w:val="en-US"/>
        </w:rPr>
        <w:t>products. GHNN’s events include</w:t>
      </w: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Vitafoods Europe, V</w:t>
      </w:r>
      <w:r w:rsidR="0097665F" w:rsidRPr="009B65B9">
        <w:rPr>
          <w:rFonts w:ascii="Cambria" w:hAnsi="Cambria"/>
          <w:color w:val="000000" w:themeColor="text1"/>
          <w:sz w:val="30"/>
          <w:szCs w:val="30"/>
          <w:lang w:val="en-US"/>
        </w:rPr>
        <w:t>itafoods Asia, SupplySide West</w:t>
      </w:r>
      <w:r w:rsidR="00470E52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</w:t>
      </w:r>
      <w:r w:rsidR="00D261BD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and </w:t>
      </w: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t>Ingredient Marketplace</w:t>
      </w:r>
      <w:r w:rsidR="00470E52" w:rsidRPr="009B65B9">
        <w:rPr>
          <w:rFonts w:ascii="Cambria" w:hAnsi="Cambria"/>
          <w:color w:val="000000" w:themeColor="text1"/>
          <w:sz w:val="30"/>
          <w:szCs w:val="30"/>
          <w:lang w:val="en-US"/>
        </w:rPr>
        <w:t>.</w:t>
      </w:r>
    </w:p>
    <w:p w14:paraId="68B47385" w14:textId="77777777" w:rsidR="00470E52" w:rsidRPr="009B65B9" w:rsidRDefault="00470E52" w:rsidP="00431D46">
      <w:pPr>
        <w:rPr>
          <w:rFonts w:ascii="Cambria" w:hAnsi="Cambria"/>
          <w:color w:val="000000" w:themeColor="text1"/>
          <w:sz w:val="30"/>
          <w:szCs w:val="30"/>
          <w:lang w:val="en-US"/>
        </w:rPr>
      </w:pPr>
    </w:p>
    <w:p w14:paraId="26398084" w14:textId="57AEE918" w:rsidR="0059555F" w:rsidRPr="009B65B9" w:rsidRDefault="00431D46" w:rsidP="0059555F">
      <w:pPr>
        <w:rPr>
          <w:rFonts w:ascii="Cambria" w:hAnsi="Cambria"/>
          <w:color w:val="000000" w:themeColor="text1"/>
          <w:sz w:val="30"/>
          <w:szCs w:val="30"/>
          <w:lang w:val="en-US"/>
        </w:rPr>
      </w:pP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t>Natural Products INSIDER</w:t>
      </w:r>
      <w:r w:rsidR="00470E52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</w:t>
      </w: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is the global media brand covering healthy ingredients and finished applications. Vitafoods Insights offers online content </w:t>
      </w:r>
      <w:r w:rsidR="00F5119B" w:rsidRPr="009B65B9">
        <w:rPr>
          <w:rFonts w:ascii="Cambria" w:hAnsi="Cambria"/>
          <w:color w:val="000000" w:themeColor="text1"/>
          <w:sz w:val="30"/>
          <w:szCs w:val="30"/>
          <w:lang w:val="en-US"/>
        </w:rPr>
        <w:t>and a series of topic-specif</w:t>
      </w:r>
      <w:r w:rsidR="00732F03" w:rsidRPr="009B65B9">
        <w:rPr>
          <w:rFonts w:ascii="Cambria" w:hAnsi="Cambria"/>
          <w:color w:val="000000" w:themeColor="text1"/>
          <w:sz w:val="30"/>
          <w:szCs w:val="30"/>
          <w:lang w:val="en-US"/>
        </w:rPr>
        <w:t>ic digital magazines that bring</w:t>
      </w:r>
      <w:r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highlights of the Vitafoods events to a global audience. </w:t>
      </w:r>
      <w:hyperlink r:id="rId9" w:tgtFrame="_blank" w:history="1">
        <w:r w:rsidR="0059555F" w:rsidRPr="009B65B9">
          <w:rPr>
            <w:rFonts w:ascii="Cambria" w:hAnsi="Cambria"/>
            <w:color w:val="000000" w:themeColor="text1"/>
            <w:sz w:val="30"/>
            <w:szCs w:val="30"/>
            <w:lang w:val="en-US"/>
          </w:rPr>
          <w:t>SupplySide West &amp; Vitafoods Global Storefronts</w:t>
        </w:r>
      </w:hyperlink>
      <w:r w:rsidR="0059555F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offers a new online environment where ingredient buyers and product developers can find and connect with the suppliers and solutions they need, all year long.</w:t>
      </w:r>
      <w:r w:rsidR="006C1126">
        <w:rPr>
          <w:rFonts w:ascii="Cambria" w:hAnsi="Cambria"/>
          <w:color w:val="000000" w:themeColor="text1"/>
          <w:sz w:val="30"/>
          <w:szCs w:val="30"/>
          <w:lang w:val="en-US"/>
        </w:rPr>
        <w:t xml:space="preserve"> </w:t>
      </w:r>
      <w:r w:rsidR="006C1126" w:rsidRPr="009B65B9">
        <w:rPr>
          <w:rFonts w:ascii="Cambria" w:hAnsi="Cambria"/>
          <w:color w:val="000000" w:themeColor="text1"/>
          <w:sz w:val="30"/>
          <w:szCs w:val="30"/>
          <w:lang w:val="en-US"/>
        </w:rPr>
        <w:t xml:space="preserve">For more information, visit </w:t>
      </w:r>
      <w:hyperlink r:id="rId10" w:history="1">
        <w:r w:rsidR="006C1126" w:rsidRPr="009B65B9">
          <w:rPr>
            <w:rFonts w:ascii="Cambria" w:hAnsi="Cambria"/>
            <w:color w:val="000000" w:themeColor="text1"/>
            <w:sz w:val="30"/>
            <w:szCs w:val="30"/>
            <w:u w:val="single" w:color="0B4CB4"/>
            <w:lang w:val="en-US"/>
          </w:rPr>
          <w:t>www.informaglobalhealth.com</w:t>
        </w:r>
      </w:hyperlink>
      <w:r w:rsidR="006C1126" w:rsidRPr="009B65B9">
        <w:rPr>
          <w:rFonts w:ascii="Cambria" w:hAnsi="Cambria"/>
          <w:color w:val="000000" w:themeColor="text1"/>
          <w:sz w:val="30"/>
          <w:szCs w:val="30"/>
          <w:lang w:val="en-US"/>
        </w:rPr>
        <w:t>.</w:t>
      </w:r>
    </w:p>
    <w:p w14:paraId="1AB748CE" w14:textId="6AE67593" w:rsidR="00431D46" w:rsidRPr="009B65B9" w:rsidRDefault="00431D46" w:rsidP="00431D46">
      <w:pPr>
        <w:rPr>
          <w:rFonts w:ascii="Cambria" w:hAnsi="Cambria"/>
          <w:color w:val="000000" w:themeColor="text1"/>
          <w:sz w:val="30"/>
          <w:szCs w:val="30"/>
          <w:lang w:val="en-US"/>
        </w:rPr>
      </w:pPr>
    </w:p>
    <w:p w14:paraId="0470B452" w14:textId="77777777" w:rsidR="00431D46" w:rsidRPr="009B65B9" w:rsidRDefault="00431D46" w:rsidP="00431D46">
      <w:pPr>
        <w:rPr>
          <w:rFonts w:ascii="Cambria" w:hAnsi="Cambria" w:cs="Calibri"/>
          <w:sz w:val="30"/>
          <w:szCs w:val="30"/>
          <w:lang w:val="en-US"/>
        </w:rPr>
      </w:pPr>
      <w:r w:rsidRPr="009B65B9">
        <w:rPr>
          <w:rFonts w:ascii="Cambria" w:hAnsi="Cambria"/>
          <w:sz w:val="30"/>
          <w:szCs w:val="30"/>
          <w:lang w:val="en-US"/>
        </w:rPr>
        <w:t>Informa’s Global Exhibitions Division organises</w:t>
      </w:r>
      <w:r w:rsidRPr="009B65B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9B65B9">
        <w:rPr>
          <w:rFonts w:ascii="Cambria" w:hAnsi="Cambria"/>
          <w:sz w:val="30"/>
          <w:szCs w:val="30"/>
          <w:lang w:val="en-US"/>
        </w:rPr>
        <w:t>transaction-oriented exhibitions and</w:t>
      </w:r>
      <w:r w:rsidRPr="009B65B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9B65B9">
        <w:rPr>
          <w:rFonts w:ascii="Cambria" w:hAnsi="Cambria"/>
          <w:sz w:val="30"/>
          <w:szCs w:val="30"/>
          <w:lang w:val="en-US"/>
        </w:rPr>
        <w:t>trade shows, which provide buyers and</w:t>
      </w:r>
      <w:r w:rsidRPr="009B65B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9B65B9">
        <w:rPr>
          <w:rFonts w:ascii="Cambria" w:hAnsi="Cambria"/>
          <w:sz w:val="30"/>
          <w:szCs w:val="30"/>
          <w:lang w:val="en-US"/>
        </w:rPr>
        <w:t>sellers across different industries and</w:t>
      </w:r>
      <w:r w:rsidRPr="009B65B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9B65B9">
        <w:rPr>
          <w:rFonts w:ascii="Cambria" w:hAnsi="Cambria"/>
          <w:sz w:val="30"/>
          <w:szCs w:val="30"/>
          <w:lang w:val="en-US"/>
        </w:rPr>
        <w:t>communities with a powerful platform</w:t>
      </w:r>
      <w:r w:rsidRPr="009B65B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9B65B9">
        <w:rPr>
          <w:rFonts w:ascii="Cambria" w:hAnsi="Cambria"/>
          <w:sz w:val="30"/>
          <w:szCs w:val="30"/>
          <w:lang w:val="en-US"/>
        </w:rPr>
        <w:t>to meet face-to-face, build relationships</w:t>
      </w:r>
      <w:r w:rsidRPr="009B65B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9B65B9">
        <w:rPr>
          <w:rFonts w:ascii="Cambria" w:hAnsi="Cambria"/>
          <w:sz w:val="30"/>
          <w:szCs w:val="30"/>
          <w:lang w:val="en-US"/>
        </w:rPr>
        <w:t>and conduct business. Informa has a</w:t>
      </w:r>
      <w:r w:rsidRPr="009B65B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9B65B9">
        <w:rPr>
          <w:rFonts w:ascii="Cambria" w:hAnsi="Cambria"/>
          <w:sz w:val="30"/>
          <w:szCs w:val="30"/>
          <w:lang w:val="en-US"/>
        </w:rPr>
        <w:t>portfolio of more than 150 exhibitions, serving</w:t>
      </w:r>
      <w:r w:rsidRPr="009B65B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9B65B9">
        <w:rPr>
          <w:rFonts w:ascii="Cambria" w:hAnsi="Cambria"/>
          <w:sz w:val="30"/>
          <w:szCs w:val="30"/>
          <w:lang w:val="en-US"/>
        </w:rPr>
        <w:t>a number of core verticals, including</w:t>
      </w:r>
      <w:r w:rsidRPr="009B65B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9B65B9">
        <w:rPr>
          <w:rFonts w:ascii="Cambria" w:hAnsi="Cambria"/>
          <w:sz w:val="30"/>
          <w:szCs w:val="30"/>
          <w:lang w:val="en-US"/>
        </w:rPr>
        <w:t>Health &amp; Nutrition, Beauty, Property &amp;</w:t>
      </w:r>
      <w:r w:rsidRPr="009B65B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9B65B9">
        <w:rPr>
          <w:rFonts w:ascii="Cambria" w:hAnsi="Cambria"/>
          <w:sz w:val="30"/>
          <w:szCs w:val="30"/>
          <w:lang w:val="en-US"/>
        </w:rPr>
        <w:t>Construction and Pop Culture.</w:t>
      </w:r>
    </w:p>
    <w:p w14:paraId="72C26B14" w14:textId="77777777" w:rsidR="00431D46" w:rsidRPr="009B65B9" w:rsidRDefault="00431D46" w:rsidP="00431D46">
      <w:pPr>
        <w:rPr>
          <w:rFonts w:ascii="Cambria" w:hAnsi="Cambria"/>
          <w:color w:val="000000" w:themeColor="text1"/>
          <w:sz w:val="30"/>
          <w:szCs w:val="30"/>
        </w:rPr>
      </w:pPr>
    </w:p>
    <w:p w14:paraId="71EDBBFB" w14:textId="5EFAE7AD" w:rsidR="001F0C28" w:rsidRPr="009B65B9" w:rsidRDefault="001F0C28" w:rsidP="00431D46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color w:val="000000" w:themeColor="text1"/>
          <w:sz w:val="30"/>
          <w:szCs w:val="30"/>
        </w:rPr>
      </w:pPr>
    </w:p>
    <w:sectPr w:rsidR="001F0C28" w:rsidRPr="009B65B9" w:rsidSect="00B049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3BC3D" w14:textId="77777777" w:rsidR="00FF061B" w:rsidRDefault="00FF061B" w:rsidP="0034541C">
      <w:r>
        <w:separator/>
      </w:r>
    </w:p>
  </w:endnote>
  <w:endnote w:type="continuationSeparator" w:id="0">
    <w:p w14:paraId="3EA61A45" w14:textId="77777777" w:rsidR="00FF061B" w:rsidRDefault="00FF061B" w:rsidP="0034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48EBA" w14:textId="77777777" w:rsidR="00FF061B" w:rsidRDefault="00FF061B" w:rsidP="0034541C">
      <w:r>
        <w:separator/>
      </w:r>
    </w:p>
  </w:footnote>
  <w:footnote w:type="continuationSeparator" w:id="0">
    <w:p w14:paraId="579A96FD" w14:textId="77777777" w:rsidR="00FF061B" w:rsidRDefault="00FF061B" w:rsidP="0034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0262"/>
    <w:multiLevelType w:val="hybridMultilevel"/>
    <w:tmpl w:val="698C7F28"/>
    <w:lvl w:ilvl="0" w:tplc="B3625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A7DBC"/>
    <w:multiLevelType w:val="hybridMultilevel"/>
    <w:tmpl w:val="EA72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37EC2"/>
    <w:multiLevelType w:val="hybridMultilevel"/>
    <w:tmpl w:val="5074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42ABE"/>
    <w:multiLevelType w:val="hybridMultilevel"/>
    <w:tmpl w:val="1174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E34EF"/>
    <w:multiLevelType w:val="hybridMultilevel"/>
    <w:tmpl w:val="D480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80BDD"/>
    <w:multiLevelType w:val="hybridMultilevel"/>
    <w:tmpl w:val="BF98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1"/>
    <w:rsid w:val="00020E38"/>
    <w:rsid w:val="00021F5E"/>
    <w:rsid w:val="00033904"/>
    <w:rsid w:val="00036796"/>
    <w:rsid w:val="0004509D"/>
    <w:rsid w:val="0004794F"/>
    <w:rsid w:val="000757EC"/>
    <w:rsid w:val="000C0DC4"/>
    <w:rsid w:val="000C74CE"/>
    <w:rsid w:val="000E2AF1"/>
    <w:rsid w:val="0011425C"/>
    <w:rsid w:val="0012173A"/>
    <w:rsid w:val="001417F9"/>
    <w:rsid w:val="00164DF6"/>
    <w:rsid w:val="00181C19"/>
    <w:rsid w:val="001C6258"/>
    <w:rsid w:val="001D1CBF"/>
    <w:rsid w:val="001D448E"/>
    <w:rsid w:val="001F0C28"/>
    <w:rsid w:val="001F3083"/>
    <w:rsid w:val="001F3995"/>
    <w:rsid w:val="00201A31"/>
    <w:rsid w:val="00202D15"/>
    <w:rsid w:val="00212F94"/>
    <w:rsid w:val="00241486"/>
    <w:rsid w:val="00261929"/>
    <w:rsid w:val="00262AE1"/>
    <w:rsid w:val="00296019"/>
    <w:rsid w:val="002A7882"/>
    <w:rsid w:val="002D23F8"/>
    <w:rsid w:val="002D38C3"/>
    <w:rsid w:val="002E3DF0"/>
    <w:rsid w:val="002F0C8A"/>
    <w:rsid w:val="00300880"/>
    <w:rsid w:val="00300EA1"/>
    <w:rsid w:val="003263D7"/>
    <w:rsid w:val="00330DDE"/>
    <w:rsid w:val="00340C9E"/>
    <w:rsid w:val="0034541C"/>
    <w:rsid w:val="00380729"/>
    <w:rsid w:val="0039524E"/>
    <w:rsid w:val="003A3178"/>
    <w:rsid w:val="003B6569"/>
    <w:rsid w:val="003D327E"/>
    <w:rsid w:val="003D6156"/>
    <w:rsid w:val="003E1D0A"/>
    <w:rsid w:val="003F4158"/>
    <w:rsid w:val="003F7C44"/>
    <w:rsid w:val="00414FA5"/>
    <w:rsid w:val="00415BFC"/>
    <w:rsid w:val="004211C1"/>
    <w:rsid w:val="004246CC"/>
    <w:rsid w:val="00431D46"/>
    <w:rsid w:val="00435544"/>
    <w:rsid w:val="004523BB"/>
    <w:rsid w:val="0046629E"/>
    <w:rsid w:val="00470E52"/>
    <w:rsid w:val="00477B71"/>
    <w:rsid w:val="0048378A"/>
    <w:rsid w:val="004B4AF4"/>
    <w:rsid w:val="004C28B9"/>
    <w:rsid w:val="004D6261"/>
    <w:rsid w:val="004F63DB"/>
    <w:rsid w:val="0050510D"/>
    <w:rsid w:val="00511BC7"/>
    <w:rsid w:val="00514BED"/>
    <w:rsid w:val="005207D1"/>
    <w:rsid w:val="0059555F"/>
    <w:rsid w:val="005D119E"/>
    <w:rsid w:val="005E2D78"/>
    <w:rsid w:val="005E5463"/>
    <w:rsid w:val="005F5CEE"/>
    <w:rsid w:val="00626BF8"/>
    <w:rsid w:val="006600FF"/>
    <w:rsid w:val="006810E2"/>
    <w:rsid w:val="00684DDE"/>
    <w:rsid w:val="006C1126"/>
    <w:rsid w:val="006D7129"/>
    <w:rsid w:val="006E62F9"/>
    <w:rsid w:val="006F591B"/>
    <w:rsid w:val="0071315F"/>
    <w:rsid w:val="00732F03"/>
    <w:rsid w:val="00734400"/>
    <w:rsid w:val="00754954"/>
    <w:rsid w:val="00757C95"/>
    <w:rsid w:val="00771D6A"/>
    <w:rsid w:val="00794C13"/>
    <w:rsid w:val="007A522E"/>
    <w:rsid w:val="007C378D"/>
    <w:rsid w:val="007D3864"/>
    <w:rsid w:val="007E74C6"/>
    <w:rsid w:val="007E7693"/>
    <w:rsid w:val="00803E34"/>
    <w:rsid w:val="00821557"/>
    <w:rsid w:val="008400E1"/>
    <w:rsid w:val="008557C4"/>
    <w:rsid w:val="008578BC"/>
    <w:rsid w:val="00864ED4"/>
    <w:rsid w:val="0088521A"/>
    <w:rsid w:val="0089690F"/>
    <w:rsid w:val="008B6E4E"/>
    <w:rsid w:val="008C0BA8"/>
    <w:rsid w:val="008C1B89"/>
    <w:rsid w:val="008C71FA"/>
    <w:rsid w:val="008C7746"/>
    <w:rsid w:val="008D4391"/>
    <w:rsid w:val="009176CC"/>
    <w:rsid w:val="00920AF8"/>
    <w:rsid w:val="0092539A"/>
    <w:rsid w:val="00932C25"/>
    <w:rsid w:val="00951D57"/>
    <w:rsid w:val="00960297"/>
    <w:rsid w:val="00975C0B"/>
    <w:rsid w:val="0097665F"/>
    <w:rsid w:val="0098768B"/>
    <w:rsid w:val="009A3323"/>
    <w:rsid w:val="009A37CF"/>
    <w:rsid w:val="009A3A14"/>
    <w:rsid w:val="009B2FA6"/>
    <w:rsid w:val="009B65B9"/>
    <w:rsid w:val="009C282D"/>
    <w:rsid w:val="009D39AF"/>
    <w:rsid w:val="009F1BD0"/>
    <w:rsid w:val="00A0667F"/>
    <w:rsid w:val="00A17418"/>
    <w:rsid w:val="00A20313"/>
    <w:rsid w:val="00A659F5"/>
    <w:rsid w:val="00A72982"/>
    <w:rsid w:val="00A764A1"/>
    <w:rsid w:val="00A830B9"/>
    <w:rsid w:val="00A8619B"/>
    <w:rsid w:val="00AA4ECD"/>
    <w:rsid w:val="00AE32A4"/>
    <w:rsid w:val="00AF21F1"/>
    <w:rsid w:val="00B049D8"/>
    <w:rsid w:val="00B3525C"/>
    <w:rsid w:val="00B3770B"/>
    <w:rsid w:val="00B41946"/>
    <w:rsid w:val="00B42876"/>
    <w:rsid w:val="00B432C9"/>
    <w:rsid w:val="00B47D00"/>
    <w:rsid w:val="00B544CA"/>
    <w:rsid w:val="00B66A52"/>
    <w:rsid w:val="00B84AD2"/>
    <w:rsid w:val="00B86787"/>
    <w:rsid w:val="00B91031"/>
    <w:rsid w:val="00BC7D7C"/>
    <w:rsid w:val="00BD1D3E"/>
    <w:rsid w:val="00BD274F"/>
    <w:rsid w:val="00BE1BF6"/>
    <w:rsid w:val="00BE2EF2"/>
    <w:rsid w:val="00BE305B"/>
    <w:rsid w:val="00C04A0D"/>
    <w:rsid w:val="00C10781"/>
    <w:rsid w:val="00C111C1"/>
    <w:rsid w:val="00C118AC"/>
    <w:rsid w:val="00C633C2"/>
    <w:rsid w:val="00C642DD"/>
    <w:rsid w:val="00C65158"/>
    <w:rsid w:val="00C65956"/>
    <w:rsid w:val="00C71B2C"/>
    <w:rsid w:val="00C800A9"/>
    <w:rsid w:val="00C93ECE"/>
    <w:rsid w:val="00CA40C5"/>
    <w:rsid w:val="00CB5562"/>
    <w:rsid w:val="00CB5AC3"/>
    <w:rsid w:val="00CD3F5B"/>
    <w:rsid w:val="00CE51E4"/>
    <w:rsid w:val="00CE6D27"/>
    <w:rsid w:val="00D04194"/>
    <w:rsid w:val="00D261BD"/>
    <w:rsid w:val="00D60A77"/>
    <w:rsid w:val="00D60DDA"/>
    <w:rsid w:val="00D643D9"/>
    <w:rsid w:val="00D72191"/>
    <w:rsid w:val="00D96A35"/>
    <w:rsid w:val="00DA5FAE"/>
    <w:rsid w:val="00DC5143"/>
    <w:rsid w:val="00E23D31"/>
    <w:rsid w:val="00E37848"/>
    <w:rsid w:val="00E42A61"/>
    <w:rsid w:val="00E66E2A"/>
    <w:rsid w:val="00EA0013"/>
    <w:rsid w:val="00EB1918"/>
    <w:rsid w:val="00EC026E"/>
    <w:rsid w:val="00EC05CB"/>
    <w:rsid w:val="00EC5AB8"/>
    <w:rsid w:val="00ED0820"/>
    <w:rsid w:val="00EE04F0"/>
    <w:rsid w:val="00EE05AC"/>
    <w:rsid w:val="00EE6148"/>
    <w:rsid w:val="00F10A5A"/>
    <w:rsid w:val="00F10B3B"/>
    <w:rsid w:val="00F11B37"/>
    <w:rsid w:val="00F171FC"/>
    <w:rsid w:val="00F20A1D"/>
    <w:rsid w:val="00F21BBE"/>
    <w:rsid w:val="00F244F5"/>
    <w:rsid w:val="00F5119B"/>
    <w:rsid w:val="00F5279B"/>
    <w:rsid w:val="00F53FFC"/>
    <w:rsid w:val="00F63024"/>
    <w:rsid w:val="00F66E14"/>
    <w:rsid w:val="00F74137"/>
    <w:rsid w:val="00F803B2"/>
    <w:rsid w:val="00F812CF"/>
    <w:rsid w:val="00F87D25"/>
    <w:rsid w:val="00FA0A4D"/>
    <w:rsid w:val="00FA6005"/>
    <w:rsid w:val="00FC240D"/>
    <w:rsid w:val="00FC3483"/>
    <w:rsid w:val="00FD3099"/>
    <w:rsid w:val="00FD76B8"/>
    <w:rsid w:val="00FE07C6"/>
    <w:rsid w:val="00FE438B"/>
    <w:rsid w:val="00FE596E"/>
    <w:rsid w:val="00FF061B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6B9E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E596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4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5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41C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24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240D"/>
  </w:style>
  <w:style w:type="character" w:customStyle="1" w:styleId="CommentTextChar">
    <w:name w:val="Comment Text Char"/>
    <w:basedOn w:val="DefaultParagraphFont"/>
    <w:link w:val="CommentText"/>
    <w:uiPriority w:val="99"/>
    <w:rsid w:val="00FC240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0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0D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C026E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656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6569"/>
    <w:rPr>
      <w:rFonts w:ascii="Times New Roman" w:hAnsi="Times New Roman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2F0C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76C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96E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vitafoods.eu.com/en/visiting/visitor-attractions/sports-nutrition-zone.html" TargetMode="External"/><Relationship Id="rId9" Type="http://schemas.openxmlformats.org/officeDocument/2006/relationships/hyperlink" Target="http://storefronts.supplysideshow.com/" TargetMode="External"/><Relationship Id="rId10" Type="http://schemas.openxmlformats.org/officeDocument/2006/relationships/hyperlink" Target="http://www.informaglobalheal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2017-03-06T08:36:00Z</cp:lastPrinted>
  <dcterms:created xsi:type="dcterms:W3CDTF">2017-03-14T09:33:00Z</dcterms:created>
  <dcterms:modified xsi:type="dcterms:W3CDTF">2017-03-14T09:33:00Z</dcterms:modified>
</cp:coreProperties>
</file>