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876BA4" w:rsidRPr="005B5043" w14:paraId="04B71A05" w14:textId="77777777" w:rsidTr="00C45A67">
        <w:trPr>
          <w:trHeight w:val="986"/>
        </w:trPr>
        <w:tc>
          <w:tcPr>
            <w:tcW w:w="5074" w:type="dxa"/>
          </w:tcPr>
          <w:p w14:paraId="5BA6CF96" w14:textId="77777777" w:rsidR="00876BA4" w:rsidRPr="005B5043" w:rsidRDefault="00876BA4" w:rsidP="00C45A67">
            <w:pPr>
              <w:tabs>
                <w:tab w:val="left" w:pos="913"/>
              </w:tabs>
              <w:rPr>
                <w:rFonts w:ascii="Arial" w:eastAsia="Times New Roman" w:hAnsi="Arial" w:cs="Arial"/>
                <w:highlight w:val="red"/>
              </w:rPr>
            </w:pPr>
            <w:r w:rsidRPr="005B5043">
              <w:rPr>
                <w:rFonts w:ascii="Arial" w:eastAsia="Arial Unicode MS" w:hAnsi="Arial" w:cs="Arial"/>
                <w:noProof/>
                <w:highlight w:val="red"/>
                <w:lang w:eastAsia="en-GB"/>
              </w:rPr>
              <w:drawing>
                <wp:inline distT="0" distB="0" distL="0" distR="0" wp14:anchorId="4F7DA526" wp14:editId="223586B0">
                  <wp:extent cx="1394460" cy="824772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43" cy="82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29769CFD" w14:textId="07CCF91A" w:rsidR="00876BA4" w:rsidRPr="00E06976" w:rsidRDefault="00876BA4" w:rsidP="003F2F48">
            <w:pPr>
              <w:jc w:val="center"/>
              <w:rPr>
                <w:rFonts w:ascii="Arial" w:hAnsi="Arial" w:cs="Arial"/>
                <w:b/>
                <w:color w:val="FF0000"/>
                <w:highlight w:val="red"/>
              </w:rPr>
            </w:pPr>
          </w:p>
        </w:tc>
        <w:tc>
          <w:tcPr>
            <w:tcW w:w="2377" w:type="dxa"/>
          </w:tcPr>
          <w:p w14:paraId="4671542D" w14:textId="77777777" w:rsidR="00876BA4" w:rsidRPr="005B5043" w:rsidRDefault="00876BA4" w:rsidP="00C45A67">
            <w:pPr>
              <w:rPr>
                <w:rFonts w:ascii="Arial" w:hAnsi="Arial" w:cs="Arial"/>
                <w:b/>
                <w:color w:val="FF0000"/>
                <w:highlight w:val="red"/>
              </w:rPr>
            </w:pPr>
          </w:p>
        </w:tc>
      </w:tr>
      <w:tr w:rsidR="00876BA4" w:rsidRPr="005B5043" w14:paraId="03F13C30" w14:textId="77777777" w:rsidTr="00C45A67">
        <w:trPr>
          <w:trHeight w:hRule="exact" w:val="160"/>
        </w:trPr>
        <w:tc>
          <w:tcPr>
            <w:tcW w:w="5074" w:type="dxa"/>
          </w:tcPr>
          <w:p w14:paraId="7F6DD2DB" w14:textId="77777777" w:rsidR="00876BA4" w:rsidRPr="005B5043" w:rsidRDefault="00876BA4" w:rsidP="00C45A67">
            <w:pPr>
              <w:rPr>
                <w:rFonts w:ascii="Arial" w:hAnsi="Arial" w:cs="Arial"/>
                <w:highlight w:val="red"/>
              </w:rPr>
            </w:pPr>
          </w:p>
        </w:tc>
        <w:tc>
          <w:tcPr>
            <w:tcW w:w="2642" w:type="dxa"/>
          </w:tcPr>
          <w:p w14:paraId="333F1FBC" w14:textId="77777777" w:rsidR="00876BA4" w:rsidRPr="005B5043" w:rsidRDefault="00876BA4" w:rsidP="00C45A67">
            <w:pPr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2377" w:type="dxa"/>
          </w:tcPr>
          <w:p w14:paraId="17B132A9" w14:textId="77777777" w:rsidR="00876BA4" w:rsidRPr="005B5043" w:rsidRDefault="00876BA4" w:rsidP="00C45A67">
            <w:pPr>
              <w:rPr>
                <w:rFonts w:ascii="Arial" w:hAnsi="Arial" w:cs="Arial"/>
                <w:b/>
                <w:highlight w:val="red"/>
              </w:rPr>
            </w:pPr>
          </w:p>
        </w:tc>
      </w:tr>
    </w:tbl>
    <w:p w14:paraId="589EB927" w14:textId="77777777" w:rsidR="00876BA4" w:rsidRPr="005B5043" w:rsidRDefault="00876BA4" w:rsidP="00876BA4">
      <w:pPr>
        <w:rPr>
          <w:rFonts w:ascii="Arial" w:hAnsi="Arial" w:cs="Arial"/>
          <w:color w:val="FFFFFF"/>
          <w:highlight w:val="red"/>
        </w:rPr>
      </w:pPr>
      <w:r w:rsidRPr="005B5043">
        <w:rPr>
          <w:rFonts w:ascii="Arial" w:hAnsi="Arial" w:cs="Arial"/>
          <w:noProof/>
          <w:highlight w:val="red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7CC648" wp14:editId="1FCFA8C7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3970" r="1841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07CDEF" w14:textId="77777777" w:rsidR="00876BA4" w:rsidRDefault="00876BA4" w:rsidP="00876BA4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 w:rsidRPr="00E67228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Release</w:t>
                            </w:r>
                          </w:p>
                          <w:p w14:paraId="577435A5" w14:textId="77777777" w:rsidR="00876BA4" w:rsidRDefault="00876BA4" w:rsidP="00876BA4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F2CC6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876BA4" w:rsidRDefault="00876BA4" w:rsidP="00876BA4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 w:rsidRPr="00E67228"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Release</w:t>
                      </w:r>
                    </w:p>
                    <w:p w:rsidR="00876BA4" w:rsidRDefault="00876BA4" w:rsidP="00876BA4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320474" w14:textId="77777777" w:rsidR="00876BA4" w:rsidRPr="005B5043" w:rsidRDefault="00876BA4" w:rsidP="00876BA4">
      <w:pPr>
        <w:rPr>
          <w:rFonts w:ascii="Arial" w:eastAsia="Times New Roman" w:hAnsi="Arial" w:cs="Arial"/>
          <w:b/>
          <w:highlight w:val="red"/>
        </w:rPr>
      </w:pPr>
    </w:p>
    <w:p w14:paraId="05E1B694" w14:textId="77777777" w:rsidR="00876BA4" w:rsidRPr="005B5043" w:rsidRDefault="00876BA4" w:rsidP="00876BA4">
      <w:pPr>
        <w:suppressAutoHyphens/>
        <w:rPr>
          <w:rFonts w:ascii="Arial" w:eastAsia="Times New Roman" w:hAnsi="Arial" w:cs="Arial"/>
          <w:spacing w:val="-3"/>
          <w:highlight w:val="red"/>
        </w:r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746"/>
        <w:gridCol w:w="1523"/>
        <w:gridCol w:w="711"/>
      </w:tblGrid>
      <w:tr w:rsidR="00876BA4" w:rsidRPr="005B5043" w14:paraId="47493424" w14:textId="77777777" w:rsidTr="00C45A67">
        <w:trPr>
          <w:cantSplit/>
        </w:trPr>
        <w:tc>
          <w:tcPr>
            <w:tcW w:w="1021" w:type="dxa"/>
          </w:tcPr>
          <w:p w14:paraId="3F25F67A" w14:textId="77777777" w:rsidR="00876BA4" w:rsidRPr="005B5043" w:rsidRDefault="00876BA4" w:rsidP="00C45A67">
            <w:pPr>
              <w:spacing w:before="60"/>
              <w:rPr>
                <w:rFonts w:ascii="Arial" w:hAnsi="Arial" w:cs="Arial"/>
                <w:highlight w:val="red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2E6D6E54" w14:textId="77777777" w:rsidR="00876BA4" w:rsidRPr="005B5043" w:rsidRDefault="00876BA4" w:rsidP="00C45A67">
            <w:pPr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ascii="Arial" w:eastAsia="Times New Roman" w:hAnsi="Arial" w:cs="Arial"/>
              </w:rPr>
            </w:pPr>
            <w:r w:rsidRPr="005B5043">
              <w:rPr>
                <w:rFonts w:ascii="Arial" w:eastAsia="Times New Roman" w:hAnsi="Arial" w:cs="Arial"/>
              </w:rPr>
              <w:t xml:space="preserve">For the attention of </w:t>
            </w:r>
            <w:bookmarkStart w:id="0" w:name="Text3"/>
            <w:r w:rsidRPr="005B5043">
              <w:rPr>
                <w:rFonts w:ascii="Arial" w:eastAsia="Times New Roman" w:hAnsi="Arial" w:cs="Arial"/>
                <w:b/>
                <w:noProof/>
              </w:rPr>
              <w:t>News Desks</w:t>
            </w:r>
            <w:bookmarkEnd w:id="0"/>
            <w:r w:rsidRPr="005B5043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14:paraId="372E5559" w14:textId="77777777" w:rsidR="00876BA4" w:rsidRPr="005B5043" w:rsidRDefault="00876BA4" w:rsidP="003876A3">
            <w:pPr>
              <w:overflowPunct w:val="0"/>
              <w:autoSpaceDE w:val="0"/>
              <w:autoSpaceDN w:val="0"/>
              <w:adjustRightInd w:val="0"/>
              <w:spacing w:before="60" w:after="120"/>
              <w:jc w:val="right"/>
              <w:textAlignment w:val="baseline"/>
              <w:rPr>
                <w:rFonts w:ascii="Arial" w:eastAsia="Times New Roman" w:hAnsi="Arial" w:cs="Arial"/>
              </w:rPr>
            </w:pPr>
            <w:r w:rsidRPr="005B5043">
              <w:rPr>
                <w:rFonts w:ascii="Arial" w:eastAsia="Times New Roman" w:hAnsi="Arial" w:cs="Arial"/>
              </w:rPr>
              <w:t xml:space="preserve">No. of pages: </w:t>
            </w:r>
            <w:r w:rsidR="0057523F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711" w:type="dxa"/>
          </w:tcPr>
          <w:p w14:paraId="078D0017" w14:textId="77777777" w:rsidR="00876BA4" w:rsidRPr="005B5043" w:rsidRDefault="00876BA4" w:rsidP="00C45A67">
            <w:pPr>
              <w:spacing w:before="60"/>
              <w:rPr>
                <w:rFonts w:ascii="Arial" w:hAnsi="Arial" w:cs="Arial"/>
                <w:highlight w:val="red"/>
              </w:rPr>
            </w:pPr>
          </w:p>
        </w:tc>
      </w:tr>
      <w:tr w:rsidR="00876BA4" w:rsidRPr="00BB7889" w14:paraId="52D3239B" w14:textId="77777777" w:rsidTr="00C45A67">
        <w:trPr>
          <w:cantSplit/>
        </w:trPr>
        <w:tc>
          <w:tcPr>
            <w:tcW w:w="1021" w:type="dxa"/>
          </w:tcPr>
          <w:p w14:paraId="5E623559" w14:textId="77777777" w:rsidR="00876BA4" w:rsidRPr="00BB7889" w:rsidRDefault="00876BA4" w:rsidP="00C45A67">
            <w:pPr>
              <w:spacing w:before="120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78A5833A" w14:textId="77777777" w:rsidR="00876BA4" w:rsidRPr="00BB7889" w:rsidRDefault="00876BA4" w:rsidP="00C45A67">
            <w:pPr>
              <w:rPr>
                <w:rFonts w:ascii="Arial" w:hAnsi="Arial" w:cs="Arial"/>
                <w:sz w:val="18"/>
                <w:szCs w:val="18"/>
              </w:rPr>
            </w:pPr>
            <w:r w:rsidRPr="00BB7889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00A8377E" w14:textId="20EF9A21" w:rsidR="00876BA4" w:rsidRPr="00F70EFA" w:rsidRDefault="00B746B2" w:rsidP="008F21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</w:rPr>
            </w:pPr>
            <w:r w:rsidRPr="00B74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F2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B74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January 2019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vAlign w:val="center"/>
          </w:tcPr>
          <w:p w14:paraId="50659425" w14:textId="77777777" w:rsidR="00876BA4" w:rsidRPr="00BB7889" w:rsidRDefault="00876BA4" w:rsidP="00C45A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889">
              <w:rPr>
                <w:rFonts w:ascii="Arial" w:hAnsi="Arial" w:cs="Arial"/>
                <w:sz w:val="18"/>
                <w:szCs w:val="18"/>
              </w:rPr>
              <w:t>Ref: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14:paraId="63F13232" w14:textId="132D7F4D" w:rsidR="00876BA4" w:rsidRPr="00BB7889" w:rsidRDefault="00876BA4" w:rsidP="00322F7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57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788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 xml:space="preserve">SE </w:t>
            </w:r>
            <w:r w:rsidR="00322F73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t>01 19</w:t>
            </w:r>
          </w:p>
        </w:tc>
        <w:tc>
          <w:tcPr>
            <w:tcW w:w="711" w:type="dxa"/>
          </w:tcPr>
          <w:p w14:paraId="371F9CE7" w14:textId="77777777" w:rsidR="00876BA4" w:rsidRPr="00BB7889" w:rsidRDefault="00876BA4" w:rsidP="00C45A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color w:val="FF0000"/>
                <w:sz w:val="18"/>
                <w:szCs w:val="18"/>
                <w:highlight w:val="red"/>
              </w:rPr>
            </w:pPr>
          </w:p>
        </w:tc>
      </w:tr>
    </w:tbl>
    <w:p w14:paraId="0909DB69" w14:textId="77777777" w:rsidR="00876BA4" w:rsidRPr="005B5043" w:rsidRDefault="00876BA4" w:rsidP="00876BA4">
      <w:pPr>
        <w:spacing w:line="360" w:lineRule="auto"/>
        <w:rPr>
          <w:rFonts w:ascii="Arial" w:eastAsia="Times New Roman" w:hAnsi="Arial" w:cs="Arial"/>
          <w:b/>
          <w:bCs/>
        </w:rPr>
      </w:pPr>
    </w:p>
    <w:p w14:paraId="5A330669" w14:textId="7CDA52E4" w:rsidR="00001511" w:rsidRPr="00B746B2" w:rsidRDefault="003724A4" w:rsidP="00B746B2">
      <w:pPr>
        <w:tabs>
          <w:tab w:val="left" w:pos="9180"/>
        </w:tabs>
        <w:spacing w:line="360" w:lineRule="auto"/>
        <w:jc w:val="center"/>
        <w:rPr>
          <w:rFonts w:ascii="Arial" w:eastAsia="Times New Roman" w:hAnsi="Arial" w:cs="Arial"/>
          <w:b/>
          <w:bCs/>
          <w:sz w:val="36"/>
        </w:rPr>
      </w:pPr>
      <w:r>
        <w:rPr>
          <w:rFonts w:ascii="Arial" w:eastAsia="Times New Roman" w:hAnsi="Arial" w:cs="Arial"/>
          <w:b/>
          <w:bCs/>
          <w:sz w:val="36"/>
        </w:rPr>
        <w:t>Cigarettes c</w:t>
      </w:r>
      <w:r w:rsidR="00B746B2">
        <w:rPr>
          <w:rFonts w:ascii="Arial" w:eastAsia="Times New Roman" w:hAnsi="Arial" w:cs="Arial"/>
          <w:b/>
          <w:bCs/>
          <w:sz w:val="36"/>
        </w:rPr>
        <w:t xml:space="preserve">aught in the wash </w:t>
      </w:r>
      <w:r>
        <w:rPr>
          <w:rFonts w:ascii="Arial" w:eastAsia="Times New Roman" w:hAnsi="Arial" w:cs="Arial"/>
          <w:b/>
          <w:bCs/>
          <w:sz w:val="36"/>
        </w:rPr>
        <w:t>land lorry</w:t>
      </w:r>
      <w:r w:rsidR="00B746B2">
        <w:rPr>
          <w:rFonts w:ascii="Arial" w:eastAsia="Times New Roman" w:hAnsi="Arial" w:cs="Arial"/>
          <w:b/>
          <w:bCs/>
          <w:sz w:val="36"/>
        </w:rPr>
        <w:t xml:space="preserve"> </w:t>
      </w:r>
      <w:r>
        <w:rPr>
          <w:rFonts w:ascii="Arial" w:eastAsia="Times New Roman" w:hAnsi="Arial" w:cs="Arial"/>
          <w:b/>
          <w:bCs/>
          <w:sz w:val="36"/>
        </w:rPr>
        <w:t xml:space="preserve">driver </w:t>
      </w:r>
      <w:r w:rsidR="00EE06B6">
        <w:rPr>
          <w:rFonts w:ascii="Arial" w:eastAsia="Times New Roman" w:hAnsi="Arial" w:cs="Arial"/>
          <w:b/>
          <w:bCs/>
          <w:sz w:val="36"/>
        </w:rPr>
        <w:t xml:space="preserve">in </w:t>
      </w:r>
      <w:r w:rsidR="00EE06B6" w:rsidRPr="00B746B2">
        <w:rPr>
          <w:rFonts w:ascii="Arial" w:eastAsia="Times New Roman" w:hAnsi="Arial" w:cs="Arial"/>
          <w:b/>
          <w:bCs/>
          <w:sz w:val="36"/>
        </w:rPr>
        <w:t>jail</w:t>
      </w:r>
    </w:p>
    <w:p w14:paraId="7289DDFB" w14:textId="77777777" w:rsidR="00AB48C3" w:rsidRDefault="00AB48C3" w:rsidP="00001511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14:paraId="2E15DF58" w14:textId="2E6C53C1" w:rsidR="001D4ABE" w:rsidRPr="0008763E" w:rsidRDefault="005F639B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  <w:r w:rsidRPr="0008763E">
        <w:rPr>
          <w:rFonts w:ascii="Arial" w:hAnsi="Arial" w:cs="Arial"/>
        </w:rPr>
        <w:t xml:space="preserve">A lorry driver who </w:t>
      </w:r>
      <w:r w:rsidR="00D7783B" w:rsidRPr="0008763E">
        <w:rPr>
          <w:rFonts w:ascii="Arial" w:hAnsi="Arial" w:cs="Arial"/>
        </w:rPr>
        <w:t>smuggled</w:t>
      </w:r>
      <w:r w:rsidRPr="0008763E">
        <w:rPr>
          <w:rFonts w:ascii="Arial" w:hAnsi="Arial" w:cs="Arial"/>
        </w:rPr>
        <w:t xml:space="preserve"> </w:t>
      </w:r>
      <w:r w:rsidR="00D7783B" w:rsidRPr="0008763E">
        <w:rPr>
          <w:rFonts w:ascii="Arial" w:hAnsi="Arial" w:cs="Arial"/>
        </w:rPr>
        <w:t>five</w:t>
      </w:r>
      <w:r w:rsidRPr="0008763E">
        <w:rPr>
          <w:rFonts w:ascii="Arial" w:hAnsi="Arial" w:cs="Arial"/>
        </w:rPr>
        <w:t xml:space="preserve"> million cigarettes in</w:t>
      </w:r>
      <w:r w:rsidR="006356BB">
        <w:rPr>
          <w:rFonts w:ascii="Arial" w:hAnsi="Arial" w:cs="Arial"/>
        </w:rPr>
        <w:t>side</w:t>
      </w:r>
      <w:r w:rsidRPr="0008763E">
        <w:rPr>
          <w:rFonts w:ascii="Arial" w:hAnsi="Arial" w:cs="Arial"/>
        </w:rPr>
        <w:t xml:space="preserve"> washing machines </w:t>
      </w:r>
      <w:r w:rsidR="00EE06B6">
        <w:rPr>
          <w:rFonts w:ascii="Arial" w:hAnsi="Arial" w:cs="Arial"/>
        </w:rPr>
        <w:t xml:space="preserve">into the UK has been </w:t>
      </w:r>
      <w:r w:rsidRPr="00B746B2">
        <w:rPr>
          <w:rFonts w:ascii="Arial" w:hAnsi="Arial" w:cs="Arial"/>
        </w:rPr>
        <w:t>jailed</w:t>
      </w:r>
      <w:r w:rsidRPr="0008763E">
        <w:rPr>
          <w:rFonts w:ascii="Arial" w:hAnsi="Arial" w:cs="Arial"/>
        </w:rPr>
        <w:t xml:space="preserve"> for </w:t>
      </w:r>
      <w:r w:rsidR="00B746B2" w:rsidRPr="00B746B2">
        <w:rPr>
          <w:rFonts w:ascii="Arial" w:hAnsi="Arial" w:cs="Arial"/>
        </w:rPr>
        <w:t>two</w:t>
      </w:r>
      <w:r w:rsidRPr="0008763E">
        <w:rPr>
          <w:rFonts w:ascii="Arial" w:hAnsi="Arial" w:cs="Arial"/>
        </w:rPr>
        <w:t xml:space="preserve"> years</w:t>
      </w:r>
      <w:r w:rsidR="00B746B2">
        <w:rPr>
          <w:rFonts w:ascii="Arial" w:hAnsi="Arial" w:cs="Arial"/>
        </w:rPr>
        <w:t xml:space="preserve"> and eight months</w:t>
      </w:r>
      <w:r w:rsidRPr="0008763E">
        <w:rPr>
          <w:rFonts w:ascii="Arial" w:hAnsi="Arial" w:cs="Arial"/>
        </w:rPr>
        <w:t xml:space="preserve"> </w:t>
      </w:r>
      <w:r w:rsidR="00C80390">
        <w:rPr>
          <w:rFonts w:ascii="Arial" w:hAnsi="Arial" w:cs="Arial"/>
        </w:rPr>
        <w:t>after</w:t>
      </w:r>
      <w:r w:rsidRPr="0008763E">
        <w:rPr>
          <w:rFonts w:ascii="Arial" w:hAnsi="Arial" w:cs="Arial"/>
        </w:rPr>
        <w:t xml:space="preserve"> an investigation by HM Revenue </w:t>
      </w:r>
      <w:r w:rsidR="009A3D64">
        <w:rPr>
          <w:rFonts w:ascii="Arial" w:hAnsi="Arial" w:cs="Arial"/>
        </w:rPr>
        <w:t xml:space="preserve">and </w:t>
      </w:r>
      <w:r w:rsidRPr="0008763E">
        <w:rPr>
          <w:rFonts w:ascii="Arial" w:hAnsi="Arial" w:cs="Arial"/>
        </w:rPr>
        <w:t xml:space="preserve">Customs (HMRC). </w:t>
      </w:r>
      <w:bookmarkStart w:id="1" w:name="_GoBack"/>
      <w:bookmarkEnd w:id="1"/>
    </w:p>
    <w:p w14:paraId="182601DF" w14:textId="77777777" w:rsidR="00D7783B" w:rsidRPr="0008763E" w:rsidRDefault="00D7783B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14:paraId="34751AC9" w14:textId="77777777" w:rsidR="003971D0" w:rsidRDefault="00D7783B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  <w:r w:rsidRPr="0008763E">
        <w:rPr>
          <w:rFonts w:ascii="Arial" w:hAnsi="Arial" w:cs="Arial"/>
        </w:rPr>
        <w:t xml:space="preserve">Border Force officers stopped </w:t>
      </w:r>
      <w:r w:rsidR="00EE06B6">
        <w:rPr>
          <w:rFonts w:ascii="Arial" w:hAnsi="Arial" w:cs="Arial"/>
        </w:rPr>
        <w:t xml:space="preserve">the </w:t>
      </w:r>
      <w:r w:rsidR="009A3D64">
        <w:rPr>
          <w:rFonts w:ascii="Arial" w:hAnsi="Arial" w:cs="Arial"/>
        </w:rPr>
        <w:t>vehicle</w:t>
      </w:r>
      <w:r w:rsidRPr="0008763E">
        <w:rPr>
          <w:rFonts w:ascii="Arial" w:hAnsi="Arial" w:cs="Arial"/>
        </w:rPr>
        <w:t xml:space="preserve"> at the Port of Dover on 27 September 2018. A search of the trailer revealed 5.3 million Mayfair cigarettes, worth </w:t>
      </w:r>
      <w:r w:rsidR="00B9079A">
        <w:rPr>
          <w:rFonts w:ascii="Arial" w:hAnsi="Arial" w:cs="Arial"/>
        </w:rPr>
        <w:t>almost</w:t>
      </w:r>
      <w:r w:rsidRPr="0008763E">
        <w:rPr>
          <w:rFonts w:ascii="Arial" w:hAnsi="Arial" w:cs="Arial"/>
        </w:rPr>
        <w:t xml:space="preserve"> £1.</w:t>
      </w:r>
      <w:r w:rsidR="00B9079A">
        <w:rPr>
          <w:rFonts w:ascii="Arial" w:hAnsi="Arial" w:cs="Arial"/>
        </w:rPr>
        <w:t>6</w:t>
      </w:r>
      <w:r w:rsidRPr="0008763E">
        <w:rPr>
          <w:rFonts w:ascii="Arial" w:hAnsi="Arial" w:cs="Arial"/>
        </w:rPr>
        <w:t xml:space="preserve"> million in lost duty, concealed within 16 </w:t>
      </w:r>
      <w:r w:rsidR="007F5165">
        <w:rPr>
          <w:rFonts w:ascii="Arial" w:hAnsi="Arial" w:cs="Arial"/>
        </w:rPr>
        <w:t xml:space="preserve">fake </w:t>
      </w:r>
      <w:r w:rsidR="003971D0">
        <w:rPr>
          <w:rFonts w:ascii="Arial" w:hAnsi="Arial" w:cs="Arial"/>
        </w:rPr>
        <w:t xml:space="preserve">commercial </w:t>
      </w:r>
      <w:r w:rsidRPr="0008763E">
        <w:rPr>
          <w:rFonts w:ascii="Arial" w:hAnsi="Arial" w:cs="Arial"/>
        </w:rPr>
        <w:t xml:space="preserve">washing machines. </w:t>
      </w:r>
    </w:p>
    <w:p w14:paraId="61F18BCB" w14:textId="77777777" w:rsidR="003971D0" w:rsidRDefault="003971D0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14:paraId="052285C2" w14:textId="0B915834" w:rsidR="00D7783B" w:rsidRPr="0008763E" w:rsidRDefault="007F5165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They had no working parts but were made to look real, with fake control panels and energy efficiency certificates.</w:t>
      </w:r>
    </w:p>
    <w:p w14:paraId="18720A5E" w14:textId="77777777" w:rsidR="00D7783B" w:rsidRPr="0008763E" w:rsidRDefault="00D7783B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14:paraId="6A047609" w14:textId="77777777" w:rsidR="004B4822" w:rsidRPr="0008763E" w:rsidRDefault="00AB48C3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  <w:r w:rsidRPr="0008763E">
        <w:rPr>
          <w:rFonts w:ascii="Arial" w:hAnsi="Arial" w:cs="Arial"/>
        </w:rPr>
        <w:t>L</w:t>
      </w:r>
      <w:r w:rsidR="00D7783B" w:rsidRPr="0008763E">
        <w:rPr>
          <w:rFonts w:ascii="Arial" w:hAnsi="Arial" w:cs="Arial"/>
        </w:rPr>
        <w:t>orry driver Mari</w:t>
      </w:r>
      <w:r w:rsidR="002F2361" w:rsidRPr="0008763E">
        <w:rPr>
          <w:rFonts w:ascii="Arial" w:hAnsi="Arial" w:cs="Arial"/>
        </w:rPr>
        <w:t>u</w:t>
      </w:r>
      <w:r w:rsidR="00D7783B" w:rsidRPr="0008763E">
        <w:rPr>
          <w:rFonts w:ascii="Arial" w:hAnsi="Arial" w:cs="Arial"/>
        </w:rPr>
        <w:t>s</w:t>
      </w:r>
      <w:r w:rsidR="002F2361" w:rsidRPr="0008763E">
        <w:rPr>
          <w:rFonts w:ascii="Arial" w:hAnsi="Arial" w:cs="Arial"/>
        </w:rPr>
        <w:t xml:space="preserve">z Miroslaw </w:t>
      </w:r>
      <w:r w:rsidR="00A7136A" w:rsidRPr="0008763E">
        <w:rPr>
          <w:rFonts w:ascii="Arial" w:hAnsi="Arial" w:cs="Arial"/>
        </w:rPr>
        <w:t>Glinecki</w:t>
      </w:r>
      <w:r w:rsidR="00C56ECC" w:rsidRPr="0008763E">
        <w:rPr>
          <w:rFonts w:ascii="Arial" w:hAnsi="Arial" w:cs="Arial"/>
        </w:rPr>
        <w:t xml:space="preserve">, </w:t>
      </w:r>
      <w:r w:rsidR="00A7136A" w:rsidRPr="0008763E">
        <w:rPr>
          <w:rFonts w:ascii="Arial" w:hAnsi="Arial" w:cs="Arial"/>
        </w:rPr>
        <w:t>51</w:t>
      </w:r>
      <w:r w:rsidR="00362514" w:rsidRPr="0008763E">
        <w:rPr>
          <w:rFonts w:ascii="Arial" w:hAnsi="Arial" w:cs="Arial"/>
        </w:rPr>
        <w:t xml:space="preserve">, </w:t>
      </w:r>
      <w:r w:rsidR="00D7783B" w:rsidRPr="0008763E">
        <w:rPr>
          <w:rFonts w:ascii="Arial" w:hAnsi="Arial" w:cs="Arial"/>
        </w:rPr>
        <w:t>from</w:t>
      </w:r>
      <w:r w:rsidR="00C56ECC" w:rsidRPr="0008763E">
        <w:rPr>
          <w:rFonts w:ascii="Arial" w:hAnsi="Arial" w:cs="Arial"/>
        </w:rPr>
        <w:t xml:space="preserve"> </w:t>
      </w:r>
      <w:r w:rsidR="00A7136A" w:rsidRPr="0008763E">
        <w:rPr>
          <w:rFonts w:ascii="Arial" w:hAnsi="Arial" w:cs="Arial"/>
        </w:rPr>
        <w:t>Poland</w:t>
      </w:r>
      <w:r w:rsidR="00C56ECC" w:rsidRPr="0008763E">
        <w:rPr>
          <w:rFonts w:ascii="Arial" w:hAnsi="Arial" w:cs="Arial"/>
        </w:rPr>
        <w:t xml:space="preserve">, </w:t>
      </w:r>
      <w:r w:rsidR="00D7783B" w:rsidRPr="0008763E">
        <w:rPr>
          <w:rFonts w:ascii="Arial" w:hAnsi="Arial" w:cs="Arial"/>
        </w:rPr>
        <w:t>was arrested</w:t>
      </w:r>
      <w:r w:rsidR="00DC56EA" w:rsidRPr="0008763E">
        <w:rPr>
          <w:rFonts w:ascii="Arial" w:hAnsi="Arial" w:cs="Arial"/>
        </w:rPr>
        <w:t xml:space="preserve">, </w:t>
      </w:r>
      <w:r w:rsidR="00D7783B" w:rsidRPr="0008763E">
        <w:rPr>
          <w:rFonts w:ascii="Arial" w:hAnsi="Arial" w:cs="Arial"/>
        </w:rPr>
        <w:t>the cigarettes seized and the matter referred to HMRC to investigate.</w:t>
      </w:r>
    </w:p>
    <w:p w14:paraId="483138D2" w14:textId="77777777" w:rsidR="00337DB7" w:rsidRDefault="00337DB7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14:paraId="235DAC4E" w14:textId="77777777" w:rsidR="00B902F1" w:rsidRDefault="00B902F1" w:rsidP="00B902F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noProof/>
          <w:color w:val="000000"/>
        </w:rPr>
      </w:pPr>
      <w:r w:rsidRPr="0008763E">
        <w:rPr>
          <w:rFonts w:ascii="Arial" w:eastAsia="Calibri" w:hAnsi="Arial" w:cs="Arial"/>
          <w:noProof/>
          <w:color w:val="000000"/>
        </w:rPr>
        <w:t>Glinecki, a bus driver who began working as a lorry driver in January</w:t>
      </w:r>
      <w:r>
        <w:rPr>
          <w:rFonts w:ascii="Arial" w:eastAsia="Calibri" w:hAnsi="Arial" w:cs="Arial"/>
          <w:noProof/>
          <w:color w:val="000000"/>
        </w:rPr>
        <w:t xml:space="preserve"> this year</w:t>
      </w:r>
      <w:r w:rsidRPr="0008763E">
        <w:rPr>
          <w:rFonts w:ascii="Arial" w:eastAsia="Calibri" w:hAnsi="Arial" w:cs="Arial"/>
          <w:noProof/>
          <w:color w:val="000000"/>
        </w:rPr>
        <w:t xml:space="preserve">, said he picked up the fully loaded lorry </w:t>
      </w:r>
      <w:r w:rsidRPr="0008763E">
        <w:rPr>
          <w:rFonts w:ascii="Arial" w:hAnsi="Arial" w:cs="Arial"/>
        </w:rPr>
        <w:t>at a petrol station in Slubice, Poland</w:t>
      </w:r>
      <w:r>
        <w:rPr>
          <w:rFonts w:ascii="Arial" w:hAnsi="Arial" w:cs="Arial"/>
        </w:rPr>
        <w:t>,</w:t>
      </w:r>
      <w:r w:rsidRPr="0008763E">
        <w:rPr>
          <w:rFonts w:ascii="Arial" w:hAnsi="Arial" w:cs="Arial"/>
        </w:rPr>
        <w:t xml:space="preserve"> and was due to </w:t>
      </w:r>
      <w:r>
        <w:rPr>
          <w:rFonts w:ascii="Arial" w:hAnsi="Arial" w:cs="Arial"/>
        </w:rPr>
        <w:t xml:space="preserve">make the </w:t>
      </w:r>
      <w:r w:rsidRPr="0008763E">
        <w:rPr>
          <w:rFonts w:ascii="Arial" w:hAnsi="Arial" w:cs="Arial"/>
        </w:rPr>
        <w:t>deliver</w:t>
      </w:r>
      <w:r>
        <w:rPr>
          <w:rFonts w:ascii="Arial" w:hAnsi="Arial" w:cs="Arial"/>
        </w:rPr>
        <w:t>y</w:t>
      </w:r>
      <w:r w:rsidRPr="0008763E">
        <w:rPr>
          <w:rFonts w:ascii="Arial" w:hAnsi="Arial" w:cs="Arial"/>
        </w:rPr>
        <w:t xml:space="preserve"> to </w:t>
      </w:r>
      <w:r w:rsidRPr="0008763E">
        <w:rPr>
          <w:rFonts w:ascii="Arial" w:eastAsia="Calibri" w:hAnsi="Arial" w:cs="Arial"/>
          <w:noProof/>
          <w:color w:val="000000"/>
        </w:rPr>
        <w:t>an address in Newark</w:t>
      </w:r>
      <w:r>
        <w:rPr>
          <w:rFonts w:ascii="Arial" w:eastAsia="Calibri" w:hAnsi="Arial" w:cs="Arial"/>
          <w:noProof/>
          <w:color w:val="000000"/>
        </w:rPr>
        <w:t>, Nottinghamshire</w:t>
      </w:r>
      <w:r w:rsidRPr="0008763E">
        <w:rPr>
          <w:rFonts w:ascii="Arial" w:eastAsia="Calibri" w:hAnsi="Arial" w:cs="Arial"/>
          <w:noProof/>
          <w:color w:val="000000"/>
        </w:rPr>
        <w:t xml:space="preserve">. </w:t>
      </w:r>
    </w:p>
    <w:p w14:paraId="5BA7E1E9" w14:textId="77777777" w:rsidR="00D91D5E" w:rsidRPr="0008763E" w:rsidRDefault="00D91D5E" w:rsidP="00B902F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noProof/>
          <w:color w:val="000000"/>
        </w:rPr>
      </w:pPr>
    </w:p>
    <w:p w14:paraId="52927C9D" w14:textId="77777777" w:rsidR="00001511" w:rsidRPr="0008763E" w:rsidRDefault="00BE3B3B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  <w:r w:rsidRPr="0008763E">
        <w:rPr>
          <w:rFonts w:ascii="Arial" w:hAnsi="Arial" w:cs="Arial"/>
        </w:rPr>
        <w:t>Tom Hunnisett</w:t>
      </w:r>
      <w:r w:rsidR="00001511" w:rsidRPr="0008763E">
        <w:rPr>
          <w:rFonts w:ascii="Arial" w:hAnsi="Arial" w:cs="Arial"/>
        </w:rPr>
        <w:t>, Assistant Director, Fraud Investigation Service, HMRC, said:</w:t>
      </w:r>
    </w:p>
    <w:p w14:paraId="58C36C20" w14:textId="77777777" w:rsidR="00D7783B" w:rsidRPr="0008763E" w:rsidRDefault="00D7783B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14:paraId="5C17E057" w14:textId="77777777" w:rsidR="009A3D64" w:rsidRDefault="00D7783B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  <w:r w:rsidRPr="0008763E">
        <w:rPr>
          <w:rFonts w:ascii="Arial" w:hAnsi="Arial" w:cs="Arial"/>
        </w:rPr>
        <w:t xml:space="preserve">“Glinecki </w:t>
      </w:r>
      <w:r w:rsidR="009A3D64">
        <w:rPr>
          <w:rFonts w:ascii="Arial" w:hAnsi="Arial" w:cs="Arial"/>
        </w:rPr>
        <w:t>thought he could smuggle these cigarettes into the UK and do the dirty on all honest taxpayers – but we’ve cleaned up in the end</w:t>
      </w:r>
      <w:r w:rsidR="00B902F1">
        <w:rPr>
          <w:rFonts w:ascii="Arial" w:hAnsi="Arial" w:cs="Arial"/>
        </w:rPr>
        <w:t xml:space="preserve">. </w:t>
      </w:r>
      <w:r w:rsidR="00B902F1" w:rsidRPr="00B746B2">
        <w:rPr>
          <w:rFonts w:ascii="Arial" w:hAnsi="Arial" w:cs="Arial"/>
        </w:rPr>
        <w:t xml:space="preserve">He </w:t>
      </w:r>
      <w:r w:rsidR="009A3D64" w:rsidRPr="00B746B2">
        <w:rPr>
          <w:rFonts w:ascii="Arial" w:hAnsi="Arial" w:cs="Arial"/>
        </w:rPr>
        <w:t xml:space="preserve">is </w:t>
      </w:r>
      <w:r w:rsidR="00B902F1" w:rsidRPr="00B746B2">
        <w:rPr>
          <w:rFonts w:ascii="Arial" w:hAnsi="Arial" w:cs="Arial"/>
        </w:rPr>
        <w:t xml:space="preserve">now </w:t>
      </w:r>
      <w:r w:rsidR="009A3D64" w:rsidRPr="00B746B2">
        <w:rPr>
          <w:rFonts w:ascii="Arial" w:hAnsi="Arial" w:cs="Arial"/>
        </w:rPr>
        <w:t>behind bars, paying for his crime.</w:t>
      </w:r>
    </w:p>
    <w:p w14:paraId="1B0645D8" w14:textId="77777777" w:rsidR="009A3D64" w:rsidRDefault="009A3D64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14:paraId="5AB239F2" w14:textId="77777777" w:rsidR="00D7783B" w:rsidRPr="0008763E" w:rsidRDefault="009A3D64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80543" w:rsidRPr="0008763E">
        <w:rPr>
          <w:rFonts w:ascii="Arial" w:hAnsi="Arial" w:cs="Arial"/>
        </w:rPr>
        <w:t>This</w:t>
      </w:r>
      <w:r w:rsidR="00D7783B" w:rsidRPr="0008763E">
        <w:rPr>
          <w:rFonts w:ascii="Arial" w:hAnsi="Arial" w:cs="Arial"/>
        </w:rPr>
        <w:t xml:space="preserve"> illegal trade has a harmful effect on legitimate businesses and deprives </w:t>
      </w:r>
      <w:r>
        <w:rPr>
          <w:rFonts w:ascii="Arial" w:hAnsi="Arial" w:cs="Arial"/>
        </w:rPr>
        <w:t>the country</w:t>
      </w:r>
      <w:r w:rsidRPr="0008763E">
        <w:rPr>
          <w:rFonts w:ascii="Arial" w:hAnsi="Arial" w:cs="Arial"/>
        </w:rPr>
        <w:t xml:space="preserve"> </w:t>
      </w:r>
      <w:r w:rsidR="00D7783B" w:rsidRPr="0008763E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funding for</w:t>
      </w:r>
      <w:r w:rsidR="00D7783B" w:rsidRPr="0008763E">
        <w:rPr>
          <w:rFonts w:ascii="Arial" w:hAnsi="Arial" w:cs="Arial"/>
        </w:rPr>
        <w:t xml:space="preserve"> our vital public </w:t>
      </w:r>
      <w:r w:rsidR="00E80543" w:rsidRPr="0008763E">
        <w:rPr>
          <w:rFonts w:ascii="Arial" w:hAnsi="Arial" w:cs="Arial"/>
        </w:rPr>
        <w:t>services. The duty evaded on these</w:t>
      </w:r>
      <w:r w:rsidR="00D7783B" w:rsidRPr="0008763E">
        <w:rPr>
          <w:rFonts w:ascii="Arial" w:hAnsi="Arial" w:cs="Arial"/>
        </w:rPr>
        <w:t xml:space="preserve"> illicit </w:t>
      </w:r>
      <w:r w:rsidR="00E80543" w:rsidRPr="0008763E">
        <w:rPr>
          <w:rFonts w:ascii="Arial" w:hAnsi="Arial" w:cs="Arial"/>
        </w:rPr>
        <w:t>cigarettes</w:t>
      </w:r>
      <w:r w:rsidR="00D7783B" w:rsidRPr="0008763E">
        <w:rPr>
          <w:rFonts w:ascii="Arial" w:hAnsi="Arial" w:cs="Arial"/>
        </w:rPr>
        <w:t xml:space="preserve"> was </w:t>
      </w:r>
      <w:r w:rsidR="00B902F1">
        <w:rPr>
          <w:rFonts w:ascii="Arial" w:hAnsi="Arial" w:cs="Arial"/>
        </w:rPr>
        <w:t xml:space="preserve">equivalent </w:t>
      </w:r>
      <w:r w:rsidR="00D7783B" w:rsidRPr="0008763E">
        <w:rPr>
          <w:rFonts w:ascii="Arial" w:hAnsi="Arial" w:cs="Arial"/>
        </w:rPr>
        <w:t xml:space="preserve">to the starting salaries of </w:t>
      </w:r>
      <w:r w:rsidRPr="0008763E">
        <w:rPr>
          <w:rFonts w:ascii="Arial" w:hAnsi="Arial" w:cs="Arial"/>
        </w:rPr>
        <w:t>6</w:t>
      </w:r>
      <w:r w:rsidR="00507A12">
        <w:rPr>
          <w:rFonts w:ascii="Arial" w:hAnsi="Arial" w:cs="Arial"/>
        </w:rPr>
        <w:t>5</w:t>
      </w:r>
      <w:r w:rsidRPr="0008763E">
        <w:rPr>
          <w:rFonts w:ascii="Arial" w:hAnsi="Arial" w:cs="Arial"/>
        </w:rPr>
        <w:t xml:space="preserve"> </w:t>
      </w:r>
      <w:r w:rsidR="00E80543" w:rsidRPr="0008763E">
        <w:rPr>
          <w:rFonts w:ascii="Arial" w:hAnsi="Arial" w:cs="Arial"/>
        </w:rPr>
        <w:t>police officers</w:t>
      </w:r>
      <w:r w:rsidR="00D7783B" w:rsidRPr="0008763E">
        <w:rPr>
          <w:rFonts w:ascii="Arial" w:hAnsi="Arial" w:cs="Arial"/>
        </w:rPr>
        <w:t xml:space="preserve"> in Kent for a year. </w:t>
      </w:r>
    </w:p>
    <w:p w14:paraId="0265E7E3" w14:textId="77777777" w:rsidR="00D7783B" w:rsidRPr="0008763E" w:rsidRDefault="00D7783B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14:paraId="1A7DA351" w14:textId="77777777" w:rsidR="00D7783B" w:rsidRPr="0008763E" w:rsidRDefault="00D7783B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  <w:r w:rsidRPr="0008763E">
        <w:rPr>
          <w:rFonts w:ascii="Arial" w:hAnsi="Arial" w:cs="Arial"/>
        </w:rPr>
        <w:t xml:space="preserve">”HMRC works closely with Border Force </w:t>
      </w:r>
      <w:r w:rsidR="00EE06B6">
        <w:rPr>
          <w:rFonts w:ascii="Arial" w:hAnsi="Arial" w:cs="Arial"/>
        </w:rPr>
        <w:t xml:space="preserve">and other partners </w:t>
      </w:r>
      <w:r w:rsidRPr="0008763E">
        <w:rPr>
          <w:rFonts w:ascii="Arial" w:hAnsi="Arial" w:cs="Arial"/>
        </w:rPr>
        <w:t>to tackle and disrupt this illicit trade</w:t>
      </w:r>
      <w:r w:rsidR="00B902F1">
        <w:rPr>
          <w:rFonts w:ascii="Arial" w:hAnsi="Arial" w:cs="Arial"/>
        </w:rPr>
        <w:t xml:space="preserve">. </w:t>
      </w:r>
      <w:r w:rsidRPr="0008763E">
        <w:rPr>
          <w:rFonts w:ascii="Arial" w:hAnsi="Arial" w:cs="Arial"/>
        </w:rPr>
        <w:t xml:space="preserve">I urge anyone who has information about the smuggling, selling or storing of illicit tobacco to report it </w:t>
      </w:r>
      <w:r w:rsidR="00EE06B6">
        <w:rPr>
          <w:rFonts w:ascii="Arial" w:hAnsi="Arial" w:cs="Arial"/>
        </w:rPr>
        <w:t xml:space="preserve">to us </w:t>
      </w:r>
      <w:r w:rsidRPr="0008763E">
        <w:rPr>
          <w:rFonts w:ascii="Arial" w:hAnsi="Arial" w:cs="Arial"/>
        </w:rPr>
        <w:t>online or contact our Fraud Hotline on 0800 788 887.”</w:t>
      </w:r>
    </w:p>
    <w:p w14:paraId="4C62F5BD" w14:textId="77777777" w:rsidR="008F21D9" w:rsidRDefault="008F21D9" w:rsidP="008F21D9">
      <w:pPr>
        <w:pStyle w:val="wordsection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Dave Smith</w:t>
      </w:r>
      <w:r w:rsidR="00D7783B" w:rsidRPr="000876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deputy d</w:t>
      </w:r>
      <w:r w:rsidR="00D7783B" w:rsidRPr="0008763E">
        <w:rPr>
          <w:rFonts w:ascii="Arial" w:hAnsi="Arial" w:cs="Arial"/>
          <w:sz w:val="22"/>
          <w:szCs w:val="22"/>
        </w:rPr>
        <w:t>irector of Border Force South East and Europe</w:t>
      </w:r>
      <w:r w:rsidR="007261FB">
        <w:rPr>
          <w:rFonts w:ascii="Arial" w:hAnsi="Arial" w:cs="Arial"/>
          <w:sz w:val="22"/>
          <w:szCs w:val="22"/>
        </w:rPr>
        <w:t>,</w:t>
      </w:r>
      <w:r w:rsidR="00D7783B" w:rsidRPr="0008763E">
        <w:rPr>
          <w:rFonts w:ascii="Arial" w:hAnsi="Arial" w:cs="Arial"/>
          <w:sz w:val="22"/>
          <w:szCs w:val="22"/>
        </w:rPr>
        <w:t xml:space="preserve"> said:</w:t>
      </w:r>
      <w:r>
        <w:rPr>
          <w:rFonts w:ascii="Arial" w:hAnsi="Arial" w:cs="Arial"/>
          <w:sz w:val="22"/>
          <w:szCs w:val="22"/>
        </w:rPr>
        <w:t xml:space="preserve"> </w:t>
      </w:r>
      <w:r w:rsidRPr="008F21D9">
        <w:rPr>
          <w:rFonts w:ascii="Arial" w:hAnsi="Arial" w:cs="Arial"/>
          <w:sz w:val="22"/>
          <w:szCs w:val="22"/>
        </w:rPr>
        <w:t xml:space="preserve">“My officers are always alert to the different ways smugglers may conceal illegal goods which in this case has led to a substantial seizure.  </w:t>
      </w:r>
    </w:p>
    <w:p w14:paraId="7BA83FC2" w14:textId="3CEDE25D" w:rsidR="008F21D9" w:rsidRDefault="008F21D9" w:rsidP="008F21D9">
      <w:pPr>
        <w:pStyle w:val="wordsection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F21D9">
        <w:rPr>
          <w:rFonts w:ascii="Arial" w:hAnsi="Arial" w:cs="Arial"/>
          <w:sz w:val="22"/>
          <w:szCs w:val="22"/>
        </w:rPr>
        <w:t>Once items are seized, we work closely with law enforcement partners such as HMRC to bring criminals to justice.”</w:t>
      </w:r>
    </w:p>
    <w:p w14:paraId="7BEE4CED" w14:textId="4E33324F" w:rsidR="00322F73" w:rsidRPr="008F21D9" w:rsidRDefault="00B746B2" w:rsidP="008F21D9">
      <w:pPr>
        <w:pStyle w:val="wordsection1"/>
        <w:spacing w:before="0" w:beforeAutospacing="0" w:after="0" w:afterAutospacing="0" w:line="360" w:lineRule="auto"/>
        <w:rPr>
          <w:rFonts w:ascii="Arial" w:eastAsia="Calibri" w:hAnsi="Arial" w:cs="Arial"/>
          <w:sz w:val="22"/>
          <w:szCs w:val="22"/>
        </w:rPr>
      </w:pPr>
      <w:r w:rsidRPr="008F21D9">
        <w:rPr>
          <w:rFonts w:ascii="Arial" w:hAnsi="Arial" w:cs="Arial"/>
          <w:sz w:val="22"/>
          <w:szCs w:val="22"/>
        </w:rPr>
        <w:t xml:space="preserve">On sentencing, His Honour Judge </w:t>
      </w:r>
      <w:r w:rsidRPr="008F21D9">
        <w:rPr>
          <w:rFonts w:ascii="Arial" w:eastAsia="Calibri" w:hAnsi="Arial" w:cs="Arial"/>
          <w:sz w:val="22"/>
          <w:szCs w:val="22"/>
        </w:rPr>
        <w:t xml:space="preserve">Huseyin said: “The reality of duty evasion is a large amount of money due to go in to the public purse goes in to the hands of criminals.  </w:t>
      </w:r>
    </w:p>
    <w:p w14:paraId="2A833D22" w14:textId="77777777" w:rsidR="00322F73" w:rsidRDefault="00322F73" w:rsidP="00322F73">
      <w:pPr>
        <w:spacing w:line="360" w:lineRule="auto"/>
        <w:rPr>
          <w:rFonts w:ascii="Arial" w:eastAsia="Calibri" w:hAnsi="Arial" w:cs="Arial"/>
        </w:rPr>
      </w:pPr>
    </w:p>
    <w:p w14:paraId="443C5069" w14:textId="2757125A" w:rsidR="00B746B2" w:rsidRPr="00B746B2" w:rsidRDefault="00322F73" w:rsidP="00322F7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“</w:t>
      </w:r>
      <w:r w:rsidR="00B746B2" w:rsidRPr="00B746B2">
        <w:rPr>
          <w:rFonts w:ascii="Arial" w:eastAsia="Calibri" w:hAnsi="Arial" w:cs="Arial"/>
        </w:rPr>
        <w:t xml:space="preserve">As such it is not a victimless crime, one has to think of the nurse’s salaries that £1.5m would pay. That is why courts </w:t>
      </w:r>
      <w:r>
        <w:rPr>
          <w:rFonts w:ascii="Arial" w:eastAsia="Calibri" w:hAnsi="Arial" w:cs="Arial"/>
        </w:rPr>
        <w:t>take duty evasion so seriously.”</w:t>
      </w:r>
    </w:p>
    <w:p w14:paraId="76A646E5" w14:textId="6B8E346F" w:rsidR="006B3257" w:rsidRDefault="006B3257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14:paraId="1A2A8071" w14:textId="77777777" w:rsidR="00B746B2" w:rsidRPr="0008763E" w:rsidRDefault="00B746B2" w:rsidP="0008763E">
      <w:pPr>
        <w:tabs>
          <w:tab w:val="left" w:pos="9180"/>
        </w:tabs>
        <w:spacing w:line="360" w:lineRule="auto"/>
        <w:rPr>
          <w:rFonts w:ascii="Arial" w:hAnsi="Arial" w:cs="Arial"/>
        </w:rPr>
      </w:pPr>
    </w:p>
    <w:p w14:paraId="63FAC8D5" w14:textId="77777777" w:rsidR="00876BA4" w:rsidRPr="0008763E" w:rsidRDefault="00876BA4" w:rsidP="0008763E">
      <w:pPr>
        <w:spacing w:line="360" w:lineRule="auto"/>
        <w:rPr>
          <w:rFonts w:ascii="Arial" w:hAnsi="Arial" w:cs="Arial"/>
          <w:b/>
          <w:bCs/>
          <w:lang w:eastAsia="en-GB"/>
        </w:rPr>
      </w:pPr>
      <w:r w:rsidRPr="0008763E">
        <w:rPr>
          <w:rFonts w:ascii="Arial" w:hAnsi="Arial" w:cs="Arial"/>
          <w:b/>
          <w:bCs/>
          <w:lang w:eastAsia="en-GB"/>
        </w:rPr>
        <w:t>Notes for Editors</w:t>
      </w:r>
    </w:p>
    <w:p w14:paraId="26F78725" w14:textId="75D91A60" w:rsidR="00B46B0B" w:rsidRDefault="00A7136A" w:rsidP="00CF3C4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46B0B">
        <w:rPr>
          <w:rFonts w:ascii="Arial" w:hAnsi="Arial" w:cs="Arial"/>
        </w:rPr>
        <w:t>Mariu</w:t>
      </w:r>
      <w:r w:rsidR="00AB48C3" w:rsidRPr="00B46B0B">
        <w:rPr>
          <w:rFonts w:ascii="Arial" w:hAnsi="Arial" w:cs="Arial"/>
        </w:rPr>
        <w:t>s</w:t>
      </w:r>
      <w:r w:rsidRPr="00B46B0B">
        <w:rPr>
          <w:rFonts w:ascii="Arial" w:hAnsi="Arial" w:cs="Arial"/>
        </w:rPr>
        <w:t>z Miroslaw Glinecki, of Miedzychod,</w:t>
      </w:r>
      <w:r w:rsidR="00AB48C3" w:rsidRPr="00B46B0B">
        <w:rPr>
          <w:rFonts w:ascii="Arial" w:hAnsi="Arial" w:cs="Arial"/>
        </w:rPr>
        <w:t xml:space="preserve"> </w:t>
      </w:r>
      <w:r w:rsidRPr="00B46B0B">
        <w:rPr>
          <w:rFonts w:ascii="Arial" w:hAnsi="Arial" w:cs="Arial"/>
        </w:rPr>
        <w:t xml:space="preserve">Poland </w:t>
      </w:r>
      <w:r w:rsidR="00F85C65" w:rsidRPr="00B46B0B">
        <w:rPr>
          <w:rFonts w:ascii="Arial" w:hAnsi="Arial" w:cs="Arial"/>
        </w:rPr>
        <w:t xml:space="preserve">(DOB </w:t>
      </w:r>
      <w:r w:rsidRPr="00B46B0B">
        <w:rPr>
          <w:rFonts w:ascii="Arial" w:hAnsi="Arial" w:cs="Arial"/>
        </w:rPr>
        <w:t>14/07/1967</w:t>
      </w:r>
      <w:r w:rsidR="00F85C65" w:rsidRPr="00B46B0B">
        <w:rPr>
          <w:rFonts w:ascii="Arial" w:hAnsi="Arial" w:cs="Arial"/>
        </w:rPr>
        <w:t>)</w:t>
      </w:r>
      <w:r w:rsidR="0008763E" w:rsidRPr="00B46B0B">
        <w:rPr>
          <w:rFonts w:ascii="Arial" w:hAnsi="Arial" w:cs="Arial"/>
        </w:rPr>
        <w:t>,</w:t>
      </w:r>
      <w:r w:rsidR="00F85C65" w:rsidRPr="00B46B0B">
        <w:rPr>
          <w:rFonts w:ascii="Arial" w:hAnsi="Arial" w:cs="Arial"/>
        </w:rPr>
        <w:t xml:space="preserve"> was</w:t>
      </w:r>
      <w:r w:rsidR="00F90BB6" w:rsidRPr="00B46B0B">
        <w:rPr>
          <w:rFonts w:ascii="Arial" w:hAnsi="Arial" w:cs="Arial"/>
        </w:rPr>
        <w:t xml:space="preserve"> sentenced to</w:t>
      </w:r>
      <w:r w:rsidR="00F85C65" w:rsidRPr="00B46B0B">
        <w:rPr>
          <w:rFonts w:ascii="Arial" w:hAnsi="Arial" w:cs="Arial"/>
        </w:rPr>
        <w:t xml:space="preserve"> </w:t>
      </w:r>
      <w:r w:rsidR="00D03306">
        <w:rPr>
          <w:rFonts w:ascii="Arial" w:hAnsi="Arial" w:cs="Arial"/>
        </w:rPr>
        <w:t>two years and 8 months in jail on 23 January 2019</w:t>
      </w:r>
      <w:r w:rsidR="00F85C65" w:rsidRPr="00B46B0B">
        <w:rPr>
          <w:rFonts w:ascii="Arial" w:hAnsi="Arial" w:cs="Arial"/>
        </w:rPr>
        <w:t xml:space="preserve"> at </w:t>
      </w:r>
      <w:r w:rsidR="00AB48C3" w:rsidRPr="00B46B0B">
        <w:rPr>
          <w:rFonts w:ascii="Arial" w:hAnsi="Arial" w:cs="Arial"/>
        </w:rPr>
        <w:t>Maidstone Crown Court</w:t>
      </w:r>
      <w:r w:rsidR="00F85C65" w:rsidRPr="00B46B0B">
        <w:rPr>
          <w:rFonts w:ascii="Arial" w:hAnsi="Arial" w:cs="Arial"/>
        </w:rPr>
        <w:t xml:space="preserve">. </w:t>
      </w:r>
    </w:p>
    <w:p w14:paraId="01086246" w14:textId="77777777" w:rsidR="00B46B0B" w:rsidRDefault="00B46B0B" w:rsidP="00B46B0B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39AEC403" w14:textId="14AF0A4A" w:rsidR="00E06976" w:rsidRDefault="00AB48C3" w:rsidP="00D3675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E06976">
        <w:rPr>
          <w:rFonts w:ascii="Arial" w:hAnsi="Arial" w:cs="Arial"/>
        </w:rPr>
        <w:t>He pleaded guilty to fraudulent evasion of excise duty contrary to S170</w:t>
      </w:r>
      <w:r w:rsidR="0008763E" w:rsidRPr="00E06976">
        <w:rPr>
          <w:rFonts w:ascii="Arial" w:hAnsi="Arial" w:cs="Arial"/>
        </w:rPr>
        <w:t xml:space="preserve"> </w:t>
      </w:r>
      <w:r w:rsidRPr="00E06976">
        <w:rPr>
          <w:rFonts w:ascii="Arial" w:hAnsi="Arial" w:cs="Arial"/>
        </w:rPr>
        <w:t xml:space="preserve">(2) Customs </w:t>
      </w:r>
      <w:r w:rsidR="00E06976" w:rsidRPr="00E06976">
        <w:rPr>
          <w:rFonts w:ascii="Arial" w:hAnsi="Arial" w:cs="Arial"/>
        </w:rPr>
        <w:t xml:space="preserve">and Excise Management Act 1979 at Maidstone Crown Court on 9 November 2018. </w:t>
      </w:r>
    </w:p>
    <w:p w14:paraId="00A283DB" w14:textId="77777777" w:rsidR="00E06976" w:rsidRPr="00E06976" w:rsidRDefault="00E06976" w:rsidP="00E06976">
      <w:pPr>
        <w:pStyle w:val="ListParagraph"/>
        <w:rPr>
          <w:rFonts w:ascii="Arial" w:hAnsi="Arial" w:cs="Arial"/>
        </w:rPr>
      </w:pPr>
    </w:p>
    <w:p w14:paraId="75A9228D" w14:textId="77777777" w:rsidR="00E06976" w:rsidRPr="00E06976" w:rsidRDefault="00B46B0B" w:rsidP="00E06976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E06976">
        <w:rPr>
          <w:rFonts w:ascii="Arial" w:hAnsi="Arial" w:cs="Arial"/>
        </w:rPr>
        <w:t>The estimated duty evaded was £1,598,378 on 5,384,600 cigarettes.</w:t>
      </w:r>
    </w:p>
    <w:p w14:paraId="749F6BB0" w14:textId="77777777" w:rsidR="00B46B0B" w:rsidRPr="00B46B0B" w:rsidRDefault="00B46B0B" w:rsidP="00B46B0B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22F33D0B" w14:textId="77777777" w:rsidR="000541DC" w:rsidRPr="000541DC" w:rsidRDefault="000541DC" w:rsidP="000541DC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08763E">
        <w:rPr>
          <w:rFonts w:ascii="Arial" w:eastAsia="Times New Roman" w:hAnsi="Arial" w:cs="Arial"/>
        </w:rPr>
        <w:t xml:space="preserve">Images of Glinecki and the cigarettes are available. </w:t>
      </w:r>
    </w:p>
    <w:p w14:paraId="68799D72" w14:textId="77777777" w:rsidR="000541DC" w:rsidRPr="000541DC" w:rsidRDefault="000541DC" w:rsidP="000541DC">
      <w:pPr>
        <w:pStyle w:val="ListParagraph"/>
        <w:rPr>
          <w:rFonts w:ascii="Arial" w:hAnsi="Arial" w:cs="Arial"/>
        </w:rPr>
      </w:pPr>
    </w:p>
    <w:p w14:paraId="1C99FF13" w14:textId="77777777" w:rsidR="000541DC" w:rsidRPr="0008763E" w:rsidRDefault="000541DC" w:rsidP="000541DC">
      <w:pPr>
        <w:numPr>
          <w:ilvl w:val="0"/>
          <w:numId w:val="5"/>
        </w:numPr>
        <w:spacing w:line="360" w:lineRule="auto"/>
        <w:rPr>
          <w:rFonts w:ascii="Arial" w:eastAsia="Calibri" w:hAnsi="Arial" w:cs="Arial"/>
        </w:rPr>
      </w:pPr>
      <w:r w:rsidRPr="0008763E">
        <w:rPr>
          <w:rFonts w:ascii="Arial" w:hAnsi="Arial" w:cs="Arial"/>
          <w:lang w:val="en-US" w:eastAsia="en-GB"/>
        </w:rPr>
        <w:t>Anyone with information about people</w:t>
      </w:r>
      <w:r w:rsidRPr="0008763E">
        <w:rPr>
          <w:rFonts w:ascii="Arial" w:hAnsi="Arial" w:cs="Arial"/>
        </w:rPr>
        <w:t xml:space="preserve"> suspected of smuggling, selling or storing illegal tobacco should </w:t>
      </w:r>
      <w:r w:rsidRPr="0008763E">
        <w:rPr>
          <w:rFonts w:ascii="Arial" w:hAnsi="Arial" w:cs="Arial"/>
          <w:lang w:val="en" w:eastAsia="en-GB"/>
        </w:rPr>
        <w:t xml:space="preserve">report it online at: </w:t>
      </w:r>
      <w:hyperlink r:id="rId8" w:history="1">
        <w:r w:rsidRPr="0008763E">
          <w:rPr>
            <w:rStyle w:val="Hyperlink"/>
            <w:rFonts w:ascii="Arial" w:hAnsi="Arial" w:cs="Arial"/>
            <w:lang w:val="en" w:eastAsia="en-GB"/>
          </w:rPr>
          <w:t>https://www.gov.uk/report-tobacco-or-alcohol-tax-evasion</w:t>
        </w:r>
      </w:hyperlink>
    </w:p>
    <w:p w14:paraId="5ADB3B84" w14:textId="77777777" w:rsidR="000541DC" w:rsidRDefault="000541DC" w:rsidP="000541DC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278718F6" w14:textId="77777777" w:rsidR="00AB48C3" w:rsidRPr="000541DC" w:rsidRDefault="00AB48C3" w:rsidP="000541D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8763E">
        <w:rPr>
          <w:rFonts w:ascii="Arial" w:hAnsi="Arial" w:cs="Arial"/>
        </w:rPr>
        <w:t xml:space="preserve">The starting salary for a police officer in Kent is </w:t>
      </w:r>
      <w:r w:rsidRPr="0008763E">
        <w:rPr>
          <w:rFonts w:ascii="Arial" w:hAnsi="Arial" w:cs="Arial"/>
          <w:color w:val="292929"/>
          <w:spacing w:val="2"/>
          <w:shd w:val="clear" w:color="auto" w:fill="FFFFFF"/>
        </w:rPr>
        <w:t>£24,518 (this figure includes an annual £2,000 South East allowance</w:t>
      </w:r>
      <w:r w:rsidR="0008763E">
        <w:rPr>
          <w:rFonts w:ascii="Arial" w:hAnsi="Arial" w:cs="Arial"/>
          <w:color w:val="292929"/>
          <w:spacing w:val="2"/>
          <w:shd w:val="clear" w:color="auto" w:fill="FFFFFF"/>
        </w:rPr>
        <w:t>)</w:t>
      </w:r>
      <w:r w:rsidRPr="0008763E">
        <w:rPr>
          <w:rFonts w:ascii="Arial" w:hAnsi="Arial" w:cs="Arial"/>
          <w:color w:val="292929"/>
          <w:spacing w:val="2"/>
          <w:shd w:val="clear" w:color="auto" w:fill="FFFFFF"/>
        </w:rPr>
        <w:t xml:space="preserve">. </w:t>
      </w:r>
      <w:hyperlink r:id="rId9" w:history="1">
        <w:r w:rsidR="00E80543" w:rsidRPr="0008763E">
          <w:rPr>
            <w:rStyle w:val="Hyperlink"/>
            <w:rFonts w:ascii="Arial" w:hAnsi="Arial" w:cs="Arial"/>
          </w:rPr>
          <w:t>https://www.kent.police.uk/jobs-recruiting-now/police-officer-new-recruits/</w:t>
        </w:r>
      </w:hyperlink>
    </w:p>
    <w:p w14:paraId="04D55F53" w14:textId="77777777" w:rsidR="00961EF9" w:rsidRPr="0008763E" w:rsidRDefault="00961EF9" w:rsidP="0008763E">
      <w:pPr>
        <w:pStyle w:val="ListParagraph"/>
        <w:spacing w:line="360" w:lineRule="auto"/>
        <w:rPr>
          <w:rFonts w:ascii="Arial" w:eastAsia="Times New Roman" w:hAnsi="Arial" w:cs="Arial"/>
        </w:rPr>
      </w:pPr>
    </w:p>
    <w:p w14:paraId="08B6B159" w14:textId="77777777" w:rsidR="00EF5D57" w:rsidRPr="0008763E" w:rsidRDefault="00EF5D57" w:rsidP="0008763E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08763E">
        <w:rPr>
          <w:rFonts w:ascii="Arial" w:eastAsia="Times New Roman" w:hAnsi="Arial" w:cs="Arial"/>
        </w:rPr>
        <w:t>Follow HMRC’s press office on Twitter @HMRCpressoffice.</w:t>
      </w:r>
    </w:p>
    <w:p w14:paraId="63BE4DAA" w14:textId="77777777" w:rsidR="00876BA4" w:rsidRPr="0008763E" w:rsidRDefault="00876BA4" w:rsidP="0008763E">
      <w:pPr>
        <w:spacing w:line="360" w:lineRule="auto"/>
        <w:rPr>
          <w:rFonts w:ascii="Arial" w:hAnsi="Arial" w:cs="Arial"/>
        </w:rPr>
      </w:pPr>
    </w:p>
    <w:p w14:paraId="16B664A7" w14:textId="77777777" w:rsidR="00876BA4" w:rsidRPr="0008763E" w:rsidRDefault="00876BA4" w:rsidP="0008763E">
      <w:pPr>
        <w:spacing w:line="360" w:lineRule="auto"/>
        <w:rPr>
          <w:rFonts w:ascii="Arial" w:hAnsi="Arial" w:cs="Arial"/>
          <w:b/>
        </w:rPr>
      </w:pPr>
      <w:r w:rsidRPr="0008763E">
        <w:rPr>
          <w:rFonts w:ascii="Arial" w:hAnsi="Arial" w:cs="Arial"/>
          <w:b/>
        </w:rPr>
        <w:t>Issued by HM Revenue &amp; Customs Press Office</w:t>
      </w:r>
    </w:p>
    <w:p w14:paraId="6E4011BD" w14:textId="77777777" w:rsidR="00876BA4" w:rsidRPr="0008763E" w:rsidRDefault="00876BA4" w:rsidP="0008763E">
      <w:pPr>
        <w:spacing w:line="360" w:lineRule="auto"/>
        <w:rPr>
          <w:rFonts w:ascii="Arial" w:hAnsi="Arial" w:cs="Arial"/>
          <w:b/>
        </w:rPr>
      </w:pPr>
      <w:r w:rsidRPr="0008763E">
        <w:rPr>
          <w:rFonts w:ascii="Arial" w:hAnsi="Arial" w:cs="Arial"/>
          <w:b/>
        </w:rPr>
        <w:lastRenderedPageBreak/>
        <w:t>Press enquiries only please contact:</w:t>
      </w:r>
    </w:p>
    <w:p w14:paraId="2AF56CE8" w14:textId="7AEC880B" w:rsidR="00876BA4" w:rsidRPr="0008763E" w:rsidRDefault="00322F73" w:rsidP="0008763E">
      <w:pPr>
        <w:pStyle w:val="BodyText"/>
        <w:jc w:val="left"/>
        <w:rPr>
          <w:rFonts w:cs="Arial"/>
          <w:szCs w:val="22"/>
        </w:rPr>
      </w:pPr>
      <w:r>
        <w:rPr>
          <w:rFonts w:cs="Arial"/>
          <w:szCs w:val="22"/>
        </w:rPr>
        <w:t>Roger Kasper</w:t>
      </w:r>
    </w:p>
    <w:p w14:paraId="245FD3D4" w14:textId="583167EB" w:rsidR="00876BA4" w:rsidRPr="0008763E" w:rsidRDefault="00876BA4" w:rsidP="0008763E">
      <w:pPr>
        <w:pStyle w:val="BodyText"/>
        <w:jc w:val="left"/>
        <w:rPr>
          <w:rFonts w:cs="Arial"/>
          <w:szCs w:val="22"/>
        </w:rPr>
      </w:pPr>
      <w:r w:rsidRPr="0008763E">
        <w:rPr>
          <w:rFonts w:cs="Arial"/>
          <w:szCs w:val="22"/>
        </w:rPr>
        <w:t xml:space="preserve">Tel: </w:t>
      </w:r>
      <w:r w:rsidRPr="0008763E">
        <w:rPr>
          <w:rFonts w:cs="Arial"/>
          <w:szCs w:val="22"/>
        </w:rPr>
        <w:tab/>
      </w:r>
      <w:r w:rsidRPr="0008763E">
        <w:rPr>
          <w:rFonts w:cs="Arial"/>
          <w:szCs w:val="22"/>
        </w:rPr>
        <w:tab/>
      </w:r>
      <w:r w:rsidRPr="0008763E">
        <w:rPr>
          <w:rFonts w:cs="Arial"/>
          <w:szCs w:val="22"/>
          <w:lang w:eastAsia="en-GB"/>
        </w:rPr>
        <w:t>0</w:t>
      </w:r>
      <w:r w:rsidR="00322F73">
        <w:rPr>
          <w:rFonts w:cs="Arial"/>
          <w:szCs w:val="22"/>
          <w:lang w:eastAsia="en-GB"/>
        </w:rPr>
        <w:t>3000 525110 / 0</w:t>
      </w:r>
      <w:r w:rsidRPr="0008763E">
        <w:rPr>
          <w:rFonts w:cs="Arial"/>
          <w:szCs w:val="22"/>
          <w:lang w:eastAsia="en-GB"/>
        </w:rPr>
        <w:t>7</w:t>
      </w:r>
      <w:r w:rsidR="00322F73">
        <w:rPr>
          <w:rFonts w:cs="Arial"/>
          <w:szCs w:val="22"/>
          <w:lang w:eastAsia="en-GB"/>
        </w:rPr>
        <w:t>388 955843</w:t>
      </w:r>
    </w:p>
    <w:p w14:paraId="40956C22" w14:textId="20E4A02F" w:rsidR="00322F73" w:rsidRDefault="00876BA4" w:rsidP="0008763E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08763E">
        <w:rPr>
          <w:rFonts w:ascii="Arial" w:hAnsi="Arial" w:cs="Arial"/>
          <w:sz w:val="22"/>
          <w:szCs w:val="22"/>
        </w:rPr>
        <w:t xml:space="preserve">Email: </w:t>
      </w:r>
      <w:r w:rsidRPr="0008763E">
        <w:rPr>
          <w:rFonts w:ascii="Arial" w:hAnsi="Arial" w:cs="Arial"/>
          <w:sz w:val="22"/>
          <w:szCs w:val="22"/>
        </w:rPr>
        <w:tab/>
      </w:r>
      <w:r w:rsidRPr="0008763E">
        <w:rPr>
          <w:rFonts w:ascii="Arial" w:hAnsi="Arial" w:cs="Arial"/>
          <w:sz w:val="22"/>
          <w:szCs w:val="22"/>
        </w:rPr>
        <w:tab/>
      </w:r>
      <w:hyperlink r:id="rId10" w:history="1">
        <w:r w:rsidR="00322F73" w:rsidRPr="007D1040">
          <w:rPr>
            <w:rStyle w:val="Hyperlink"/>
            <w:rFonts w:ascii="Arial" w:hAnsi="Arial" w:cs="Arial"/>
            <w:sz w:val="22"/>
            <w:szCs w:val="22"/>
          </w:rPr>
          <w:t>roger.kasper@hmrc.gsi.gov.uk</w:t>
        </w:r>
      </w:hyperlink>
    </w:p>
    <w:p w14:paraId="14F7652D" w14:textId="77777777" w:rsidR="00876BA4" w:rsidRPr="0008763E" w:rsidRDefault="00876BA4" w:rsidP="0008763E">
      <w:pPr>
        <w:tabs>
          <w:tab w:val="left" w:pos="580"/>
          <w:tab w:val="left" w:pos="1180"/>
        </w:tabs>
        <w:spacing w:line="360" w:lineRule="auto"/>
        <w:rPr>
          <w:rFonts w:ascii="Arial" w:hAnsi="Arial" w:cs="Arial"/>
        </w:rPr>
      </w:pPr>
      <w:r w:rsidRPr="0008763E">
        <w:rPr>
          <w:rFonts w:ascii="Arial" w:hAnsi="Arial" w:cs="Arial"/>
        </w:rPr>
        <w:t>Out of hours</w:t>
      </w:r>
    </w:p>
    <w:p w14:paraId="71F13002" w14:textId="77777777" w:rsidR="00AB48C3" w:rsidRPr="0008763E" w:rsidRDefault="00876BA4" w:rsidP="0008763E">
      <w:pPr>
        <w:tabs>
          <w:tab w:val="left" w:pos="580"/>
          <w:tab w:val="left" w:pos="1180"/>
        </w:tabs>
        <w:spacing w:line="360" w:lineRule="auto"/>
        <w:rPr>
          <w:rFonts w:ascii="Arial" w:hAnsi="Arial" w:cs="Arial"/>
        </w:rPr>
      </w:pPr>
      <w:r w:rsidRPr="0008763E">
        <w:rPr>
          <w:rFonts w:ascii="Arial" w:hAnsi="Arial" w:cs="Arial"/>
        </w:rPr>
        <w:t xml:space="preserve">Tel: </w:t>
      </w:r>
      <w:r w:rsidRPr="0008763E">
        <w:rPr>
          <w:rFonts w:ascii="Arial" w:hAnsi="Arial" w:cs="Arial"/>
        </w:rPr>
        <w:tab/>
      </w:r>
      <w:r w:rsidRPr="0008763E">
        <w:rPr>
          <w:rFonts w:ascii="Arial" w:hAnsi="Arial" w:cs="Arial"/>
        </w:rPr>
        <w:tab/>
      </w:r>
      <w:r w:rsidRPr="0008763E">
        <w:rPr>
          <w:rFonts w:ascii="Arial" w:hAnsi="Arial" w:cs="Arial"/>
        </w:rPr>
        <w:tab/>
        <w:t>07860 359 544</w:t>
      </w:r>
      <w:r w:rsidR="00EB5C63" w:rsidRPr="0008763E">
        <w:rPr>
          <w:rFonts w:ascii="Arial" w:hAnsi="Arial" w:cs="Arial"/>
        </w:rPr>
        <w:t xml:space="preserve"> </w:t>
      </w:r>
      <w:r w:rsidR="00EB5C63" w:rsidRPr="0008763E">
        <w:rPr>
          <w:rFonts w:ascii="Arial" w:hAnsi="Arial" w:cs="Arial"/>
        </w:rPr>
        <w:tab/>
      </w:r>
    </w:p>
    <w:p w14:paraId="4CCBB390" w14:textId="77777777" w:rsidR="00AB48C3" w:rsidRPr="0008763E" w:rsidRDefault="00AB48C3" w:rsidP="0008763E">
      <w:pPr>
        <w:tabs>
          <w:tab w:val="left" w:pos="580"/>
          <w:tab w:val="left" w:pos="1180"/>
        </w:tabs>
        <w:spacing w:line="360" w:lineRule="auto"/>
        <w:rPr>
          <w:rFonts w:ascii="Arial" w:hAnsi="Arial" w:cs="Arial"/>
        </w:rPr>
      </w:pPr>
    </w:p>
    <w:p w14:paraId="3DB47873" w14:textId="30E9FBB7" w:rsidR="00B400C2" w:rsidRPr="0008763E" w:rsidRDefault="00876BA4" w:rsidP="0008763E">
      <w:pPr>
        <w:tabs>
          <w:tab w:val="left" w:pos="580"/>
          <w:tab w:val="left" w:pos="1180"/>
        </w:tabs>
        <w:spacing w:line="360" w:lineRule="auto"/>
        <w:rPr>
          <w:rFonts w:ascii="Arial" w:hAnsi="Arial" w:cs="Arial"/>
        </w:rPr>
      </w:pPr>
      <w:r w:rsidRPr="0008763E">
        <w:rPr>
          <w:rFonts w:ascii="Arial" w:hAnsi="Arial" w:cs="Arial"/>
          <w:b/>
        </w:rPr>
        <w:t>Website</w:t>
      </w:r>
      <w:r w:rsidRPr="0008763E">
        <w:rPr>
          <w:rFonts w:ascii="Arial" w:hAnsi="Arial" w:cs="Arial"/>
          <w:b/>
        </w:rPr>
        <w:tab/>
      </w:r>
      <w:hyperlink r:id="rId11" w:history="1">
        <w:r w:rsidR="00322F73" w:rsidRPr="007D1040">
          <w:rPr>
            <w:rStyle w:val="Hyperlink"/>
            <w:rFonts w:ascii="Arial" w:hAnsi="Arial" w:cs="Arial"/>
          </w:rPr>
          <w:t>www.gov.uk/hmrc</w:t>
        </w:r>
      </w:hyperlink>
    </w:p>
    <w:sectPr w:rsidR="00B400C2" w:rsidRPr="0008763E" w:rsidSect="00266AB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11FA7" w14:textId="77777777" w:rsidR="0010517B" w:rsidRDefault="0010517B" w:rsidP="003A7CFB">
      <w:r>
        <w:separator/>
      </w:r>
    </w:p>
  </w:endnote>
  <w:endnote w:type="continuationSeparator" w:id="0">
    <w:p w14:paraId="5CD61BB1" w14:textId="77777777" w:rsidR="0010517B" w:rsidRDefault="0010517B" w:rsidP="003A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A26E6" w14:textId="77777777" w:rsidR="0010517B" w:rsidRDefault="0010517B" w:rsidP="003A7CFB">
      <w:r>
        <w:separator/>
      </w:r>
    </w:p>
  </w:footnote>
  <w:footnote w:type="continuationSeparator" w:id="0">
    <w:p w14:paraId="0E4FCDAB" w14:textId="77777777" w:rsidR="0010517B" w:rsidRDefault="0010517B" w:rsidP="003A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679A"/>
    <w:multiLevelType w:val="hybridMultilevel"/>
    <w:tmpl w:val="0B7ACD78"/>
    <w:lvl w:ilvl="0" w:tplc="CD2467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5548"/>
    <w:multiLevelType w:val="hybridMultilevel"/>
    <w:tmpl w:val="75F0E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97CCB"/>
    <w:multiLevelType w:val="hybridMultilevel"/>
    <w:tmpl w:val="A790E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21F96"/>
    <w:multiLevelType w:val="hybridMultilevel"/>
    <w:tmpl w:val="FA762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E6D1C"/>
    <w:multiLevelType w:val="hybridMultilevel"/>
    <w:tmpl w:val="F0D6C366"/>
    <w:lvl w:ilvl="0" w:tplc="CD2467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>
      <w:start w:val="1"/>
      <w:numFmt w:val="lowerRoman"/>
      <w:lvlText w:val="%3."/>
      <w:lvlJc w:val="right"/>
      <w:pPr>
        <w:ind w:left="1876" w:hanging="180"/>
      </w:pPr>
    </w:lvl>
    <w:lvl w:ilvl="3" w:tplc="0809000F">
      <w:start w:val="1"/>
      <w:numFmt w:val="decimal"/>
      <w:lvlText w:val="%4."/>
      <w:lvlJc w:val="left"/>
      <w:pPr>
        <w:ind w:left="2596" w:hanging="360"/>
      </w:pPr>
    </w:lvl>
    <w:lvl w:ilvl="4" w:tplc="08090019">
      <w:start w:val="1"/>
      <w:numFmt w:val="lowerLetter"/>
      <w:lvlText w:val="%5."/>
      <w:lvlJc w:val="left"/>
      <w:pPr>
        <w:ind w:left="3316" w:hanging="360"/>
      </w:pPr>
    </w:lvl>
    <w:lvl w:ilvl="5" w:tplc="0809001B">
      <w:start w:val="1"/>
      <w:numFmt w:val="lowerRoman"/>
      <w:lvlText w:val="%6."/>
      <w:lvlJc w:val="right"/>
      <w:pPr>
        <w:ind w:left="4036" w:hanging="180"/>
      </w:pPr>
    </w:lvl>
    <w:lvl w:ilvl="6" w:tplc="0809000F">
      <w:start w:val="1"/>
      <w:numFmt w:val="decimal"/>
      <w:lvlText w:val="%7."/>
      <w:lvlJc w:val="left"/>
      <w:pPr>
        <w:ind w:left="4756" w:hanging="360"/>
      </w:pPr>
    </w:lvl>
    <w:lvl w:ilvl="7" w:tplc="08090019">
      <w:start w:val="1"/>
      <w:numFmt w:val="lowerLetter"/>
      <w:lvlText w:val="%8."/>
      <w:lvlJc w:val="left"/>
      <w:pPr>
        <w:ind w:left="5476" w:hanging="360"/>
      </w:pPr>
    </w:lvl>
    <w:lvl w:ilvl="8" w:tplc="080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C0"/>
    <w:rsid w:val="00001511"/>
    <w:rsid w:val="00012366"/>
    <w:rsid w:val="000400AE"/>
    <w:rsid w:val="00040235"/>
    <w:rsid w:val="000541DC"/>
    <w:rsid w:val="00055210"/>
    <w:rsid w:val="0008763E"/>
    <w:rsid w:val="00092C8C"/>
    <w:rsid w:val="00094934"/>
    <w:rsid w:val="000A1754"/>
    <w:rsid w:val="000A62CB"/>
    <w:rsid w:val="000D7CAE"/>
    <w:rsid w:val="000F54E8"/>
    <w:rsid w:val="0010517B"/>
    <w:rsid w:val="001331AA"/>
    <w:rsid w:val="001648F9"/>
    <w:rsid w:val="00165F0A"/>
    <w:rsid w:val="00175FFF"/>
    <w:rsid w:val="00194F02"/>
    <w:rsid w:val="001A77AB"/>
    <w:rsid w:val="001D4ABE"/>
    <w:rsid w:val="001E7AAA"/>
    <w:rsid w:val="001F20C9"/>
    <w:rsid w:val="00215C64"/>
    <w:rsid w:val="002677A7"/>
    <w:rsid w:val="00283CB2"/>
    <w:rsid w:val="002B358C"/>
    <w:rsid w:val="002D3BC5"/>
    <w:rsid w:val="002F2361"/>
    <w:rsid w:val="002F38B6"/>
    <w:rsid w:val="002F7844"/>
    <w:rsid w:val="003107E2"/>
    <w:rsid w:val="003110CD"/>
    <w:rsid w:val="00322F73"/>
    <w:rsid w:val="00324C23"/>
    <w:rsid w:val="00337DB7"/>
    <w:rsid w:val="003425C3"/>
    <w:rsid w:val="003456EA"/>
    <w:rsid w:val="00362514"/>
    <w:rsid w:val="00366065"/>
    <w:rsid w:val="003724A4"/>
    <w:rsid w:val="00376B52"/>
    <w:rsid w:val="00385960"/>
    <w:rsid w:val="003876A3"/>
    <w:rsid w:val="00390C78"/>
    <w:rsid w:val="00391867"/>
    <w:rsid w:val="003971D0"/>
    <w:rsid w:val="003A126D"/>
    <w:rsid w:val="003A7CFB"/>
    <w:rsid w:val="003B28E4"/>
    <w:rsid w:val="003C0B2A"/>
    <w:rsid w:val="003E1DC7"/>
    <w:rsid w:val="003E65C0"/>
    <w:rsid w:val="003F2F48"/>
    <w:rsid w:val="00413C7D"/>
    <w:rsid w:val="00430B30"/>
    <w:rsid w:val="00435BDF"/>
    <w:rsid w:val="0045741A"/>
    <w:rsid w:val="00462C74"/>
    <w:rsid w:val="00482F01"/>
    <w:rsid w:val="004842D2"/>
    <w:rsid w:val="004B4822"/>
    <w:rsid w:val="004F47A9"/>
    <w:rsid w:val="00507A12"/>
    <w:rsid w:val="00536C26"/>
    <w:rsid w:val="00537301"/>
    <w:rsid w:val="00550007"/>
    <w:rsid w:val="00553974"/>
    <w:rsid w:val="00556E0C"/>
    <w:rsid w:val="0057523F"/>
    <w:rsid w:val="0058356D"/>
    <w:rsid w:val="005B33DD"/>
    <w:rsid w:val="005B43E5"/>
    <w:rsid w:val="005C1B22"/>
    <w:rsid w:val="005F27E8"/>
    <w:rsid w:val="005F639B"/>
    <w:rsid w:val="006356BB"/>
    <w:rsid w:val="00642061"/>
    <w:rsid w:val="00644424"/>
    <w:rsid w:val="00647517"/>
    <w:rsid w:val="00653D92"/>
    <w:rsid w:val="00694509"/>
    <w:rsid w:val="006B0722"/>
    <w:rsid w:val="006B3257"/>
    <w:rsid w:val="00715AE4"/>
    <w:rsid w:val="007261FB"/>
    <w:rsid w:val="00740026"/>
    <w:rsid w:val="00781112"/>
    <w:rsid w:val="00793E2B"/>
    <w:rsid w:val="007B58F7"/>
    <w:rsid w:val="007C7647"/>
    <w:rsid w:val="007F5165"/>
    <w:rsid w:val="00813B74"/>
    <w:rsid w:val="008278D0"/>
    <w:rsid w:val="00837BC0"/>
    <w:rsid w:val="00855CD6"/>
    <w:rsid w:val="00876BA4"/>
    <w:rsid w:val="00895619"/>
    <w:rsid w:val="008A6318"/>
    <w:rsid w:val="008B34B7"/>
    <w:rsid w:val="008E7B15"/>
    <w:rsid w:val="008F21D9"/>
    <w:rsid w:val="0091306B"/>
    <w:rsid w:val="00916806"/>
    <w:rsid w:val="0092502A"/>
    <w:rsid w:val="00940983"/>
    <w:rsid w:val="00947CC3"/>
    <w:rsid w:val="00961EF9"/>
    <w:rsid w:val="009861F3"/>
    <w:rsid w:val="009A3D64"/>
    <w:rsid w:val="009B384F"/>
    <w:rsid w:val="009D1B70"/>
    <w:rsid w:val="00A02736"/>
    <w:rsid w:val="00A52B57"/>
    <w:rsid w:val="00A62E41"/>
    <w:rsid w:val="00A7136A"/>
    <w:rsid w:val="00AB2AB9"/>
    <w:rsid w:val="00AB48C3"/>
    <w:rsid w:val="00AE147A"/>
    <w:rsid w:val="00B221E6"/>
    <w:rsid w:val="00B400C2"/>
    <w:rsid w:val="00B42744"/>
    <w:rsid w:val="00B46B0B"/>
    <w:rsid w:val="00B746B2"/>
    <w:rsid w:val="00B7549E"/>
    <w:rsid w:val="00B81EB0"/>
    <w:rsid w:val="00B902F1"/>
    <w:rsid w:val="00B9079A"/>
    <w:rsid w:val="00BB10F0"/>
    <w:rsid w:val="00BD0BBE"/>
    <w:rsid w:val="00BD2997"/>
    <w:rsid w:val="00BE3B3B"/>
    <w:rsid w:val="00BE7AA8"/>
    <w:rsid w:val="00C56ECC"/>
    <w:rsid w:val="00C667B3"/>
    <w:rsid w:val="00C80390"/>
    <w:rsid w:val="00CB5461"/>
    <w:rsid w:val="00CC6A61"/>
    <w:rsid w:val="00D03306"/>
    <w:rsid w:val="00D04FEF"/>
    <w:rsid w:val="00D61999"/>
    <w:rsid w:val="00D7783B"/>
    <w:rsid w:val="00D82A44"/>
    <w:rsid w:val="00D8380F"/>
    <w:rsid w:val="00D91D5E"/>
    <w:rsid w:val="00D93281"/>
    <w:rsid w:val="00DC56EA"/>
    <w:rsid w:val="00DD38D9"/>
    <w:rsid w:val="00DE38C3"/>
    <w:rsid w:val="00E06976"/>
    <w:rsid w:val="00E30CC4"/>
    <w:rsid w:val="00E4272D"/>
    <w:rsid w:val="00E63940"/>
    <w:rsid w:val="00E64672"/>
    <w:rsid w:val="00E80543"/>
    <w:rsid w:val="00E837E6"/>
    <w:rsid w:val="00E83BB9"/>
    <w:rsid w:val="00E85E3A"/>
    <w:rsid w:val="00EB43D9"/>
    <w:rsid w:val="00EB5C63"/>
    <w:rsid w:val="00EC630B"/>
    <w:rsid w:val="00ED2F18"/>
    <w:rsid w:val="00EE06B6"/>
    <w:rsid w:val="00EE4CE4"/>
    <w:rsid w:val="00EE634D"/>
    <w:rsid w:val="00EF5D57"/>
    <w:rsid w:val="00F55D24"/>
    <w:rsid w:val="00F70EFA"/>
    <w:rsid w:val="00F76CAD"/>
    <w:rsid w:val="00F85C65"/>
    <w:rsid w:val="00F90BB6"/>
    <w:rsid w:val="00FA3D9D"/>
    <w:rsid w:val="00FC5A01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BB0C"/>
  <w15:chartTrackingRefBased/>
  <w15:docId w15:val="{7C333F9D-3D99-416B-A76F-F1DF9D9C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A4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A7136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BA4"/>
    <w:rPr>
      <w:color w:val="0563C1" w:themeColor="hyperlink"/>
      <w:u w:val="single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876BA4"/>
    <w:pPr>
      <w:spacing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876BA4"/>
    <w:rPr>
      <w:rFonts w:ascii="Arial" w:eastAsia="Times New Roman" w:hAnsi="Arial" w:cs="Times New Roman"/>
      <w:szCs w:val="20"/>
    </w:rPr>
  </w:style>
  <w:style w:type="paragraph" w:customStyle="1" w:styleId="Contactdetails">
    <w:name w:val="Contact details"/>
    <w:basedOn w:val="Normal"/>
    <w:rsid w:val="00876BA4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eastAsia="Times New Roman" w:hAnsi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A7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CF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7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CFB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25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02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02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2A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FA3D9D"/>
    <w:rPr>
      <w:rFonts w:ascii="Arial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7136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wordsection1">
    <w:name w:val="wordsection1"/>
    <w:basedOn w:val="Normal"/>
    <w:rsid w:val="00D77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report-tobacco-or-alcohol-tax-evas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/hmrc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ger.kasper@hmrc.gs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ent.police.uk/jobs-recruiting-now/police-officer-new-recru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Lucy (Corp Comms Press Office)</dc:creator>
  <cp:keywords/>
  <dc:description/>
  <cp:lastModifiedBy>Kasper, Roger (HMRC Comms Press Office)</cp:lastModifiedBy>
  <cp:revision>5</cp:revision>
  <dcterms:created xsi:type="dcterms:W3CDTF">2019-01-24T10:31:00Z</dcterms:created>
  <dcterms:modified xsi:type="dcterms:W3CDTF">2019-01-25T11:37:00Z</dcterms:modified>
</cp:coreProperties>
</file>