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6A2E" w14:textId="48CC8A83" w:rsidR="00A25027" w:rsidRPr="005012B2" w:rsidRDefault="00E80C20" w:rsidP="004023DC">
      <w:pPr>
        <w:pStyle w:val="VisaHeadline"/>
        <w:spacing w:line="240" w:lineRule="auto"/>
        <w:jc w:val="center"/>
        <w:rPr>
          <w:rFonts w:ascii="Segoe UI" w:hAnsi="Segoe UI" w:cs="Segoe UI"/>
          <w:szCs w:val="40"/>
          <w:lang w:val="pl-PL" w:eastAsia="ko-KR"/>
        </w:rPr>
      </w:pPr>
      <w:r w:rsidRPr="005012B2">
        <w:rPr>
          <w:rFonts w:ascii="Segoe UI" w:hAnsi="Segoe UI" w:cs="Segoe UI"/>
          <w:szCs w:val="40"/>
          <w:lang w:val="pl-PL" w:eastAsia="ko-KR"/>
        </w:rPr>
        <w:t xml:space="preserve">Visa </w:t>
      </w:r>
      <w:r w:rsidR="00BD6EB1" w:rsidRPr="005012B2">
        <w:rPr>
          <w:rFonts w:ascii="Segoe UI" w:hAnsi="Segoe UI" w:cs="Segoe UI"/>
          <w:szCs w:val="40"/>
          <w:lang w:val="pl-PL" w:eastAsia="ko-KR"/>
        </w:rPr>
        <w:t xml:space="preserve">przejmuje </w:t>
      </w:r>
      <w:proofErr w:type="spellStart"/>
      <w:r w:rsidR="004F1E25" w:rsidRPr="005012B2">
        <w:rPr>
          <w:rFonts w:ascii="Segoe UI" w:hAnsi="Segoe UI" w:cs="Segoe UI"/>
          <w:szCs w:val="40"/>
          <w:lang w:val="pl-PL" w:eastAsia="ko-KR"/>
        </w:rPr>
        <w:t>Earthport</w:t>
      </w:r>
      <w:proofErr w:type="spellEnd"/>
      <w:r w:rsidR="004F1E25" w:rsidRPr="005012B2">
        <w:rPr>
          <w:rFonts w:ascii="Segoe UI" w:hAnsi="Segoe UI" w:cs="Segoe UI"/>
          <w:szCs w:val="40"/>
          <w:lang w:val="pl-PL" w:eastAsia="ko-KR"/>
        </w:rPr>
        <w:t xml:space="preserve"> </w:t>
      </w:r>
    </w:p>
    <w:p w14:paraId="140125CE" w14:textId="274684F0" w:rsidR="009E76EB" w:rsidRPr="005012B2" w:rsidRDefault="00BD6EB1" w:rsidP="004023DC">
      <w:pPr>
        <w:pStyle w:val="s23"/>
        <w:spacing w:before="0" w:beforeAutospacing="0" w:after="0" w:afterAutospacing="0"/>
        <w:jc w:val="center"/>
        <w:rPr>
          <w:i/>
          <w:szCs w:val="40"/>
          <w:lang w:val="pl-PL" w:eastAsia="ko-KR"/>
        </w:rPr>
      </w:pPr>
      <w:r w:rsidRPr="005012B2">
        <w:rPr>
          <w:rFonts w:ascii="Segoe UI" w:hAnsi="Segoe UI" w:cs="Segoe UI"/>
          <w:i/>
          <w:szCs w:val="40"/>
          <w:lang w:val="pl-PL" w:eastAsia="ko-KR"/>
        </w:rPr>
        <w:t xml:space="preserve">Dzięki przejęciu </w:t>
      </w:r>
      <w:proofErr w:type="spellStart"/>
      <w:r w:rsidRPr="005012B2">
        <w:rPr>
          <w:rFonts w:ascii="Segoe UI" w:hAnsi="Segoe UI" w:cs="Segoe UI"/>
          <w:i/>
          <w:szCs w:val="40"/>
          <w:lang w:val="pl-PL" w:eastAsia="ko-KR"/>
        </w:rPr>
        <w:t>Earthport</w:t>
      </w:r>
      <w:proofErr w:type="spellEnd"/>
      <w:r w:rsidRPr="005012B2">
        <w:rPr>
          <w:rFonts w:ascii="Segoe UI" w:hAnsi="Segoe UI" w:cs="Segoe UI"/>
          <w:i/>
          <w:szCs w:val="40"/>
          <w:lang w:val="pl-PL" w:eastAsia="ko-KR"/>
        </w:rPr>
        <w:t xml:space="preserve"> przez</w:t>
      </w:r>
      <w:r w:rsidR="00656E99" w:rsidRPr="005012B2">
        <w:rPr>
          <w:rFonts w:ascii="Segoe UI" w:hAnsi="Segoe UI" w:cs="Segoe UI"/>
          <w:i/>
          <w:szCs w:val="40"/>
          <w:lang w:val="pl-PL" w:eastAsia="ko-KR"/>
        </w:rPr>
        <w:t xml:space="preserve"> </w:t>
      </w:r>
      <w:r w:rsidRPr="005012B2">
        <w:rPr>
          <w:rFonts w:ascii="Segoe UI" w:hAnsi="Segoe UI" w:cs="Segoe UI"/>
          <w:i/>
          <w:szCs w:val="40"/>
          <w:lang w:val="pl-PL" w:eastAsia="ko-KR"/>
        </w:rPr>
        <w:t xml:space="preserve">Visa </w:t>
      </w:r>
      <w:r w:rsidR="00211837" w:rsidRPr="005012B2">
        <w:rPr>
          <w:rFonts w:ascii="Segoe UI" w:hAnsi="Segoe UI" w:cs="Segoe UI"/>
          <w:i/>
          <w:szCs w:val="40"/>
          <w:lang w:val="pl-PL" w:eastAsia="ko-KR"/>
        </w:rPr>
        <w:t xml:space="preserve">globalne </w:t>
      </w:r>
      <w:r w:rsidRPr="005012B2">
        <w:rPr>
          <w:rFonts w:ascii="Segoe UI" w:hAnsi="Segoe UI" w:cs="Segoe UI"/>
          <w:i/>
          <w:szCs w:val="40"/>
          <w:lang w:val="pl-PL" w:eastAsia="ko-KR"/>
        </w:rPr>
        <w:t>płatności staną się szybsze, prostsze</w:t>
      </w:r>
      <w:r w:rsidR="0061649B" w:rsidRPr="005012B2">
        <w:rPr>
          <w:rFonts w:ascii="Segoe UI" w:hAnsi="Segoe UI" w:cs="Segoe UI"/>
          <w:i/>
          <w:szCs w:val="40"/>
          <w:lang w:val="pl-PL" w:eastAsia="ko-KR"/>
        </w:rPr>
        <w:t xml:space="preserve">, </w:t>
      </w:r>
      <w:r w:rsidR="006066C5" w:rsidRPr="005012B2">
        <w:rPr>
          <w:rFonts w:ascii="Segoe UI" w:hAnsi="Segoe UI" w:cs="Segoe UI"/>
          <w:i/>
          <w:szCs w:val="40"/>
          <w:lang w:val="pl-PL" w:eastAsia="ko-KR"/>
        </w:rPr>
        <w:t xml:space="preserve">bardziej </w:t>
      </w:r>
      <w:r w:rsidRPr="005012B2">
        <w:rPr>
          <w:rFonts w:ascii="Segoe UI" w:hAnsi="Segoe UI" w:cs="Segoe UI"/>
          <w:i/>
          <w:szCs w:val="40"/>
          <w:lang w:val="pl-PL" w:eastAsia="ko-KR"/>
        </w:rPr>
        <w:t>przejrzyst</w:t>
      </w:r>
      <w:r w:rsidR="006066C5" w:rsidRPr="005012B2">
        <w:rPr>
          <w:rFonts w:ascii="Segoe UI" w:hAnsi="Segoe UI" w:cs="Segoe UI"/>
          <w:i/>
          <w:szCs w:val="40"/>
          <w:lang w:val="pl-PL" w:eastAsia="ko-KR"/>
        </w:rPr>
        <w:t>e</w:t>
      </w:r>
      <w:r w:rsidRPr="005012B2">
        <w:rPr>
          <w:rFonts w:ascii="Segoe UI" w:hAnsi="Segoe UI" w:cs="Segoe UI"/>
          <w:i/>
          <w:szCs w:val="40"/>
          <w:lang w:val="pl-PL" w:eastAsia="ko-KR"/>
        </w:rPr>
        <w:t xml:space="preserve"> i będą cieszyć się większym zaufaniem</w:t>
      </w:r>
    </w:p>
    <w:p w14:paraId="0B140111" w14:textId="77777777" w:rsidR="001D4080" w:rsidRPr="005012B2" w:rsidRDefault="009E76EB" w:rsidP="004023DC">
      <w:pPr>
        <w:pStyle w:val="s23"/>
        <w:spacing w:before="0" w:beforeAutospacing="0" w:after="0" w:afterAutospacing="0"/>
        <w:jc w:val="center"/>
        <w:rPr>
          <w:rFonts w:ascii="Segoe UI" w:eastAsia="Times New Roman" w:hAnsi="Segoe UI" w:cs="Segoe UI"/>
          <w:i/>
          <w:color w:val="000000" w:themeColor="text1"/>
          <w:sz w:val="22"/>
          <w:szCs w:val="22"/>
          <w:lang w:val="pl-PL" w:eastAsia="en-US"/>
        </w:rPr>
      </w:pPr>
      <w:r w:rsidRPr="005012B2">
        <w:rPr>
          <w:rFonts w:ascii="Segoe UI" w:hAnsi="Segoe UI" w:cs="Segoe UI"/>
          <w:i/>
          <w:szCs w:val="40"/>
          <w:lang w:val="pl-PL" w:eastAsia="ko-KR"/>
        </w:rPr>
        <w:t xml:space="preserve"> </w:t>
      </w:r>
      <w:r w:rsidR="00C26C27" w:rsidRPr="005012B2">
        <w:rPr>
          <w:rFonts w:ascii="Segoe UI" w:hAnsi="Segoe UI" w:cs="Segoe UI"/>
          <w:i/>
          <w:szCs w:val="40"/>
          <w:lang w:val="pl-PL" w:eastAsia="ko-KR"/>
        </w:rPr>
        <w:t xml:space="preserve">  </w:t>
      </w:r>
    </w:p>
    <w:p w14:paraId="1979A99E" w14:textId="3B025ED5" w:rsidR="0087258E" w:rsidRPr="005012B2" w:rsidRDefault="00072A6B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 xml:space="preserve">SAN FRANCISCO </w:t>
      </w:r>
      <w:proofErr w:type="spellStart"/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>i</w:t>
      </w:r>
      <w:proofErr w:type="spellEnd"/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 xml:space="preserve"> LONDYN – </w:t>
      </w:r>
      <w:r w:rsidR="00C630E8" w:rsidRPr="00725B7F">
        <w:rPr>
          <w:rStyle w:val="s22"/>
          <w:rFonts w:ascii="Segoe UI" w:hAnsi="Segoe UI" w:cs="Segoe UI"/>
          <w:b/>
          <w:bCs/>
          <w:sz w:val="22"/>
          <w:szCs w:val="22"/>
        </w:rPr>
        <w:t>1</w:t>
      </w:r>
      <w:r w:rsidR="00725B7F">
        <w:rPr>
          <w:rStyle w:val="s22"/>
          <w:rFonts w:ascii="Segoe UI" w:hAnsi="Segoe UI" w:cs="Segoe UI"/>
          <w:b/>
          <w:bCs/>
          <w:sz w:val="22"/>
          <w:szCs w:val="22"/>
        </w:rPr>
        <w:t>3</w:t>
      </w:r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>maja</w:t>
      </w:r>
      <w:proofErr w:type="spellEnd"/>
      <w:r w:rsidR="4DBB6DEF" w:rsidRPr="00725B7F">
        <w:rPr>
          <w:rStyle w:val="s22"/>
          <w:rFonts w:ascii="Segoe UI" w:hAnsi="Segoe UI" w:cs="Segoe UI"/>
          <w:b/>
          <w:bCs/>
          <w:sz w:val="22"/>
          <w:szCs w:val="22"/>
        </w:rPr>
        <w:t xml:space="preserve"> 201</w:t>
      </w:r>
      <w:r w:rsidRPr="00725B7F">
        <w:rPr>
          <w:rStyle w:val="s22"/>
          <w:rFonts w:ascii="Segoe UI" w:hAnsi="Segoe UI" w:cs="Segoe UI"/>
          <w:b/>
          <w:bCs/>
          <w:sz w:val="22"/>
          <w:szCs w:val="22"/>
        </w:rPr>
        <w:t>9 r.</w:t>
      </w:r>
      <w:r w:rsidR="4DBB6DEF" w:rsidRPr="00725B7F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725B7F">
        <w:rPr>
          <w:rStyle w:val="s22"/>
          <w:rFonts w:ascii="Segoe UI" w:hAnsi="Segoe UI" w:cs="Segoe UI"/>
          <w:sz w:val="22"/>
          <w:szCs w:val="22"/>
        </w:rPr>
        <w:t>—</w:t>
      </w:r>
      <w:r w:rsidR="005740DB" w:rsidRPr="00725B7F">
        <w:rPr>
          <w:rStyle w:val="s22"/>
          <w:rFonts w:ascii="Times New Roman" w:hAnsi="Times New Roman" w:cs="Times New Roman"/>
          <w:sz w:val="22"/>
          <w:szCs w:val="22"/>
        </w:rPr>
        <w:t xml:space="preserve"> </w:t>
      </w:r>
      <w:r w:rsidRPr="00725B7F">
        <w:rPr>
          <w:rStyle w:val="s22"/>
          <w:rFonts w:ascii="Segoe UI" w:hAnsi="Segoe UI" w:cs="Segoe UI"/>
          <w:sz w:val="22"/>
          <w:szCs w:val="22"/>
        </w:rPr>
        <w:t xml:space="preserve">Visa Inc. </w:t>
      </w:r>
      <w:r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(NYSE:V) poinformowała o przejęciu </w:t>
      </w:r>
      <w:proofErr w:type="spellStart"/>
      <w:r w:rsidRPr="005012B2">
        <w:rPr>
          <w:rStyle w:val="s22"/>
          <w:rFonts w:ascii="Segoe UI" w:hAnsi="Segoe UI" w:cs="Segoe UI"/>
          <w:sz w:val="22"/>
          <w:szCs w:val="22"/>
          <w:lang w:val="pl-PL"/>
        </w:rPr>
        <w:t>Earthport</w:t>
      </w:r>
      <w:proofErr w:type="spellEnd"/>
      <w:r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(AIM</w:t>
      </w:r>
      <w:r w:rsidR="00E675FD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:EPO), </w:t>
      </w:r>
      <w:r w:rsidR="00C15F32" w:rsidRPr="005012B2">
        <w:rPr>
          <w:rFonts w:ascii="Segoe UI" w:hAnsi="Segoe UI" w:cs="Segoe UI"/>
          <w:sz w:val="22"/>
          <w:szCs w:val="22"/>
          <w:lang w:val="pl-PL"/>
        </w:rPr>
        <w:t xml:space="preserve">spółki </w:t>
      </w:r>
      <w:r w:rsidR="00C15F32" w:rsidRPr="005012B2">
        <w:rPr>
          <w:rStyle w:val="s22"/>
          <w:rFonts w:ascii="Segoe UI" w:hAnsi="Segoe UI" w:cs="Segoe UI"/>
          <w:sz w:val="22"/>
          <w:szCs w:val="22"/>
          <w:lang w:val="pl-PL"/>
        </w:rPr>
        <w:t>wykorzystującej największą na świecie niezależną sieć</w:t>
      </w:r>
      <w:r w:rsidR="004B02E8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4B02E8" w:rsidRPr="005012B2">
        <w:rPr>
          <w:rStyle w:val="s22"/>
          <w:rFonts w:ascii="Segoe UI" w:hAnsi="Segoe UI" w:cs="Segoe UI"/>
          <w:sz w:val="22"/>
          <w:szCs w:val="22"/>
          <w:lang w:val="pl-PL"/>
        </w:rPr>
        <w:t>Automated</w:t>
      </w:r>
      <w:proofErr w:type="spellEnd"/>
      <w:r w:rsidR="004B02E8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Clearing House</w:t>
      </w:r>
      <w:r w:rsidR="00BC0731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4B02E8" w:rsidRPr="005012B2">
        <w:rPr>
          <w:rStyle w:val="s22"/>
          <w:rFonts w:ascii="Segoe UI" w:hAnsi="Segoe UI" w:cs="Segoe UI"/>
          <w:sz w:val="22"/>
          <w:szCs w:val="22"/>
          <w:lang w:val="pl-PL"/>
        </w:rPr>
        <w:t>(</w:t>
      </w:r>
      <w:r w:rsidR="00C15F32" w:rsidRPr="005012B2">
        <w:rPr>
          <w:rStyle w:val="s22"/>
          <w:rFonts w:ascii="Segoe UI" w:hAnsi="Segoe UI" w:cs="Segoe UI"/>
          <w:sz w:val="22"/>
          <w:szCs w:val="22"/>
          <w:lang w:val="pl-PL"/>
        </w:rPr>
        <w:t>ACH</w:t>
      </w:r>
      <w:r w:rsidR="004B02E8" w:rsidRPr="005012B2">
        <w:rPr>
          <w:rStyle w:val="s22"/>
          <w:rFonts w:ascii="Segoe UI" w:hAnsi="Segoe UI" w:cs="Segoe UI"/>
          <w:sz w:val="22"/>
          <w:szCs w:val="22"/>
          <w:lang w:val="pl-PL"/>
        </w:rPr>
        <w:t>)</w:t>
      </w:r>
      <w:r w:rsidR="004074C0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C15F32" w:rsidRPr="005012B2">
        <w:rPr>
          <w:rFonts w:ascii="Segoe UI" w:hAnsi="Segoe UI" w:cs="Segoe UI"/>
          <w:sz w:val="22"/>
          <w:szCs w:val="22"/>
          <w:lang w:val="pl-PL"/>
        </w:rPr>
        <w:t>do świadczenia usług w obszarze płatności transgranicznych na rzecz ba</w:t>
      </w:r>
      <w:r w:rsidR="00DC464A" w:rsidRPr="005012B2">
        <w:rPr>
          <w:rFonts w:ascii="Segoe UI" w:hAnsi="Segoe UI" w:cs="Segoe UI"/>
          <w:sz w:val="22"/>
          <w:szCs w:val="22"/>
          <w:lang w:val="pl-PL"/>
        </w:rPr>
        <w:t xml:space="preserve">nków, </w:t>
      </w:r>
      <w:r w:rsidR="00AF764D" w:rsidRPr="005012B2">
        <w:rPr>
          <w:rFonts w:ascii="Segoe UI" w:hAnsi="Segoe UI" w:cs="Segoe UI"/>
          <w:sz w:val="22"/>
          <w:szCs w:val="22"/>
          <w:lang w:val="pl-PL"/>
        </w:rPr>
        <w:t xml:space="preserve">korporacji </w:t>
      </w:r>
      <w:r w:rsidR="00DC464A" w:rsidRPr="005012B2">
        <w:rPr>
          <w:rFonts w:ascii="Segoe UI" w:hAnsi="Segoe UI" w:cs="Segoe UI"/>
          <w:sz w:val="22"/>
          <w:szCs w:val="22"/>
          <w:lang w:val="pl-PL"/>
        </w:rPr>
        <w:t>i</w:t>
      </w:r>
      <w:r w:rsidR="00714A0A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F764D" w:rsidRPr="005012B2">
        <w:rPr>
          <w:rFonts w:ascii="Segoe UI" w:hAnsi="Segoe UI" w:cs="Segoe UI"/>
          <w:sz w:val="22"/>
          <w:szCs w:val="22"/>
          <w:lang w:val="pl-PL"/>
        </w:rPr>
        <w:t>firm świadczących usługi w zakresie</w:t>
      </w:r>
      <w:r w:rsidR="00714A0A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C15F32" w:rsidRPr="005012B2">
        <w:rPr>
          <w:rFonts w:ascii="Segoe UI" w:hAnsi="Segoe UI" w:cs="Segoe UI"/>
          <w:sz w:val="22"/>
          <w:szCs w:val="22"/>
          <w:lang w:val="pl-PL"/>
        </w:rPr>
        <w:t>przelewów</w:t>
      </w:r>
      <w:r w:rsidR="4DBB6DE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. </w:t>
      </w:r>
    </w:p>
    <w:p w14:paraId="6B6CCDF7" w14:textId="77777777" w:rsidR="0087258E" w:rsidRPr="005012B2" w:rsidRDefault="0087258E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48266614" w14:textId="582E2C0D" w:rsidR="00440122" w:rsidRPr="005012B2" w:rsidRDefault="000B0122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Obecnie Visa umożliwia przesyłanie środków na lub z kart Visa. 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>Dzięki przejęciu</w:t>
      </w:r>
      <w:r w:rsidR="00072A6B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072A6B" w:rsidRPr="005012B2">
        <w:rPr>
          <w:rStyle w:val="s22"/>
          <w:rFonts w:ascii="Segoe UI" w:hAnsi="Segoe UI" w:cs="Segoe UI"/>
          <w:sz w:val="22"/>
          <w:szCs w:val="22"/>
          <w:lang w:val="pl-PL"/>
        </w:rPr>
        <w:t>Earthpor</w:t>
      </w:r>
      <w:r w:rsidR="00A13E4F" w:rsidRPr="005012B2">
        <w:rPr>
          <w:rStyle w:val="s22"/>
          <w:rFonts w:ascii="Segoe UI" w:hAnsi="Segoe UI" w:cs="Segoe UI"/>
          <w:sz w:val="22"/>
          <w:szCs w:val="22"/>
          <w:lang w:val="pl-PL"/>
        </w:rPr>
        <w:t>t</w:t>
      </w:r>
      <w:proofErr w:type="spellEnd"/>
      <w:r w:rsidR="00A13E4F" w:rsidRPr="005012B2">
        <w:rPr>
          <w:rStyle w:val="s22"/>
          <w:rFonts w:ascii="Segoe UI" w:hAnsi="Segoe UI" w:cs="Segoe UI"/>
          <w:sz w:val="22"/>
          <w:szCs w:val="22"/>
          <w:lang w:val="pl-PL"/>
        </w:rPr>
        <w:t>,</w:t>
      </w:r>
      <w:r w:rsidR="0022135F" w:rsidRPr="005012B2">
        <w:rPr>
          <w:rStyle w:val="s22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31132" w:rsidRPr="005012B2">
        <w:rPr>
          <w:rStyle w:val="s22"/>
          <w:rFonts w:ascii="Segoe UI" w:hAnsi="Segoe UI" w:cs="Segoe UI"/>
          <w:sz w:val="22"/>
          <w:szCs w:val="22"/>
          <w:lang w:val="pl-PL"/>
        </w:rPr>
        <w:t>klienci</w:t>
      </w:r>
      <w:r w:rsidR="00B73D0D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biznesowi</w:t>
      </w:r>
      <w:r w:rsidR="00627765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A13E4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Visa będą mogli </w:t>
      </w:r>
      <w:r w:rsidR="00DC464A" w:rsidRPr="005012B2">
        <w:rPr>
          <w:rStyle w:val="s22"/>
          <w:rFonts w:ascii="Segoe UI" w:hAnsi="Segoe UI" w:cs="Segoe UI"/>
          <w:sz w:val="22"/>
          <w:szCs w:val="22"/>
          <w:lang w:val="pl-PL"/>
        </w:rPr>
        <w:t>um</w:t>
      </w:r>
      <w:r w:rsidR="005740DB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ożliwić </w:t>
      </w:r>
      <w:r w:rsidR="00B73D0D" w:rsidRPr="005012B2">
        <w:rPr>
          <w:rStyle w:val="s22"/>
          <w:rFonts w:ascii="Segoe UI" w:hAnsi="Segoe UI" w:cs="Segoe UI"/>
          <w:sz w:val="22"/>
          <w:szCs w:val="22"/>
          <w:lang w:val="pl-PL"/>
        </w:rPr>
        <w:t>użytkownikom indywidualnym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, firmom i rządom wykorzystywanie Visa do przesyłania i/lub otrzymywania pieniędzy </w:t>
      </w:r>
      <w:r w:rsidR="008041DA" w:rsidRPr="005012B2">
        <w:rPr>
          <w:rStyle w:val="s22"/>
          <w:rFonts w:ascii="Segoe UI" w:hAnsi="Segoe UI" w:cs="Segoe UI"/>
          <w:sz w:val="22"/>
          <w:szCs w:val="22"/>
          <w:lang w:val="pl-PL"/>
        </w:rPr>
        <w:t>za pośrednictwem rachunków bankowych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5F4D0D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na </w:t>
      </w:r>
      <w:r w:rsidR="00EC399A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całym 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>świecie</w:t>
      </w:r>
      <w:r w:rsidR="005D0FC5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. 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W ten sposób </w:t>
      </w:r>
      <w:r w:rsidR="00C26C27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Visa </w:t>
      </w:r>
      <w:r w:rsidR="00DA33ED" w:rsidRPr="005012B2">
        <w:rPr>
          <w:rStyle w:val="s22"/>
          <w:rFonts w:ascii="Segoe UI" w:hAnsi="Segoe UI" w:cs="Segoe UI"/>
          <w:sz w:val="22"/>
          <w:szCs w:val="22"/>
          <w:lang w:val="pl-PL"/>
        </w:rPr>
        <w:t>spodziewa się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dotrzeć do ogromnej większości ludzi </w:t>
      </w:r>
      <w:r w:rsidR="008041DA" w:rsidRPr="005012B2">
        <w:rPr>
          <w:rStyle w:val="s22"/>
          <w:rFonts w:ascii="Segoe UI" w:hAnsi="Segoe UI" w:cs="Segoe UI"/>
          <w:sz w:val="22"/>
          <w:szCs w:val="22"/>
          <w:lang w:val="pl-PL"/>
        </w:rPr>
        <w:t>posiadających rachunki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bankowe, oferując im prosty, szybki i bezpieczny sposób na przesyłanie </w:t>
      </w:r>
      <w:r w:rsidR="00E675FD" w:rsidRPr="005012B2">
        <w:rPr>
          <w:rStyle w:val="s22"/>
          <w:rFonts w:ascii="Segoe UI" w:hAnsi="Segoe UI" w:cs="Segoe UI"/>
          <w:sz w:val="22"/>
          <w:szCs w:val="22"/>
          <w:lang w:val="pl-PL"/>
        </w:rPr>
        <w:t>pieniędzy w dowolne miejsce na ś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>wiecie</w:t>
      </w:r>
      <w:r w:rsidR="00C26C27" w:rsidRPr="005012B2">
        <w:rPr>
          <w:rFonts w:ascii="Segoe UI" w:hAnsi="Segoe UI" w:cs="Segoe UI"/>
          <w:sz w:val="22"/>
          <w:szCs w:val="22"/>
          <w:lang w:val="pl-PL"/>
        </w:rPr>
        <w:t>.</w:t>
      </w:r>
      <w:r w:rsidR="00172856" w:rsidRPr="005012B2">
        <w:rPr>
          <w:rFonts w:ascii="Segoe UI" w:hAnsi="Segoe UI" w:cs="Segoe UI"/>
          <w:sz w:val="22"/>
          <w:szCs w:val="22"/>
          <w:lang w:val="pl-PL"/>
        </w:rPr>
        <w:t xml:space="preserve">  </w:t>
      </w:r>
    </w:p>
    <w:p w14:paraId="0426F618" w14:textId="77777777" w:rsidR="00594AA7" w:rsidRPr="005012B2" w:rsidRDefault="00594AA7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65BBAE9D" w14:textId="0E138B8B" w:rsidR="00CF3B92" w:rsidRPr="005012B2" w:rsidRDefault="00BC0731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5012B2">
        <w:rPr>
          <w:rFonts w:ascii="Segoe UI" w:hAnsi="Segoe UI" w:cs="Segoe UI"/>
          <w:sz w:val="22"/>
          <w:szCs w:val="22"/>
          <w:lang w:val="pl-PL"/>
        </w:rPr>
        <w:t xml:space="preserve">Dzisiaj </w:t>
      </w:r>
      <w:r w:rsidR="007B76EA" w:rsidRPr="005012B2">
        <w:rPr>
          <w:rFonts w:ascii="Segoe UI" w:hAnsi="Segoe UI" w:cs="Segoe UI"/>
          <w:sz w:val="22"/>
          <w:szCs w:val="22"/>
          <w:lang w:val="pl-PL"/>
        </w:rPr>
        <w:t xml:space="preserve">na całym świecie </w:t>
      </w:r>
      <w:r w:rsidR="00F044C7" w:rsidRPr="005012B2">
        <w:rPr>
          <w:rFonts w:ascii="Segoe UI" w:hAnsi="Segoe UI" w:cs="Segoe UI"/>
          <w:sz w:val="22"/>
          <w:szCs w:val="22"/>
          <w:lang w:val="pl-PL"/>
        </w:rPr>
        <w:t xml:space="preserve">za pośrednictwem </w:t>
      </w:r>
      <w:r w:rsidR="005012B2" w:rsidRPr="005012B2">
        <w:rPr>
          <w:rFonts w:ascii="Segoe UI" w:hAnsi="Segoe UI" w:cs="Segoe UI"/>
          <w:sz w:val="22"/>
          <w:szCs w:val="22"/>
          <w:lang w:val="pl-PL"/>
        </w:rPr>
        <w:t xml:space="preserve">przelewów i przekazów </w:t>
      </w:r>
      <w:r w:rsidR="005012B2">
        <w:rPr>
          <w:rFonts w:ascii="Segoe UI" w:hAnsi="Segoe UI" w:cs="Segoe UI"/>
          <w:sz w:val="22"/>
          <w:szCs w:val="22"/>
          <w:lang w:val="pl-PL"/>
        </w:rPr>
        <w:t>p</w:t>
      </w:r>
      <w:r w:rsidR="005012B2" w:rsidRPr="005012B2">
        <w:rPr>
          <w:rFonts w:ascii="Segoe UI" w:hAnsi="Segoe UI" w:cs="Segoe UI"/>
          <w:sz w:val="22"/>
          <w:szCs w:val="22"/>
          <w:lang w:val="pl-PL"/>
        </w:rPr>
        <w:t>ieniężn</w:t>
      </w:r>
      <w:r w:rsidR="005012B2">
        <w:rPr>
          <w:rFonts w:ascii="Segoe UI" w:hAnsi="Segoe UI" w:cs="Segoe UI"/>
          <w:sz w:val="22"/>
          <w:szCs w:val="22"/>
          <w:lang w:val="pl-PL"/>
        </w:rPr>
        <w:t xml:space="preserve">ych </w:t>
      </w:r>
      <w:r w:rsidR="0022135F" w:rsidRPr="005012B2">
        <w:rPr>
          <w:rFonts w:ascii="Segoe UI" w:hAnsi="Segoe UI" w:cs="Segoe UI"/>
          <w:sz w:val="22"/>
          <w:szCs w:val="22"/>
          <w:lang w:val="pl-PL"/>
        </w:rPr>
        <w:t xml:space="preserve">przesyłanych jest  </w:t>
      </w:r>
      <w:r w:rsidR="0022135F" w:rsidRPr="005012B2">
        <w:rPr>
          <w:rStyle w:val="s22"/>
          <w:rFonts w:ascii="Segoe UI" w:hAnsi="Segoe UI" w:cs="Segoe UI"/>
          <w:sz w:val="22"/>
          <w:szCs w:val="22"/>
          <w:lang w:val="pl-PL"/>
        </w:rPr>
        <w:t>prawie 80 bilionów dolarów</w:t>
      </w:r>
      <w:r w:rsidR="00A76316" w:rsidRPr="005012B2">
        <w:rPr>
          <w:rStyle w:val="Odwoanieprzypisudolnego"/>
          <w:rFonts w:ascii="Segoe UI" w:hAnsi="Segoe UI" w:cs="Segoe UI"/>
          <w:sz w:val="22"/>
          <w:szCs w:val="22"/>
          <w:lang w:val="pl-PL"/>
        </w:rPr>
        <w:footnoteReference w:id="2"/>
      </w:r>
      <w:r w:rsidR="006D5092" w:rsidRPr="005012B2">
        <w:rPr>
          <w:rFonts w:ascii="Segoe UI" w:hAnsi="Segoe UI" w:cs="Segoe UI"/>
          <w:sz w:val="22"/>
          <w:szCs w:val="22"/>
          <w:lang w:val="pl-PL"/>
        </w:rPr>
        <w:t>,</w:t>
      </w:r>
      <w:r w:rsidR="0022135F" w:rsidRPr="005012B2">
        <w:rPr>
          <w:rFonts w:ascii="Segoe UI" w:hAnsi="Segoe UI" w:cs="Segoe UI"/>
          <w:sz w:val="22"/>
          <w:szCs w:val="22"/>
          <w:lang w:val="pl-PL"/>
        </w:rPr>
        <w:t xml:space="preserve"> jest to</w:t>
      </w:r>
      <w:r w:rsidR="008041DA" w:rsidRPr="005012B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jednak</w:t>
      </w:r>
      <w:r w:rsidR="0022135F" w:rsidRPr="005012B2">
        <w:rPr>
          <w:rFonts w:ascii="Segoe UI" w:hAnsi="Segoe UI" w:cs="Segoe UI"/>
          <w:sz w:val="22"/>
          <w:szCs w:val="22"/>
          <w:lang w:val="pl-PL"/>
        </w:rPr>
        <w:t xml:space="preserve"> trudniejsze i bardziej skompli</w:t>
      </w:r>
      <w:r w:rsidR="00DC464A" w:rsidRPr="005012B2">
        <w:rPr>
          <w:rFonts w:ascii="Segoe UI" w:hAnsi="Segoe UI" w:cs="Segoe UI"/>
          <w:sz w:val="22"/>
          <w:szCs w:val="22"/>
          <w:lang w:val="pl-PL"/>
        </w:rPr>
        <w:t>kowane niż</w:t>
      </w:r>
      <w:r w:rsidR="00B6291F" w:rsidRPr="005012B2">
        <w:rPr>
          <w:rFonts w:ascii="Segoe UI" w:hAnsi="Segoe UI" w:cs="Segoe UI"/>
          <w:sz w:val="22"/>
          <w:szCs w:val="22"/>
          <w:lang w:val="pl-PL"/>
        </w:rPr>
        <w:t xml:space="preserve"> powinno być</w:t>
      </w:r>
      <w:r w:rsidR="003361EC" w:rsidRPr="005012B2">
        <w:rPr>
          <w:rFonts w:ascii="Segoe UI" w:hAnsi="Segoe UI" w:cs="Segoe UI"/>
          <w:sz w:val="22"/>
          <w:szCs w:val="22"/>
          <w:lang w:val="pl-PL"/>
        </w:rPr>
        <w:t>. Zanim pienią</w:t>
      </w:r>
      <w:r w:rsidR="0022135F" w:rsidRPr="005012B2">
        <w:rPr>
          <w:rFonts w:ascii="Segoe UI" w:hAnsi="Segoe UI" w:cs="Segoe UI"/>
          <w:sz w:val="22"/>
          <w:szCs w:val="22"/>
          <w:lang w:val="pl-PL"/>
        </w:rPr>
        <w:t>dze trafią na kont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o mogą minąć dni </w:t>
      </w:r>
      <w:r w:rsidRPr="005012B2">
        <w:rPr>
          <w:rFonts w:ascii="Segoe UI" w:hAnsi="Segoe UI" w:cs="Segoe UI"/>
          <w:sz w:val="22"/>
          <w:szCs w:val="22"/>
          <w:lang w:val="pl-PL"/>
        </w:rPr>
        <w:t>–</w:t>
      </w:r>
      <w:r w:rsidR="008A2F64" w:rsidRPr="005012B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>dzieje się tak d</w:t>
      </w:r>
      <w:r w:rsidR="003361EC" w:rsidRPr="005012B2">
        <w:rPr>
          <w:rFonts w:ascii="Segoe UI" w:hAnsi="Segoe UI" w:cs="Segoe UI"/>
          <w:sz w:val="22"/>
          <w:szCs w:val="22"/>
          <w:lang w:val="pl-PL"/>
        </w:rPr>
        <w:t>latego, że metody wykorzystywane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 przy tego rodzaju płatnościach są</w:t>
      </w:r>
      <w:r w:rsidR="0022135F" w:rsidRPr="005012B2">
        <w:rPr>
          <w:rFonts w:ascii="Segoe UI" w:hAnsi="Segoe UI" w:cs="Segoe UI"/>
          <w:sz w:val="22"/>
          <w:szCs w:val="22"/>
          <w:lang w:val="pl-PL"/>
        </w:rPr>
        <w:t xml:space="preserve"> przestarzałe, niewydajne i kosztowne</w:t>
      </w:r>
      <w:r w:rsidR="006D5092" w:rsidRPr="005012B2">
        <w:rPr>
          <w:rFonts w:ascii="Segoe UI" w:hAnsi="Segoe UI" w:cs="Segoe UI"/>
          <w:sz w:val="22"/>
          <w:szCs w:val="22"/>
          <w:lang w:val="pl-PL"/>
        </w:rPr>
        <w:t>.</w:t>
      </w:r>
    </w:p>
    <w:p w14:paraId="225C7FAF" w14:textId="00487DE5" w:rsidR="00443A85" w:rsidRPr="005012B2" w:rsidRDefault="005012B2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  <w:r>
        <w:rPr>
          <w:rFonts w:ascii="Segoe UI" w:hAnsi="Segoe UI" w:cs="Segoe UI"/>
          <w:sz w:val="22"/>
          <w:szCs w:val="22"/>
          <w:lang w:val="pl-PL"/>
        </w:rPr>
        <w:br/>
      </w:r>
      <w:r w:rsidR="00CA736C" w:rsidRPr="005012B2">
        <w:rPr>
          <w:rFonts w:ascii="Segoe UI" w:hAnsi="Segoe UI" w:cs="Segoe UI"/>
          <w:sz w:val="22"/>
          <w:szCs w:val="22"/>
          <w:lang w:val="pl-PL"/>
        </w:rPr>
        <w:t xml:space="preserve">Pozyskanie </w:t>
      </w:r>
      <w:proofErr w:type="spellStart"/>
      <w:r w:rsidR="00FF10EE" w:rsidRPr="005012B2">
        <w:rPr>
          <w:rFonts w:ascii="Segoe UI" w:hAnsi="Segoe UI" w:cs="Segoe UI"/>
          <w:sz w:val="22"/>
          <w:szCs w:val="22"/>
          <w:lang w:val="pl-PL"/>
        </w:rPr>
        <w:t>Earthport</w:t>
      </w:r>
      <w:proofErr w:type="spellEnd"/>
      <w:r w:rsidR="00FF10EE" w:rsidRPr="005012B2">
        <w:rPr>
          <w:rFonts w:ascii="Segoe UI" w:hAnsi="Segoe UI" w:cs="Segoe UI"/>
          <w:sz w:val="22"/>
          <w:szCs w:val="22"/>
          <w:lang w:val="pl-PL"/>
        </w:rPr>
        <w:t xml:space="preserve"> przez Visa </w:t>
      </w:r>
      <w:r w:rsidR="00C54B47" w:rsidRPr="005012B2">
        <w:rPr>
          <w:rFonts w:ascii="Segoe UI" w:hAnsi="Segoe UI" w:cs="Segoe UI"/>
          <w:sz w:val="22"/>
          <w:szCs w:val="22"/>
          <w:lang w:val="pl-PL"/>
        </w:rPr>
        <w:t xml:space="preserve">może zaowocować rozwiązaniami, które znajdą zastosowanie 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>przy realizowaniu różnych rodzajów płatności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, w tym</w:t>
      </w:r>
      <w:r w:rsidR="00C51790" w:rsidRPr="005012B2">
        <w:rPr>
          <w:rFonts w:ascii="Segoe UI" w:hAnsi="Segoe UI" w:cs="Segoe UI"/>
          <w:sz w:val="22"/>
          <w:szCs w:val="22"/>
          <w:lang w:val="pl-PL"/>
        </w:rPr>
        <w:t xml:space="preserve"> do </w:t>
      </w:r>
      <w:r w:rsidR="00A13E4F" w:rsidRPr="005012B2">
        <w:rPr>
          <w:rFonts w:ascii="Segoe UI" w:hAnsi="Segoe UI" w:cs="Segoe UI"/>
          <w:sz w:val="22"/>
          <w:szCs w:val="22"/>
          <w:lang w:val="pl-PL"/>
        </w:rPr>
        <w:t>zapła</w:t>
      </w:r>
      <w:r w:rsidR="00C51790" w:rsidRPr="005012B2">
        <w:rPr>
          <w:rFonts w:ascii="Segoe UI" w:hAnsi="Segoe UI" w:cs="Segoe UI"/>
          <w:sz w:val="22"/>
          <w:szCs w:val="22"/>
          <w:lang w:val="pl-PL"/>
        </w:rPr>
        <w:t>ty</w:t>
      </w:r>
      <w:r w:rsidR="00A13E4F" w:rsidRPr="005012B2">
        <w:rPr>
          <w:rFonts w:ascii="Segoe UI" w:hAnsi="Segoe UI" w:cs="Segoe UI"/>
          <w:sz w:val="22"/>
          <w:szCs w:val="22"/>
          <w:lang w:val="pl-PL"/>
        </w:rPr>
        <w:t xml:space="preserve"> wynagrodzeń 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 xml:space="preserve">czy </w:t>
      </w:r>
      <w:r w:rsidR="00C51790" w:rsidRPr="005012B2">
        <w:rPr>
          <w:rFonts w:ascii="Segoe UI" w:hAnsi="Segoe UI" w:cs="Segoe UI"/>
          <w:sz w:val="22"/>
          <w:szCs w:val="22"/>
          <w:lang w:val="pl-PL"/>
        </w:rPr>
        <w:t xml:space="preserve">wykonywania 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>międzynar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odowych przekaz</w:t>
      </w:r>
      <w:r w:rsidR="00B5149B">
        <w:rPr>
          <w:rFonts w:ascii="Segoe UI" w:hAnsi="Segoe UI" w:cs="Segoe UI"/>
          <w:sz w:val="22"/>
          <w:szCs w:val="22"/>
          <w:lang w:val="pl-PL"/>
        </w:rPr>
        <w:t>ów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 xml:space="preserve"> pieniężnych pom</w:t>
      </w:r>
      <w:r w:rsidR="00670C0A" w:rsidRPr="005012B2">
        <w:rPr>
          <w:rFonts w:ascii="Segoe UI" w:hAnsi="Segoe UI" w:cs="Segoe UI"/>
          <w:sz w:val="22"/>
          <w:szCs w:val="22"/>
          <w:lang w:val="pl-PL"/>
        </w:rPr>
        <w:t>iędzy klientami indywidualnymi lub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 xml:space="preserve"> firmami</w:t>
      </w:r>
      <w:r w:rsidR="001A196F" w:rsidRPr="005012B2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A13E4F" w:rsidRPr="005012B2">
        <w:rPr>
          <w:rFonts w:ascii="Segoe UI" w:hAnsi="Segoe UI" w:cs="Segoe UI"/>
          <w:sz w:val="22"/>
          <w:szCs w:val="22"/>
          <w:lang w:val="pl-PL"/>
        </w:rPr>
        <w:t>Z tego rodzaju rozwiązania może przykładowo skorzystać międzynarodowa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13E4F" w:rsidRPr="005012B2">
        <w:rPr>
          <w:rFonts w:ascii="Segoe UI" w:hAnsi="Segoe UI" w:cs="Segoe UI"/>
          <w:sz w:val="22"/>
          <w:szCs w:val="22"/>
          <w:lang w:val="pl-PL"/>
        </w:rPr>
        <w:t>spółka zatrudniająca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 xml:space="preserve"> na całym świecie wykonawców, którym należy zapła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>cić wynagrodzenie w ich lokalnej walucie</w:t>
      </w:r>
      <w:r w:rsidR="00E879FA" w:rsidRPr="005012B2">
        <w:rPr>
          <w:rFonts w:ascii="Segoe UI" w:hAnsi="Segoe UI" w:cs="Segoe UI"/>
          <w:sz w:val="22"/>
          <w:szCs w:val="22"/>
          <w:lang w:val="pl-PL"/>
        </w:rPr>
        <w:t>.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 xml:space="preserve"> Dzisiaj ta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>ka firma płaci</w:t>
      </w:r>
      <w:r w:rsidR="00670C0A" w:rsidRPr="005012B2">
        <w:rPr>
          <w:rFonts w:ascii="Segoe UI" w:hAnsi="Segoe UI" w:cs="Segoe UI"/>
          <w:sz w:val="22"/>
          <w:szCs w:val="22"/>
          <w:lang w:val="pl-PL"/>
        </w:rPr>
        <w:t xml:space="preserve"> swoim pracownikom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 wykorzystując mało wydajne i kosztowne przelewy</w:t>
      </w:r>
      <w:r w:rsidR="005740DB" w:rsidRPr="005012B2">
        <w:rPr>
          <w:rFonts w:ascii="Segoe UI" w:hAnsi="Segoe UI" w:cs="Segoe UI"/>
          <w:sz w:val="22"/>
          <w:szCs w:val="22"/>
          <w:lang w:val="pl-PL"/>
        </w:rPr>
        <w:t>, których zrealizowanie może</w:t>
      </w:r>
      <w:r w:rsidR="00B73D0D" w:rsidRPr="005012B2">
        <w:rPr>
          <w:rFonts w:ascii="Segoe UI" w:hAnsi="Segoe UI" w:cs="Segoe UI"/>
          <w:sz w:val="22"/>
          <w:szCs w:val="22"/>
          <w:lang w:val="pl-PL"/>
        </w:rPr>
        <w:t xml:space="preserve"> potrwać wiele dni</w:t>
      </w:r>
      <w:r w:rsidR="00670C0A" w:rsidRPr="005012B2">
        <w:rPr>
          <w:rFonts w:ascii="Segoe UI" w:hAnsi="Segoe UI" w:cs="Segoe UI"/>
          <w:sz w:val="22"/>
          <w:szCs w:val="22"/>
          <w:lang w:val="pl-PL"/>
        </w:rPr>
        <w:t xml:space="preserve">. Połączenie zdolności Visa i </w:t>
      </w:r>
      <w:proofErr w:type="spellStart"/>
      <w:r w:rsidR="00670C0A" w:rsidRPr="005012B2">
        <w:rPr>
          <w:rFonts w:ascii="Segoe UI" w:hAnsi="Segoe UI" w:cs="Segoe UI"/>
          <w:sz w:val="22"/>
          <w:szCs w:val="22"/>
          <w:lang w:val="pl-PL"/>
        </w:rPr>
        <w:t>Earthport</w:t>
      </w:r>
      <w:proofErr w:type="spellEnd"/>
      <w:r w:rsidR="00670C0A" w:rsidRPr="005012B2">
        <w:rPr>
          <w:rFonts w:ascii="Segoe UI" w:hAnsi="Segoe UI" w:cs="Segoe UI"/>
          <w:sz w:val="22"/>
          <w:szCs w:val="22"/>
          <w:lang w:val="pl-PL"/>
        </w:rPr>
        <w:t xml:space="preserve"> pozwoli Visa stworzyć jedną sieć dla tego rodzaju płatności</w:t>
      </w:r>
      <w:r w:rsidR="000450CA" w:rsidRPr="005012B2">
        <w:rPr>
          <w:rFonts w:ascii="Segoe UI" w:hAnsi="Segoe UI" w:cs="Segoe UI"/>
          <w:sz w:val="22"/>
          <w:szCs w:val="22"/>
          <w:lang w:val="pl-PL"/>
        </w:rPr>
        <w:t>. D</w:t>
      </w:r>
      <w:r w:rsidR="00670C0A" w:rsidRPr="005012B2">
        <w:rPr>
          <w:rFonts w:ascii="Segoe UI" w:hAnsi="Segoe UI" w:cs="Segoe UI"/>
          <w:sz w:val="22"/>
          <w:szCs w:val="22"/>
          <w:lang w:val="pl-PL"/>
        </w:rPr>
        <w:t xml:space="preserve">zięki </w:t>
      </w:r>
      <w:r w:rsidR="000450CA" w:rsidRPr="005012B2">
        <w:rPr>
          <w:rFonts w:ascii="Segoe UI" w:hAnsi="Segoe UI" w:cs="Segoe UI"/>
          <w:sz w:val="22"/>
          <w:szCs w:val="22"/>
          <w:lang w:val="pl-PL"/>
        </w:rPr>
        <w:t>t</w:t>
      </w:r>
      <w:r w:rsidR="00670C0A" w:rsidRPr="005012B2">
        <w:rPr>
          <w:rFonts w:ascii="Segoe UI" w:hAnsi="Segoe UI" w:cs="Segoe UI"/>
          <w:sz w:val="22"/>
          <w:szCs w:val="22"/>
          <w:lang w:val="pl-PL"/>
        </w:rPr>
        <w:t>emu pracownicy na całym świecie będą mogli otrzymywać wynagrodzenie w sposób szybki i bezpieczny</w:t>
      </w:r>
      <w:r w:rsidR="003D29F4" w:rsidRPr="005012B2">
        <w:rPr>
          <w:rStyle w:val="Odwoanieprzypisudolnego"/>
          <w:rFonts w:ascii="Segoe UI" w:hAnsi="Segoe UI" w:cs="Segoe UI"/>
          <w:sz w:val="22"/>
          <w:szCs w:val="22"/>
          <w:lang w:val="pl-PL"/>
        </w:rPr>
        <w:footnoteReference w:id="3"/>
      </w:r>
      <w:r w:rsidR="005F3383" w:rsidRPr="005012B2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156683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</w:p>
    <w:p w14:paraId="519B1A8A" w14:textId="77777777" w:rsidR="0083263D" w:rsidRPr="005012B2" w:rsidRDefault="0083263D" w:rsidP="004D591A">
      <w:pPr>
        <w:jc w:val="both"/>
        <w:rPr>
          <w:rStyle w:val="s22"/>
          <w:rFonts w:ascii="Segoe UI" w:hAnsi="Segoe UI" w:cs="Segoe UI"/>
          <w:sz w:val="22"/>
          <w:szCs w:val="22"/>
          <w:lang w:val="pl-PL"/>
        </w:rPr>
      </w:pPr>
    </w:p>
    <w:p w14:paraId="6CA2A8C5" w14:textId="7EC961C1" w:rsidR="0083263D" w:rsidRPr="005012B2" w:rsidRDefault="009A7004" w:rsidP="004D591A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5012B2">
        <w:rPr>
          <w:rStyle w:val="s22"/>
          <w:rFonts w:ascii="Segoe UI" w:hAnsi="Segoe UI" w:cs="Segoe UI"/>
          <w:sz w:val="22"/>
          <w:szCs w:val="22"/>
          <w:lang w:val="pl-PL"/>
        </w:rPr>
        <w:t>„</w:t>
      </w:r>
      <w:r w:rsidR="00670C0A" w:rsidRPr="005012B2">
        <w:rPr>
          <w:rStyle w:val="s22"/>
          <w:rFonts w:ascii="Segoe UI" w:hAnsi="Segoe UI" w:cs="Segoe UI"/>
          <w:sz w:val="22"/>
          <w:szCs w:val="22"/>
          <w:lang w:val="pl-PL"/>
        </w:rPr>
        <w:t>Visa unowocześnia sposób, w jaki przesyłamy pieniądze – dzięki nowym rozwiązaniom możemy płacić i otrzymy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wać wynagrodzenie w sposób szybszy, bezpieczniejszy i prostszy niż kiedykolwiek wcześniej”</w:t>
      </w:r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- 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powiedział</w:t>
      </w:r>
      <w:r w:rsidR="4DBB6DE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Bill </w:t>
      </w:r>
      <w:proofErr w:type="spellStart"/>
      <w:r w:rsidR="4DBB6DEF" w:rsidRPr="005012B2">
        <w:rPr>
          <w:rStyle w:val="s22"/>
          <w:rFonts w:ascii="Segoe UI" w:hAnsi="Segoe UI" w:cs="Segoe UI"/>
          <w:sz w:val="22"/>
          <w:szCs w:val="22"/>
          <w:lang w:val="pl-PL"/>
        </w:rPr>
        <w:t>Shele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y</w:t>
      </w:r>
      <w:proofErr w:type="spellEnd"/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, </w:t>
      </w:r>
      <w:proofErr w:type="spellStart"/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>H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ead</w:t>
      </w:r>
      <w:proofErr w:type="spellEnd"/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of </w:t>
      </w:r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Global </w:t>
      </w:r>
      <w:proofErr w:type="spellStart"/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>Push</w:t>
      </w:r>
      <w:proofErr w:type="spellEnd"/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>Payments</w:t>
      </w:r>
      <w:proofErr w:type="spellEnd"/>
      <w:r w:rsidR="00CE10F6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w Visa. </w:t>
      </w:r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>„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Przejęcie</w:t>
      </w:r>
      <w:r w:rsidR="4DBB6DEF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Earthport</w:t>
      </w:r>
      <w:proofErr w:type="spellEnd"/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otwiera przed Visa</w:t>
      </w:r>
      <w:r w:rsidR="00627765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>niebywałe możliwości</w:t>
      </w:r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>, pozwalając wyjść</w:t>
      </w:r>
      <w:r w:rsidR="00627765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poza tradycyjny </w:t>
      </w:r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dla nas dotychczas 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obszar </w:t>
      </w:r>
      <w:r w:rsidR="00767F4B" w:rsidRPr="005012B2">
        <w:rPr>
          <w:rStyle w:val="s22"/>
          <w:rFonts w:ascii="Segoe UI" w:hAnsi="Segoe UI" w:cs="Segoe UI"/>
          <w:sz w:val="22"/>
          <w:szCs w:val="22"/>
          <w:lang w:val="pl-PL"/>
        </w:rPr>
        <w:t>działalności</w:t>
      </w:r>
      <w:r w:rsidR="00941F42" w:rsidRPr="005012B2">
        <w:rPr>
          <w:rStyle w:val="s22"/>
          <w:rFonts w:ascii="Segoe UI" w:hAnsi="Segoe UI" w:cs="Segoe UI"/>
          <w:sz w:val="22"/>
          <w:szCs w:val="22"/>
          <w:lang w:val="pl-PL"/>
        </w:rPr>
        <w:t xml:space="preserve"> jakim są karty</w:t>
      </w:r>
      <w:r w:rsidR="00767F4B" w:rsidRPr="005012B2">
        <w:rPr>
          <w:rFonts w:ascii="Segoe UI" w:hAnsi="Segoe UI" w:cs="Segoe UI"/>
          <w:sz w:val="22"/>
          <w:szCs w:val="22"/>
          <w:lang w:val="pl-PL"/>
        </w:rPr>
        <w:t xml:space="preserve"> płatnicze. W </w:t>
      </w:r>
      <w:r w:rsidR="00941F42" w:rsidRPr="005012B2">
        <w:rPr>
          <w:rFonts w:ascii="Segoe UI" w:hAnsi="Segoe UI" w:cs="Segoe UI"/>
          <w:sz w:val="22"/>
          <w:szCs w:val="22"/>
          <w:lang w:val="pl-PL"/>
        </w:rPr>
        <w:t xml:space="preserve">ten sposób możemy umożliwić naszym klientom wykonywanie płatności na całym świecie 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za pośrednictwem rachunków</w:t>
      </w:r>
      <w:r w:rsidR="00941F42" w:rsidRPr="005012B2">
        <w:rPr>
          <w:rFonts w:ascii="Segoe UI" w:hAnsi="Segoe UI" w:cs="Segoe UI"/>
          <w:sz w:val="22"/>
          <w:szCs w:val="22"/>
          <w:lang w:val="pl-PL"/>
        </w:rPr>
        <w:t xml:space="preserve"> bankowych”.</w:t>
      </w:r>
    </w:p>
    <w:p w14:paraId="48334E69" w14:textId="0C3A703A" w:rsidR="004D591A" w:rsidRPr="005012B2" w:rsidRDefault="00941F42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5012B2">
        <w:rPr>
          <w:rFonts w:ascii="Segoe UI" w:hAnsi="Segoe UI" w:cs="Segoe UI"/>
          <w:sz w:val="22"/>
          <w:szCs w:val="22"/>
          <w:lang w:val="pl-PL"/>
        </w:rPr>
        <w:lastRenderedPageBreak/>
        <w:t xml:space="preserve">Technologia opracowana przez </w:t>
      </w:r>
      <w:proofErr w:type="spellStart"/>
      <w:r w:rsidR="00973299" w:rsidRPr="005012B2">
        <w:rPr>
          <w:rFonts w:ascii="Segoe UI" w:hAnsi="Segoe UI" w:cs="Segoe UI"/>
          <w:sz w:val="22"/>
          <w:szCs w:val="22"/>
          <w:lang w:val="pl-PL"/>
        </w:rPr>
        <w:t>Earthport</w:t>
      </w:r>
      <w:proofErr w:type="spellEnd"/>
      <w:r w:rsidR="00973299" w:rsidRPr="005012B2">
        <w:rPr>
          <w:rFonts w:ascii="Segoe UI" w:hAnsi="Segoe UI" w:cs="Segoe UI"/>
          <w:sz w:val="22"/>
          <w:szCs w:val="22"/>
          <w:lang w:val="pl-PL"/>
        </w:rPr>
        <w:t xml:space="preserve"> pozwoli Visa na dalsze p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>oszerz</w:t>
      </w:r>
      <w:r w:rsidR="00EC1602" w:rsidRPr="005012B2">
        <w:rPr>
          <w:rFonts w:ascii="Segoe UI" w:hAnsi="Segoe UI" w:cs="Segoe UI"/>
          <w:sz w:val="22"/>
          <w:szCs w:val="22"/>
          <w:lang w:val="pl-PL"/>
        </w:rPr>
        <w:t>a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 xml:space="preserve">nie i </w:t>
      </w:r>
      <w:r w:rsidR="00EC1602" w:rsidRPr="005012B2">
        <w:rPr>
          <w:rFonts w:ascii="Segoe UI" w:hAnsi="Segoe UI" w:cs="Segoe UI"/>
          <w:sz w:val="22"/>
          <w:szCs w:val="22"/>
          <w:lang w:val="pl-PL"/>
        </w:rPr>
        <w:t xml:space="preserve">zwiększanie 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 xml:space="preserve">skali </w:t>
      </w:r>
      <w:r w:rsidR="00A13E4F" w:rsidRPr="005012B2">
        <w:rPr>
          <w:rFonts w:ascii="Segoe UI" w:hAnsi="Segoe UI" w:cs="Segoe UI"/>
          <w:sz w:val="22"/>
          <w:szCs w:val="22"/>
          <w:lang w:val="pl-PL"/>
        </w:rPr>
        <w:t>rosnącej</w:t>
      </w:r>
      <w:r w:rsidR="00BD6EB1" w:rsidRPr="005012B2">
        <w:rPr>
          <w:rFonts w:ascii="Segoe UI" w:hAnsi="Segoe UI" w:cs="Segoe UI"/>
          <w:sz w:val="22"/>
          <w:szCs w:val="22"/>
          <w:lang w:val="pl-PL"/>
        </w:rPr>
        <w:t xml:space="preserve"> liczby</w:t>
      </w:r>
      <w:r w:rsidR="00973299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rodzajów płatności 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Visa Direct</w:t>
      </w:r>
      <w:r w:rsidR="00215A94" w:rsidRPr="005012B2">
        <w:rPr>
          <w:rFonts w:ascii="Segoe UI" w:hAnsi="Segoe UI" w:cs="Segoe UI"/>
          <w:sz w:val="22"/>
          <w:szCs w:val="22"/>
          <w:lang w:val="pl-PL"/>
        </w:rPr>
        <w:t xml:space="preserve">. Obecnie 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>w ten sposób można dokonać wypłaty środków finansowych</w:t>
      </w:r>
      <w:r w:rsidR="00CF3B92" w:rsidRPr="005012B2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Pr="005012B2">
        <w:rPr>
          <w:rFonts w:ascii="Segoe UI" w:hAnsi="Segoe UI" w:cs="Segoe UI"/>
          <w:sz w:val="22"/>
          <w:szCs w:val="22"/>
          <w:lang w:val="pl-PL"/>
        </w:rPr>
        <w:t xml:space="preserve">płatności </w:t>
      </w:r>
      <w:proofErr w:type="spellStart"/>
      <w:r w:rsidRPr="005012B2">
        <w:rPr>
          <w:rFonts w:ascii="Segoe UI" w:hAnsi="Segoe UI" w:cs="Segoe UI"/>
          <w:sz w:val="22"/>
          <w:szCs w:val="22"/>
          <w:lang w:val="pl-PL"/>
        </w:rPr>
        <w:t>p</w:t>
      </w:r>
      <w:r w:rsidR="00CF3B92" w:rsidRPr="005012B2">
        <w:rPr>
          <w:rFonts w:ascii="Segoe UI" w:hAnsi="Segoe UI" w:cs="Segoe UI"/>
          <w:sz w:val="22"/>
          <w:szCs w:val="22"/>
          <w:lang w:val="pl-PL"/>
        </w:rPr>
        <w:t>eer</w:t>
      </w:r>
      <w:proofErr w:type="spellEnd"/>
      <w:r w:rsidR="00CF3B92" w:rsidRPr="005012B2">
        <w:rPr>
          <w:rFonts w:ascii="Segoe UI" w:hAnsi="Segoe UI" w:cs="Segoe UI"/>
          <w:sz w:val="22"/>
          <w:szCs w:val="22"/>
          <w:lang w:val="pl-PL"/>
        </w:rPr>
        <w:t>-to-</w:t>
      </w:r>
      <w:proofErr w:type="spellStart"/>
      <w:r w:rsidR="00CF3B92" w:rsidRPr="005012B2">
        <w:rPr>
          <w:rFonts w:ascii="Segoe UI" w:hAnsi="Segoe UI" w:cs="Segoe UI"/>
          <w:sz w:val="22"/>
          <w:szCs w:val="22"/>
          <w:lang w:val="pl-PL"/>
        </w:rPr>
        <w:t>peer</w:t>
      </w:r>
      <w:proofErr w:type="spellEnd"/>
      <w:r w:rsidR="008041DA" w:rsidRPr="005012B2">
        <w:rPr>
          <w:rFonts w:ascii="Segoe UI" w:hAnsi="Segoe UI" w:cs="Segoe UI"/>
          <w:sz w:val="22"/>
          <w:szCs w:val="22"/>
          <w:lang w:val="pl-PL"/>
        </w:rPr>
        <w:t>, płatności transgranicznych, wypłaty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 wynagrodzeń</w:t>
      </w:r>
      <w:r w:rsidR="008041DA" w:rsidRPr="005012B2">
        <w:rPr>
          <w:rFonts w:ascii="Segoe UI" w:hAnsi="Segoe UI" w:cs="Segoe UI"/>
          <w:sz w:val="22"/>
          <w:szCs w:val="22"/>
          <w:lang w:val="pl-PL"/>
        </w:rPr>
        <w:t xml:space="preserve"> i zapłaty</w:t>
      </w:r>
      <w:r w:rsidRPr="005012B2">
        <w:rPr>
          <w:rFonts w:ascii="Segoe UI" w:hAnsi="Segoe UI" w:cs="Segoe UI"/>
          <w:sz w:val="22"/>
          <w:szCs w:val="22"/>
          <w:lang w:val="pl-PL"/>
        </w:rPr>
        <w:t xml:space="preserve"> rachunków</w:t>
      </w:r>
      <w:r w:rsidR="00CF3B92" w:rsidRPr="005012B2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Pr="005012B2">
        <w:rPr>
          <w:rFonts w:ascii="Segoe UI" w:hAnsi="Segoe UI" w:cs="Segoe UI"/>
          <w:sz w:val="22"/>
          <w:szCs w:val="22"/>
          <w:lang w:val="pl-PL"/>
        </w:rPr>
        <w:t>Pr</w:t>
      </w:r>
      <w:r w:rsidR="00973299" w:rsidRPr="005012B2">
        <w:rPr>
          <w:rFonts w:ascii="Segoe UI" w:hAnsi="Segoe UI" w:cs="Segoe UI"/>
          <w:sz w:val="22"/>
          <w:szCs w:val="22"/>
          <w:lang w:val="pl-PL"/>
        </w:rPr>
        <w:t>zez ostatnie 12 miesięcy licznik wzrostu transakcji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3263D" w:rsidRPr="005012B2">
        <w:rPr>
          <w:rFonts w:ascii="Segoe UI" w:hAnsi="Segoe UI" w:cs="Segoe UI"/>
          <w:sz w:val="22"/>
          <w:szCs w:val="22"/>
          <w:lang w:val="pl-PL"/>
        </w:rPr>
        <w:t>Visa Direc</w:t>
      </w:r>
      <w:r w:rsidR="00973299" w:rsidRPr="005012B2">
        <w:rPr>
          <w:rFonts w:ascii="Segoe UI" w:hAnsi="Segoe UI" w:cs="Segoe UI"/>
          <w:sz w:val="22"/>
          <w:szCs w:val="22"/>
          <w:lang w:val="pl-PL"/>
        </w:rPr>
        <w:t xml:space="preserve">t niezmiennie utrzymywał się na poziomie przekraczającym </w:t>
      </w:r>
      <w:r w:rsidR="0083263D" w:rsidRPr="005012B2">
        <w:rPr>
          <w:rFonts w:ascii="Segoe UI" w:hAnsi="Segoe UI" w:cs="Segoe UI"/>
          <w:sz w:val="22"/>
          <w:szCs w:val="22"/>
          <w:lang w:val="pl-PL"/>
        </w:rPr>
        <w:t>100%</w:t>
      </w:r>
      <w:r w:rsidR="00215A94" w:rsidRPr="005012B2">
        <w:rPr>
          <w:rFonts w:ascii="Segoe UI" w:hAnsi="Segoe UI" w:cs="Segoe UI"/>
          <w:sz w:val="22"/>
          <w:szCs w:val="22"/>
          <w:lang w:val="pl-PL"/>
        </w:rPr>
        <w:t>. Ś</w:t>
      </w:r>
      <w:r w:rsidR="00973299" w:rsidRPr="005012B2">
        <w:rPr>
          <w:rFonts w:ascii="Segoe UI" w:hAnsi="Segoe UI" w:cs="Segoe UI"/>
          <w:sz w:val="22"/>
          <w:szCs w:val="22"/>
          <w:lang w:val="pl-PL"/>
        </w:rPr>
        <w:t>wiadczy to o niesłabnącym zapotrzebowaniu</w:t>
      </w:r>
      <w:r w:rsidRPr="005012B2">
        <w:rPr>
          <w:rFonts w:ascii="Segoe UI" w:hAnsi="Segoe UI" w:cs="Segoe UI"/>
          <w:sz w:val="22"/>
          <w:szCs w:val="22"/>
          <w:lang w:val="pl-PL"/>
        </w:rPr>
        <w:t xml:space="preserve"> na szybsze i bardziej int</w:t>
      </w:r>
      <w:r w:rsidR="008A2F64" w:rsidRPr="005012B2">
        <w:rPr>
          <w:rFonts w:ascii="Segoe UI" w:hAnsi="Segoe UI" w:cs="Segoe UI"/>
          <w:sz w:val="22"/>
          <w:szCs w:val="22"/>
          <w:lang w:val="pl-PL"/>
        </w:rPr>
        <w:t>eligentne prz</w:t>
      </w:r>
      <w:r w:rsidR="00973299" w:rsidRPr="005012B2">
        <w:rPr>
          <w:rFonts w:ascii="Segoe UI" w:hAnsi="Segoe UI" w:cs="Segoe UI"/>
          <w:sz w:val="22"/>
          <w:szCs w:val="22"/>
          <w:lang w:val="pl-PL"/>
        </w:rPr>
        <w:t>esyłanie pieniędzy mi</w:t>
      </w:r>
      <w:r w:rsidRPr="005012B2">
        <w:rPr>
          <w:rFonts w:ascii="Segoe UI" w:hAnsi="Segoe UI" w:cs="Segoe UI"/>
          <w:sz w:val="22"/>
          <w:szCs w:val="22"/>
          <w:lang w:val="pl-PL"/>
        </w:rPr>
        <w:t>ędzy k</w:t>
      </w:r>
      <w:r w:rsidR="00767F4B" w:rsidRPr="005012B2">
        <w:rPr>
          <w:rFonts w:ascii="Segoe UI" w:hAnsi="Segoe UI" w:cs="Segoe UI"/>
          <w:sz w:val="22"/>
          <w:szCs w:val="22"/>
          <w:lang w:val="pl-PL"/>
        </w:rPr>
        <w:t>lientami indywidualnymi</w:t>
      </w:r>
      <w:r w:rsidRPr="005012B2">
        <w:rPr>
          <w:rFonts w:ascii="Segoe UI" w:hAnsi="Segoe UI" w:cs="Segoe UI"/>
          <w:sz w:val="22"/>
          <w:szCs w:val="22"/>
          <w:lang w:val="pl-PL"/>
        </w:rPr>
        <w:t xml:space="preserve"> i firmami na całym świecie</w:t>
      </w:r>
      <w:r w:rsidR="0083263D" w:rsidRPr="005012B2">
        <w:rPr>
          <w:rFonts w:ascii="Segoe UI" w:hAnsi="Segoe UI" w:cs="Segoe UI"/>
          <w:sz w:val="22"/>
          <w:szCs w:val="22"/>
          <w:lang w:val="pl-PL"/>
        </w:rPr>
        <w:t>.</w:t>
      </w:r>
    </w:p>
    <w:p w14:paraId="7D63AA02" w14:textId="784E54A9" w:rsidR="00F34D26" w:rsidRPr="005012B2" w:rsidRDefault="00F34D26" w:rsidP="004D591A">
      <w:pPr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319B26AF" w14:textId="77777777" w:rsidR="00F34D26" w:rsidRPr="00725B7F" w:rsidRDefault="00F34D26" w:rsidP="00F34D26">
      <w:pPr>
        <w:jc w:val="center"/>
        <w:rPr>
          <w:rFonts w:ascii="Segoe UI" w:eastAsia="Times New Roman" w:hAnsi="Segoe UI" w:cs="Segoe UI"/>
          <w:bCs/>
        </w:rPr>
      </w:pPr>
      <w:r w:rsidRPr="00725B7F">
        <w:rPr>
          <w:rFonts w:ascii="Segoe UI" w:eastAsia="Times New Roman" w:hAnsi="Segoe UI" w:cs="Segoe UI"/>
          <w:bCs/>
        </w:rPr>
        <w:t>###</w:t>
      </w:r>
    </w:p>
    <w:p w14:paraId="19001F39" w14:textId="0E88319B" w:rsidR="00F34D26" w:rsidRPr="00725B7F" w:rsidRDefault="00F34D26" w:rsidP="004D591A">
      <w:pPr>
        <w:jc w:val="both"/>
        <w:rPr>
          <w:rFonts w:ascii="Segoe UI" w:eastAsia="Times New Roman" w:hAnsi="Segoe UI" w:cs="Segoe UI"/>
          <w:b/>
          <w:bCs/>
          <w:sz w:val="19"/>
          <w:szCs w:val="19"/>
          <w:lang w:eastAsia="en-GB"/>
        </w:rPr>
      </w:pPr>
      <w:r w:rsidRPr="00725B7F">
        <w:rPr>
          <w:rFonts w:ascii="Segoe UI" w:eastAsia="Times New Roman" w:hAnsi="Segoe UI" w:cs="Segoe UI"/>
          <w:b/>
          <w:bCs/>
          <w:sz w:val="19"/>
          <w:szCs w:val="19"/>
          <w:lang w:eastAsia="en-GB"/>
        </w:rPr>
        <w:t>O Visa Inc.</w:t>
      </w:r>
    </w:p>
    <w:p w14:paraId="34BA8A06" w14:textId="785EF06A" w:rsidR="00F34D26" w:rsidRPr="005012B2" w:rsidRDefault="00F34D26" w:rsidP="004D591A">
      <w:pPr>
        <w:jc w:val="both"/>
        <w:rPr>
          <w:rFonts w:ascii="Segoe UI" w:eastAsia="Times New Roman" w:hAnsi="Segoe UI" w:cs="Segoe UI"/>
          <w:bCs/>
          <w:sz w:val="19"/>
          <w:szCs w:val="19"/>
          <w:lang w:val="pl-PL" w:eastAsia="en-GB"/>
        </w:rPr>
      </w:pPr>
      <w:r w:rsidRPr="00725B7F">
        <w:rPr>
          <w:rFonts w:ascii="Segoe UI" w:eastAsia="Times New Roman" w:hAnsi="Segoe UI" w:cs="Segoe UI"/>
          <w:bCs/>
          <w:sz w:val="19"/>
          <w:szCs w:val="19"/>
          <w:lang w:eastAsia="en-GB"/>
        </w:rPr>
        <w:t xml:space="preserve">Visa Inc. </w:t>
      </w:r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VisaNet</w:t>
      </w:r>
      <w:proofErr w:type="spellEnd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internetem</w:t>
      </w:r>
      <w:proofErr w:type="spellEnd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1" w:history="1"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www.visaeurope.com</w:t>
        </w:r>
      </w:hyperlink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12" w:history="1"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www.visa.pl</w:t>
        </w:r>
      </w:hyperlink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na blogu </w:t>
      </w:r>
      <w:hyperlink r:id="rId13" w:history="1"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vision.visaeurope.com</w:t>
        </w:r>
      </w:hyperlink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oraz na </w:t>
      </w:r>
      <w:proofErr w:type="spellStart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Twitterze</w:t>
      </w:r>
      <w:proofErr w:type="spellEnd"/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</w:t>
      </w:r>
      <w:hyperlink r:id="rId14" w:history="1"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VisaNewsEurope</w:t>
        </w:r>
        <w:proofErr w:type="spellEnd"/>
      </w:hyperlink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15" w:history="1"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5012B2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Visa_PL</w:t>
        </w:r>
        <w:proofErr w:type="spellEnd"/>
      </w:hyperlink>
      <w:r w:rsidRPr="005012B2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.</w:t>
      </w:r>
    </w:p>
    <w:p w14:paraId="6D39FF4D" w14:textId="65042348" w:rsidR="00F34D26" w:rsidRPr="005012B2" w:rsidRDefault="00F34D26" w:rsidP="004D591A">
      <w:pPr>
        <w:jc w:val="both"/>
        <w:rPr>
          <w:rFonts w:ascii="Segoe UI" w:eastAsia="Times New Roman" w:hAnsi="Segoe UI" w:cs="Segoe UI"/>
          <w:bCs/>
          <w:sz w:val="19"/>
          <w:szCs w:val="19"/>
          <w:lang w:val="pl-PL" w:eastAsia="en-GB"/>
        </w:rPr>
      </w:pPr>
    </w:p>
    <w:p w14:paraId="536D4EBF" w14:textId="5F9F2244" w:rsidR="00F34D26" w:rsidRPr="005012B2" w:rsidRDefault="00F34D26" w:rsidP="004D591A">
      <w:pPr>
        <w:pStyle w:val="VisaBody"/>
        <w:spacing w:line="240" w:lineRule="auto"/>
        <w:contextualSpacing/>
        <w:jc w:val="both"/>
        <w:rPr>
          <w:rFonts w:ascii="Segoe UI" w:hAnsi="Segoe UI" w:cs="Segoe UI"/>
          <w:b/>
          <w:bCs/>
          <w:sz w:val="19"/>
          <w:szCs w:val="19"/>
          <w:lang w:val="pl-PL" w:eastAsia="en-GB"/>
        </w:rPr>
      </w:pPr>
      <w:r w:rsidRPr="005012B2">
        <w:rPr>
          <w:rFonts w:ascii="Segoe UI" w:hAnsi="Segoe UI" w:cs="Segoe UI"/>
          <w:b/>
          <w:bCs/>
          <w:sz w:val="19"/>
          <w:szCs w:val="19"/>
          <w:lang w:val="pl-PL" w:eastAsia="en-GB"/>
        </w:rPr>
        <w:t xml:space="preserve">O </w:t>
      </w:r>
      <w:proofErr w:type="spellStart"/>
      <w:r w:rsidRPr="005012B2">
        <w:rPr>
          <w:rFonts w:ascii="Segoe UI" w:hAnsi="Segoe UI" w:cs="Segoe UI"/>
          <w:b/>
          <w:bCs/>
          <w:sz w:val="19"/>
          <w:szCs w:val="19"/>
          <w:lang w:val="pl-PL" w:eastAsia="en-GB"/>
        </w:rPr>
        <w:t>Earthport</w:t>
      </w:r>
      <w:proofErr w:type="spellEnd"/>
    </w:p>
    <w:p w14:paraId="2372DF0A" w14:textId="7B049E8D" w:rsidR="00F34D26" w:rsidRPr="007F1606" w:rsidRDefault="00F34D26" w:rsidP="004D591A">
      <w:pPr>
        <w:jc w:val="both"/>
        <w:rPr>
          <w:rFonts w:ascii="Segoe UI" w:eastAsia="Times New Roman" w:hAnsi="Segoe UI" w:cs="Segoe UI"/>
          <w:bCs/>
          <w:sz w:val="19"/>
          <w:szCs w:val="19"/>
          <w:lang w:val="pl-PL" w:eastAsia="en-GB"/>
        </w:rPr>
      </w:pPr>
      <w:proofErr w:type="spellStart"/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Earthport</w:t>
      </w:r>
      <w:proofErr w:type="spellEnd"/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(AIM: EPO) jest spółką wykorzystującą największą na świecie niezależną sieć ACH do świadczenia usług w obszarze płatności transgranicznych na rzecz</w:t>
      </w:r>
      <w:r w:rsidR="00767F4B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korporacji i firm świadczących usługi w zakresie przelewów. </w:t>
      </w:r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Korzyścią klientów </w:t>
      </w:r>
      <w:proofErr w:type="spellStart"/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Earthport</w:t>
      </w:r>
      <w:proofErr w:type="spellEnd"/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jest nowy wymiar przewidywalności, przejrzystości i efektywności kosztowej</w:t>
      </w:r>
      <w:r w:rsidR="00EF71A5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</w:t>
      </w:r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bez opłat pobieranych przez pośredników czy bank odbiorcy. Rozwiązanie to zostało opracowane w oparciu </w:t>
      </w:r>
      <w:r w:rsidR="00451A14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o specjalistyczną wiedzę z zakresu spełniania standardów przestrzeganych w bankowości</w:t>
      </w:r>
      <w:r w:rsidR="00627765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,</w:t>
      </w:r>
      <w:r w:rsidR="004D591A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</w:t>
      </w:r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zapewniając klientom spokój oraz całościowe rozwiązania w obszarze wymiany walut, środków finansowych i zarządzania gotówką – wspierając klientów w rozwoju ich </w:t>
      </w:r>
      <w:r w:rsidR="00627765"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działalności</w:t>
      </w:r>
      <w:r w:rsidRPr="007F1606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.</w:t>
      </w:r>
    </w:p>
    <w:p w14:paraId="6ACA7A2A" w14:textId="77777777" w:rsidR="00F34D26" w:rsidRPr="005012B2" w:rsidRDefault="00F34D26" w:rsidP="004D591A">
      <w:pPr>
        <w:jc w:val="both"/>
        <w:rPr>
          <w:rFonts w:ascii="Segoe UI" w:eastAsia="MS Mincho" w:hAnsi="Segoe UI" w:cs="Segoe UI"/>
          <w:sz w:val="19"/>
          <w:szCs w:val="19"/>
          <w:lang w:val="pl-PL"/>
        </w:rPr>
      </w:pPr>
    </w:p>
    <w:p w14:paraId="734DEA7C" w14:textId="7E0CFE14" w:rsidR="00F34D26" w:rsidRPr="005012B2" w:rsidRDefault="00F34D26" w:rsidP="004D591A">
      <w:pPr>
        <w:pStyle w:val="Bezodstpw"/>
        <w:rPr>
          <w:rFonts w:ascii="Times New Roman" w:hAnsi="Times New Roman" w:cs="Times New Roman"/>
          <w:lang w:val="pl-PL"/>
        </w:rPr>
      </w:pPr>
      <w:bookmarkStart w:id="0" w:name="_Hlk528327471"/>
      <w:r w:rsidRPr="005012B2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t>Kontakt dla mediów:</w:t>
      </w:r>
      <w:r w:rsidRPr="005012B2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br/>
      </w:r>
      <w:r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>Jarosław Soroczyński</w:t>
      </w:r>
      <w:r w:rsidR="00F044C7"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 | </w:t>
      </w:r>
      <w:proofErr w:type="spellStart"/>
      <w:r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>Grayling</w:t>
      </w:r>
      <w:proofErr w:type="spellEnd"/>
      <w:r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> Poland</w:t>
      </w:r>
      <w:r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br/>
        <w:t>+48 601 090 747</w:t>
      </w:r>
      <w:r w:rsidRPr="005012B2">
        <w:rPr>
          <w:rFonts w:ascii="Segoe UI" w:hAnsi="Segoe UI" w:cs="Segoe UI"/>
          <w:color w:val="000000"/>
          <w:sz w:val="19"/>
          <w:szCs w:val="19"/>
          <w:lang w:val="pl-PL"/>
        </w:rPr>
        <w:t xml:space="preserve"> </w:t>
      </w:r>
      <w:r w:rsidRPr="005012B2">
        <w:rPr>
          <w:rFonts w:ascii="Segoe UI" w:hAnsi="Segoe UI" w:cs="Segoe UI"/>
          <w:color w:val="000000"/>
          <w:sz w:val="19"/>
          <w:szCs w:val="19"/>
          <w:lang w:val="pl-PL"/>
        </w:rPr>
        <w:br/>
      </w:r>
      <w:hyperlink r:id="rId16" w:history="1">
        <w:r w:rsidRPr="005012B2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jaroslaw.soroczynski@grayling.com</w:t>
        </w:r>
      </w:hyperlink>
      <w:r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 </w:t>
      </w:r>
      <w:r w:rsidR="00F044C7" w:rsidRPr="005012B2"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| </w:t>
      </w:r>
      <w:hyperlink r:id="rId17" w:history="1">
        <w:r w:rsidR="00F044C7" w:rsidRPr="005012B2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visa.pl@grayling.com</w:t>
        </w:r>
      </w:hyperlink>
      <w:bookmarkEnd w:id="0"/>
    </w:p>
    <w:p w14:paraId="0F297CE1" w14:textId="77777777" w:rsidR="00F34D26" w:rsidRPr="005012B2" w:rsidRDefault="00F34D26" w:rsidP="004D591A">
      <w:pPr>
        <w:jc w:val="both"/>
        <w:rPr>
          <w:lang w:val="pl-PL"/>
        </w:rPr>
      </w:pPr>
    </w:p>
    <w:p w14:paraId="2664BB73" w14:textId="235FD0D0" w:rsidR="00B05ECD" w:rsidRPr="005012B2" w:rsidRDefault="00646937" w:rsidP="004D591A">
      <w:pPr>
        <w:pStyle w:val="VisaBody"/>
        <w:spacing w:line="240" w:lineRule="auto"/>
        <w:contextualSpacing/>
        <w:jc w:val="both"/>
        <w:rPr>
          <w:rFonts w:ascii="Segoe UI" w:hAnsi="Segoe UI" w:cs="Segoe UI"/>
          <w:b/>
          <w:bCs/>
          <w:sz w:val="17"/>
          <w:szCs w:val="17"/>
          <w:lang w:val="pl-PL" w:eastAsia="en-GB"/>
        </w:rPr>
      </w:pPr>
      <w:r w:rsidRPr="005012B2">
        <w:rPr>
          <w:rFonts w:ascii="Segoe UI" w:hAnsi="Segoe UI" w:cs="Segoe UI"/>
          <w:b/>
          <w:bCs/>
          <w:sz w:val="17"/>
          <w:szCs w:val="17"/>
          <w:lang w:val="pl-PL" w:eastAsia="en-GB"/>
        </w:rPr>
        <w:t>Stwierdzenia</w:t>
      </w:r>
      <w:r w:rsidR="00DA33ED" w:rsidRPr="005012B2">
        <w:rPr>
          <w:rFonts w:ascii="Segoe UI" w:hAnsi="Segoe UI" w:cs="Segoe UI"/>
          <w:b/>
          <w:bCs/>
          <w:sz w:val="17"/>
          <w:szCs w:val="17"/>
          <w:lang w:val="pl-PL" w:eastAsia="en-GB"/>
        </w:rPr>
        <w:t xml:space="preserve"> odnoszące się do przyszłości</w:t>
      </w:r>
    </w:p>
    <w:p w14:paraId="4F3C9A0A" w14:textId="22361F4C" w:rsidR="002960F2" w:rsidRPr="005012B2" w:rsidRDefault="00DA33ED" w:rsidP="004D591A">
      <w:pPr>
        <w:pStyle w:val="VisaBody"/>
        <w:spacing w:line="240" w:lineRule="auto"/>
        <w:contextualSpacing/>
        <w:jc w:val="both"/>
        <w:rPr>
          <w:rFonts w:ascii="Segoe UI" w:hAnsi="Segoe UI" w:cs="Segoe UI"/>
          <w:bCs/>
          <w:sz w:val="17"/>
          <w:szCs w:val="17"/>
          <w:lang w:val="pl-PL" w:eastAsia="en-GB"/>
        </w:rPr>
      </w:pP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Niniejsza informacja prasowa zawiera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stwierdzenia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odnoszące się do przyszłości w rozumieniu </w:t>
      </w:r>
      <w:proofErr w:type="spellStart"/>
      <w:r w:rsidR="4DBB6DEF" w:rsidRPr="005012B2">
        <w:rPr>
          <w:rFonts w:ascii="Segoe UI" w:hAnsi="Segoe UI" w:cs="Segoe UI"/>
          <w:bCs/>
          <w:sz w:val="17"/>
          <w:szCs w:val="17"/>
          <w:lang w:val="pl-PL" w:eastAsia="en-GB"/>
        </w:rPr>
        <w:t>Private</w:t>
      </w:r>
      <w:proofErr w:type="spellEnd"/>
      <w:r w:rsidR="4DBB6DEF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Sec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urities </w:t>
      </w:r>
      <w:proofErr w:type="spellStart"/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>Litigation</w:t>
      </w:r>
      <w:proofErr w:type="spellEnd"/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Reform </w:t>
      </w:r>
      <w:proofErr w:type="spellStart"/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>Act</w:t>
      </w:r>
      <w:proofErr w:type="spellEnd"/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z 1995 roku</w:t>
      </w:r>
      <w:r w:rsidR="4DBB6DEF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.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Stwierdzenia</w:t>
      </w:r>
      <w:r w:rsidR="00714A0A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odnoszące się do przyszłości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zasadniczo zawierają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A13E4F" w:rsidRPr="005012B2">
        <w:rPr>
          <w:rFonts w:ascii="Segoe UI" w:hAnsi="Segoe UI" w:cs="Segoe UI"/>
          <w:bCs/>
          <w:sz w:val="17"/>
          <w:szCs w:val="17"/>
          <w:lang w:val="pl-PL" w:eastAsia="en-GB"/>
        </w:rPr>
        <w:t>t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akie słowa jak </w:t>
      </w:r>
      <w:r w:rsidR="00180B2C" w:rsidRPr="005012B2">
        <w:rPr>
          <w:rFonts w:ascii="Segoe UI" w:hAnsi="Segoe UI" w:cs="Segoe UI"/>
          <w:bCs/>
          <w:sz w:val="17"/>
          <w:szCs w:val="17"/>
          <w:lang w:val="pl-PL" w:eastAsia="en-GB"/>
        </w:rPr>
        <w:t>„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>będzie</w:t>
      </w:r>
      <w:r w:rsidR="00180B2C" w:rsidRPr="005012B2">
        <w:rPr>
          <w:rFonts w:ascii="Segoe UI" w:hAnsi="Segoe UI" w:cs="Segoe UI"/>
          <w:bCs/>
          <w:sz w:val="17"/>
          <w:szCs w:val="17"/>
          <w:lang w:val="pl-PL" w:eastAsia="en-GB"/>
        </w:rPr>
        <w:t>”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, </w:t>
      </w:r>
      <w:r w:rsidR="00180B2C" w:rsidRPr="005012B2">
        <w:rPr>
          <w:rFonts w:ascii="Segoe UI" w:hAnsi="Segoe UI" w:cs="Segoe UI"/>
          <w:bCs/>
          <w:sz w:val="17"/>
          <w:szCs w:val="17"/>
          <w:lang w:val="pl-PL" w:eastAsia="en-GB"/>
        </w:rPr>
        <w:t>„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>spodziewa się</w:t>
      </w:r>
      <w:r w:rsidR="00180B2C" w:rsidRPr="005012B2">
        <w:rPr>
          <w:rFonts w:ascii="Segoe UI" w:hAnsi="Segoe UI" w:cs="Segoe UI"/>
          <w:bCs/>
          <w:sz w:val="17"/>
          <w:szCs w:val="17"/>
          <w:lang w:val="pl-PL" w:eastAsia="en-GB"/>
        </w:rPr>
        <w:t>”</w:t>
      </w:r>
      <w:r w:rsidR="4DBB6DEF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i inne podobne wyrażenia.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Przykładami stwierdzeń odnoszących się do przyszłości są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między innymi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stwierdzenia</w:t>
      </w:r>
      <w:r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używane w odniesieniu do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korzyści, jaki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e Visa może odnieść w</w:t>
      </w:r>
      <w:bookmarkStart w:id="1" w:name="_GoBack"/>
      <w:bookmarkEnd w:id="1"/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wyniku zamknięcia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transakcji</w:t>
      </w:r>
      <w:r w:rsidR="4DBB6DEF" w:rsidRPr="005012B2">
        <w:rPr>
          <w:rFonts w:ascii="Segoe UI" w:hAnsi="Segoe UI" w:cs="Segoe UI"/>
          <w:bCs/>
          <w:sz w:val="17"/>
          <w:szCs w:val="17"/>
          <w:lang w:val="pl-PL" w:eastAsia="en-GB"/>
        </w:rPr>
        <w:t>.</w:t>
      </w:r>
      <w:r w:rsidR="00F044C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Ze swej natury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stwierdzenia odn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oszące się do przyszłości: </w:t>
      </w:r>
      <w:r w:rsidR="00714A0A" w:rsidRPr="005012B2">
        <w:rPr>
          <w:rFonts w:ascii="Segoe UI" w:hAnsi="Segoe UI" w:cs="Segoe UI"/>
          <w:bCs/>
          <w:sz w:val="17"/>
          <w:szCs w:val="17"/>
          <w:lang w:val="pl-PL" w:eastAsia="en-GB"/>
        </w:rPr>
        <w:t>(i) opisują stan na dzień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, w którym zostały poczynione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; (ii) nie są stwierdzeniami faktów historycznych c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zy zagwarantowaniem przyszłych wyników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; i (iii) 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zależą od </w:t>
      </w:r>
      <w:proofErr w:type="spellStart"/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ryzyk</w:t>
      </w:r>
      <w:proofErr w:type="spellEnd"/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, niepewności, za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łożeń lub zmian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okoliczności, które trudno p</w:t>
      </w:r>
      <w:r w:rsidR="00714A0A" w:rsidRPr="005012B2">
        <w:rPr>
          <w:rFonts w:ascii="Segoe UI" w:hAnsi="Segoe UI" w:cs="Segoe UI"/>
          <w:bCs/>
          <w:sz w:val="17"/>
          <w:szCs w:val="17"/>
          <w:lang w:val="pl-PL" w:eastAsia="en-GB"/>
        </w:rPr>
        <w:t>rzewidzieć lub wyrazić w sposób ilościowy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. Stąd rzeczywiste rezu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ltaty mogą różnić się znacząco i w sposób niekorzystny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od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stwierdzeń Visa odnoszących się do przyszłości ze względu na liczne czynniki, włączając w to ryzyko, że transakcja może w ostateczności nie dojść do skutku; ostateczne warunki, na jakich została zawarta transakcja; i różne inne czynniki, w tym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te, które zawarte są w naszym Rocznym Sprawozdaniu na formularzu 10-K za rok podatkowy, który zakończył się 30 września 2018 roku, naszym Sprawozdaniu Kwartalnym na formularzu 10-Q za kwartał, który zakończył się 31 marca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201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>9 roku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>,</w:t>
      </w:r>
      <w:r w:rsidR="0064693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i i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nnych dokumen</w:t>
      </w:r>
      <w:r w:rsidR="008E519C" w:rsidRPr="005012B2">
        <w:rPr>
          <w:rFonts w:ascii="Segoe UI" w:hAnsi="Segoe UI" w:cs="Segoe UI"/>
          <w:bCs/>
          <w:sz w:val="17"/>
          <w:szCs w:val="17"/>
          <w:lang w:val="pl-PL" w:eastAsia="en-GB"/>
        </w:rPr>
        <w:t>tach złożonych do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Amerykańskiej Komisja Papierów Wartościowych i Giełd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>.</w:t>
      </w:r>
      <w:r w:rsidR="00F044C7" w:rsidRPr="005012B2">
        <w:rPr>
          <w:rFonts w:ascii="Segoe UI" w:hAnsi="Segoe UI" w:cs="Segoe UI"/>
          <w:bCs/>
          <w:sz w:val="17"/>
          <w:szCs w:val="17"/>
          <w:lang w:val="pl-PL" w:eastAsia="en-GB"/>
        </w:rPr>
        <w:t xml:space="preserve"> </w:t>
      </w:r>
      <w:r w:rsidR="003361EC" w:rsidRPr="005012B2">
        <w:rPr>
          <w:rFonts w:ascii="Segoe UI" w:hAnsi="Segoe UI" w:cs="Segoe UI"/>
          <w:bCs/>
          <w:sz w:val="17"/>
          <w:szCs w:val="17"/>
          <w:lang w:val="pl-PL" w:eastAsia="en-GB"/>
        </w:rPr>
        <w:t>Nie należy przywiązywać nadmiernej wagi do tego rodzaju stwierdzeń. Za wyjątkiem przypadków wymaganych prawem, nie zamierzamy aktualizować lub zmieniać żadnych stwierdzeń odnoszących się do przyszłości w wyniku pozyskania nowych informacji, przyszłych zdarzeń, lub innych okoliczności</w:t>
      </w:r>
      <w:r w:rsidR="00B05ECD" w:rsidRPr="005012B2">
        <w:rPr>
          <w:rFonts w:ascii="Segoe UI" w:hAnsi="Segoe UI" w:cs="Segoe UI"/>
          <w:bCs/>
          <w:sz w:val="17"/>
          <w:szCs w:val="17"/>
          <w:lang w:val="pl-PL" w:eastAsia="en-GB"/>
        </w:rPr>
        <w:t>.</w:t>
      </w:r>
    </w:p>
    <w:sectPr w:rsidR="002960F2" w:rsidRPr="005012B2" w:rsidSect="009E79A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5D49" w14:textId="77777777" w:rsidR="00C72D10" w:rsidRDefault="00C72D10" w:rsidP="00B15767">
      <w:r>
        <w:separator/>
      </w:r>
    </w:p>
  </w:endnote>
  <w:endnote w:type="continuationSeparator" w:id="0">
    <w:p w14:paraId="7F61EC32" w14:textId="77777777" w:rsidR="00C72D10" w:rsidRDefault="00C72D10" w:rsidP="00B15767">
      <w:r>
        <w:continuationSeparator/>
      </w:r>
    </w:p>
  </w:endnote>
  <w:endnote w:type="continuationNotice" w:id="1">
    <w:p w14:paraId="5CBB7836" w14:textId="77777777" w:rsidR="00C72D10" w:rsidRDefault="00C72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C3A6" w14:textId="77777777" w:rsidR="00C72D10" w:rsidRDefault="00C72D10" w:rsidP="00B15767">
      <w:r>
        <w:separator/>
      </w:r>
    </w:p>
  </w:footnote>
  <w:footnote w:type="continuationSeparator" w:id="0">
    <w:p w14:paraId="578340F3" w14:textId="77777777" w:rsidR="00C72D10" w:rsidRDefault="00C72D10" w:rsidP="00B15767">
      <w:r>
        <w:continuationSeparator/>
      </w:r>
    </w:p>
  </w:footnote>
  <w:footnote w:type="continuationNotice" w:id="1">
    <w:p w14:paraId="27D75292" w14:textId="77777777" w:rsidR="00C72D10" w:rsidRDefault="00C72D10"/>
  </w:footnote>
  <w:footnote w:id="2">
    <w:p w14:paraId="369FF750" w14:textId="7957034F" w:rsidR="00DC464A" w:rsidRPr="008B2E8B" w:rsidRDefault="00DC464A" w:rsidP="00A13E4F">
      <w:pPr>
        <w:pStyle w:val="NormalnyWeb"/>
        <w:spacing w:before="0" w:beforeAutospacing="0" w:after="0" w:afterAutospacing="0"/>
        <w:rPr>
          <w:rFonts w:eastAsia="Times New Roman"/>
        </w:rPr>
      </w:pPr>
      <w:r w:rsidRPr="00B6291F">
        <w:rPr>
          <w:rFonts w:ascii="Segoe UI" w:eastAsia="+mn-ea" w:hAnsi="Segoe UI" w:cs="+mn-cs"/>
          <w:color w:val="5C5C5C"/>
          <w:kern w:val="24"/>
          <w:sz w:val="16"/>
          <w:szCs w:val="16"/>
          <w:vertAlign w:val="superscript"/>
        </w:rPr>
        <w:footnoteRef/>
      </w:r>
      <w:r w:rsidR="00B6291F">
        <w:rPr>
          <w:rFonts w:ascii="Segoe UI" w:eastAsia="+mn-ea" w:hAnsi="Segoe UI" w:cs="+mn-cs"/>
          <w:color w:val="5C5C5C"/>
          <w:kern w:val="24"/>
          <w:sz w:val="16"/>
          <w:szCs w:val="16"/>
        </w:rPr>
        <w:t xml:space="preserve"> </w:t>
      </w:r>
      <w:r w:rsidRPr="008B2E8B">
        <w:rPr>
          <w:rFonts w:ascii="Segoe UI" w:eastAsia="+mn-ea" w:hAnsi="Segoe UI" w:cs="+mn-cs"/>
          <w:color w:val="5C5C5C"/>
          <w:kern w:val="24"/>
          <w:sz w:val="16"/>
          <w:szCs w:val="16"/>
        </w:rPr>
        <w:t xml:space="preserve">Accenture Market Sizing, 2017 r., Annual Addressable PV for Real Time Payments, </w:t>
      </w:r>
      <w:r w:rsidR="00B6291F">
        <w:rPr>
          <w:rFonts w:ascii="Segoe UI" w:eastAsia="+mn-ea" w:hAnsi="Segoe UI" w:cs="+mn-cs"/>
          <w:color w:val="5C5C5C"/>
          <w:kern w:val="24"/>
          <w:sz w:val="16"/>
          <w:szCs w:val="16"/>
        </w:rPr>
        <w:t>all markets</w:t>
      </w:r>
    </w:p>
  </w:footnote>
  <w:footnote w:id="3">
    <w:p w14:paraId="40DFA18D" w14:textId="223B866D" w:rsidR="00DC464A" w:rsidRPr="00BD6EB1" w:rsidRDefault="00DC464A">
      <w:pPr>
        <w:pStyle w:val="Tekstprzypisudolnego"/>
        <w:rPr>
          <w:lang w:val="pl-PL"/>
        </w:rPr>
      </w:pPr>
      <w:r w:rsidRPr="00B6291F">
        <w:rPr>
          <w:rStyle w:val="no-bullet-rte"/>
          <w:rFonts w:ascii="Segoe UI" w:hAnsi="Segoe UI" w:cs="Segoe UI"/>
          <w:color w:val="5C5C5C"/>
          <w:sz w:val="16"/>
          <w:szCs w:val="16"/>
          <w:vertAlign w:val="superscript"/>
        </w:rPr>
        <w:footnoteRef/>
      </w:r>
      <w:r w:rsidRPr="00BD6EB1">
        <w:rPr>
          <w:lang w:val="pl-PL"/>
        </w:rPr>
        <w:t xml:space="preserve"> </w:t>
      </w:r>
      <w:r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Wsp</w:t>
      </w:r>
      <w:r w:rsidRPr="00BD6EB1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omniane rodzaje zastosowań mają wy</w:t>
      </w:r>
      <w:r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 xml:space="preserve">łącznie charakter przykładowy. Twórcy programów </w:t>
      </w:r>
      <w:r w:rsidR="00057F83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 xml:space="preserve">ponoszą odpowiedzialność </w:t>
      </w:r>
      <w:r w:rsidRPr="00BD6EB1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za swoj</w:t>
      </w:r>
      <w:r w:rsidR="00057F83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e programy oraz</w:t>
      </w:r>
      <w:r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 xml:space="preserve"> zapewnienie zgodnośc</w:t>
      </w:r>
      <w:r w:rsidRPr="00BD6EB1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i z obowiązującym prawem</w:t>
      </w:r>
      <w:r w:rsidR="009A7004">
        <w:rPr>
          <w:rStyle w:val="no-bullet-rte"/>
          <w:rFonts w:ascii="Segoe UI" w:hAnsi="Segoe UI" w:cs="Segoe UI"/>
          <w:color w:val="5C5C5C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6CB0" w14:textId="279B1C75" w:rsidR="00DC464A" w:rsidRDefault="00DC464A">
    <w:pPr>
      <w:pStyle w:val="Nagwek"/>
    </w:pPr>
    <w:r w:rsidRPr="00FE3AB6">
      <w:rPr>
        <w:noProof/>
        <w:color w:val="FF000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E78EA33" wp14:editId="2FBDAA8D">
          <wp:simplePos x="0" y="0"/>
          <wp:positionH relativeFrom="column">
            <wp:posOffset>4962525</wp:posOffset>
          </wp:positionH>
          <wp:positionV relativeFrom="paragraph">
            <wp:posOffset>-9525</wp:posOffset>
          </wp:positionV>
          <wp:extent cx="979192" cy="318053"/>
          <wp:effectExtent l="0" t="0" r="0" b="6350"/>
          <wp:wrapNone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92" cy="318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3BA"/>
    <w:multiLevelType w:val="hybridMultilevel"/>
    <w:tmpl w:val="9A2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0BE"/>
    <w:multiLevelType w:val="hybridMultilevel"/>
    <w:tmpl w:val="312E3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4A8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2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0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A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E44F7"/>
    <w:multiLevelType w:val="hybridMultilevel"/>
    <w:tmpl w:val="F002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21DA6"/>
    <w:multiLevelType w:val="hybridMultilevel"/>
    <w:tmpl w:val="2FB6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801"/>
    <w:multiLevelType w:val="hybridMultilevel"/>
    <w:tmpl w:val="FDDC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9B1"/>
    <w:multiLevelType w:val="hybridMultilevel"/>
    <w:tmpl w:val="C19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D18"/>
    <w:multiLevelType w:val="hybridMultilevel"/>
    <w:tmpl w:val="5928D050"/>
    <w:lvl w:ilvl="0" w:tplc="319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3E6C"/>
    <w:multiLevelType w:val="hybridMultilevel"/>
    <w:tmpl w:val="1C483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93715"/>
    <w:multiLevelType w:val="hybridMultilevel"/>
    <w:tmpl w:val="B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DCC"/>
    <w:multiLevelType w:val="hybridMultilevel"/>
    <w:tmpl w:val="842CF744"/>
    <w:lvl w:ilvl="0" w:tplc="3198E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48BD"/>
    <w:multiLevelType w:val="hybridMultilevel"/>
    <w:tmpl w:val="27B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3DF"/>
    <w:multiLevelType w:val="hybridMultilevel"/>
    <w:tmpl w:val="C884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A46"/>
    <w:multiLevelType w:val="hybridMultilevel"/>
    <w:tmpl w:val="99F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00436"/>
    <w:multiLevelType w:val="hybridMultilevel"/>
    <w:tmpl w:val="782007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5DE095A"/>
    <w:multiLevelType w:val="hybridMultilevel"/>
    <w:tmpl w:val="682827F4"/>
    <w:lvl w:ilvl="0" w:tplc="42C27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5D3B"/>
    <w:multiLevelType w:val="hybridMultilevel"/>
    <w:tmpl w:val="D89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6A88"/>
    <w:multiLevelType w:val="hybridMultilevel"/>
    <w:tmpl w:val="6A162476"/>
    <w:lvl w:ilvl="0" w:tplc="319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67AAB"/>
    <w:multiLevelType w:val="hybridMultilevel"/>
    <w:tmpl w:val="77A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081C"/>
    <w:multiLevelType w:val="hybridMultilevel"/>
    <w:tmpl w:val="058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E76E8"/>
    <w:multiLevelType w:val="hybridMultilevel"/>
    <w:tmpl w:val="C22EE944"/>
    <w:lvl w:ilvl="0" w:tplc="5C6E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2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0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A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B769C4"/>
    <w:multiLevelType w:val="hybridMultilevel"/>
    <w:tmpl w:val="B7885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1F9F"/>
    <w:multiLevelType w:val="hybridMultilevel"/>
    <w:tmpl w:val="778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1A4E"/>
    <w:multiLevelType w:val="hybridMultilevel"/>
    <w:tmpl w:val="59D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25322"/>
    <w:multiLevelType w:val="hybridMultilevel"/>
    <w:tmpl w:val="EAC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7985"/>
    <w:multiLevelType w:val="hybridMultilevel"/>
    <w:tmpl w:val="815C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494EDA"/>
    <w:multiLevelType w:val="hybridMultilevel"/>
    <w:tmpl w:val="A28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6772"/>
    <w:multiLevelType w:val="hybridMultilevel"/>
    <w:tmpl w:val="19BE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8E1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4047C"/>
    <w:multiLevelType w:val="hybridMultilevel"/>
    <w:tmpl w:val="6138FD1C"/>
    <w:lvl w:ilvl="0" w:tplc="12B88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D047C"/>
    <w:multiLevelType w:val="hybridMultilevel"/>
    <w:tmpl w:val="82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03118"/>
    <w:multiLevelType w:val="hybridMultilevel"/>
    <w:tmpl w:val="A05E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0793C"/>
    <w:multiLevelType w:val="hybridMultilevel"/>
    <w:tmpl w:val="7F6EFBEA"/>
    <w:lvl w:ilvl="0" w:tplc="5C6E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2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0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A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9"/>
  </w:num>
  <w:num w:numId="3">
    <w:abstractNumId w:val="26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0"/>
  </w:num>
  <w:num w:numId="17">
    <w:abstractNumId w:val="22"/>
  </w:num>
  <w:num w:numId="18">
    <w:abstractNumId w:val="24"/>
  </w:num>
  <w:num w:numId="19">
    <w:abstractNumId w:val="17"/>
  </w:num>
  <w:num w:numId="20">
    <w:abstractNumId w:val="21"/>
  </w:num>
  <w:num w:numId="21">
    <w:abstractNumId w:val="23"/>
  </w:num>
  <w:num w:numId="22">
    <w:abstractNumId w:val="3"/>
  </w:num>
  <w:num w:numId="23">
    <w:abstractNumId w:val="10"/>
  </w:num>
  <w:num w:numId="24">
    <w:abstractNumId w:val="25"/>
  </w:num>
  <w:num w:numId="25">
    <w:abstractNumId w:val="27"/>
  </w:num>
  <w:num w:numId="26">
    <w:abstractNumId w:val="2"/>
  </w:num>
  <w:num w:numId="27">
    <w:abstractNumId w:val="5"/>
  </w:num>
  <w:num w:numId="28">
    <w:abstractNumId w:val="30"/>
  </w:num>
  <w:num w:numId="29">
    <w:abstractNumId w:val="8"/>
  </w:num>
  <w:num w:numId="30">
    <w:abstractNumId w:val="19"/>
  </w:num>
  <w:num w:numId="31">
    <w:abstractNumId w:val="19"/>
  </w:num>
  <w:num w:numId="32">
    <w:abstractNumId w:val="1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36"/>
    <w:rsid w:val="00001B29"/>
    <w:rsid w:val="00004CD0"/>
    <w:rsid w:val="000054EC"/>
    <w:rsid w:val="00005CFE"/>
    <w:rsid w:val="00005FBD"/>
    <w:rsid w:val="00007377"/>
    <w:rsid w:val="000148CF"/>
    <w:rsid w:val="00015149"/>
    <w:rsid w:val="000205AD"/>
    <w:rsid w:val="000211EE"/>
    <w:rsid w:val="00021237"/>
    <w:rsid w:val="0002337C"/>
    <w:rsid w:val="00036C52"/>
    <w:rsid w:val="000416A0"/>
    <w:rsid w:val="000450CA"/>
    <w:rsid w:val="00045B5A"/>
    <w:rsid w:val="000518EA"/>
    <w:rsid w:val="00054B84"/>
    <w:rsid w:val="00054D5D"/>
    <w:rsid w:val="0005526B"/>
    <w:rsid w:val="00057F83"/>
    <w:rsid w:val="0006254C"/>
    <w:rsid w:val="00067AA2"/>
    <w:rsid w:val="00072A6B"/>
    <w:rsid w:val="00073C16"/>
    <w:rsid w:val="00074583"/>
    <w:rsid w:val="000801B3"/>
    <w:rsid w:val="00080B04"/>
    <w:rsid w:val="00084C7A"/>
    <w:rsid w:val="00085745"/>
    <w:rsid w:val="00086144"/>
    <w:rsid w:val="0008729D"/>
    <w:rsid w:val="000913ED"/>
    <w:rsid w:val="00092CDD"/>
    <w:rsid w:val="000934DE"/>
    <w:rsid w:val="00094EC9"/>
    <w:rsid w:val="00096F7C"/>
    <w:rsid w:val="000A239E"/>
    <w:rsid w:val="000A45F8"/>
    <w:rsid w:val="000A4ADA"/>
    <w:rsid w:val="000A6883"/>
    <w:rsid w:val="000A6C84"/>
    <w:rsid w:val="000A736A"/>
    <w:rsid w:val="000B0122"/>
    <w:rsid w:val="000B54C8"/>
    <w:rsid w:val="000C0A93"/>
    <w:rsid w:val="000C1348"/>
    <w:rsid w:val="000C50D5"/>
    <w:rsid w:val="000D15AF"/>
    <w:rsid w:val="000E3F2A"/>
    <w:rsid w:val="000F0A8C"/>
    <w:rsid w:val="000F1698"/>
    <w:rsid w:val="000F25DE"/>
    <w:rsid w:val="000F3349"/>
    <w:rsid w:val="000F796A"/>
    <w:rsid w:val="00105069"/>
    <w:rsid w:val="00105376"/>
    <w:rsid w:val="00112A21"/>
    <w:rsid w:val="0011370C"/>
    <w:rsid w:val="001174C2"/>
    <w:rsid w:val="00117DB8"/>
    <w:rsid w:val="00120A2F"/>
    <w:rsid w:val="0012192D"/>
    <w:rsid w:val="00121D83"/>
    <w:rsid w:val="001227E7"/>
    <w:rsid w:val="0012381F"/>
    <w:rsid w:val="001253EE"/>
    <w:rsid w:val="00125D2D"/>
    <w:rsid w:val="0013208F"/>
    <w:rsid w:val="00132FCC"/>
    <w:rsid w:val="0013318A"/>
    <w:rsid w:val="0013703D"/>
    <w:rsid w:val="00137E30"/>
    <w:rsid w:val="001408CE"/>
    <w:rsid w:val="00141619"/>
    <w:rsid w:val="001427BE"/>
    <w:rsid w:val="00156683"/>
    <w:rsid w:val="00160EEA"/>
    <w:rsid w:val="00163ADD"/>
    <w:rsid w:val="001668E1"/>
    <w:rsid w:val="00166974"/>
    <w:rsid w:val="0016759D"/>
    <w:rsid w:val="00167EDF"/>
    <w:rsid w:val="00172856"/>
    <w:rsid w:val="001746DE"/>
    <w:rsid w:val="0017506D"/>
    <w:rsid w:val="00180B2C"/>
    <w:rsid w:val="00183FE1"/>
    <w:rsid w:val="00184712"/>
    <w:rsid w:val="00186562"/>
    <w:rsid w:val="001866BA"/>
    <w:rsid w:val="001900B3"/>
    <w:rsid w:val="00191B40"/>
    <w:rsid w:val="00192BE6"/>
    <w:rsid w:val="001A196F"/>
    <w:rsid w:val="001B223B"/>
    <w:rsid w:val="001B39AF"/>
    <w:rsid w:val="001B6FC3"/>
    <w:rsid w:val="001C1EC8"/>
    <w:rsid w:val="001C3366"/>
    <w:rsid w:val="001C5292"/>
    <w:rsid w:val="001D1617"/>
    <w:rsid w:val="001D250A"/>
    <w:rsid w:val="001D4080"/>
    <w:rsid w:val="001D6CCB"/>
    <w:rsid w:val="001E0492"/>
    <w:rsid w:val="001E09AC"/>
    <w:rsid w:val="001E2BAD"/>
    <w:rsid w:val="001F0B9D"/>
    <w:rsid w:val="002005BE"/>
    <w:rsid w:val="0020122E"/>
    <w:rsid w:val="00203772"/>
    <w:rsid w:val="00206071"/>
    <w:rsid w:val="00211837"/>
    <w:rsid w:val="00214231"/>
    <w:rsid w:val="00215A94"/>
    <w:rsid w:val="00215AB4"/>
    <w:rsid w:val="0022135F"/>
    <w:rsid w:val="00223176"/>
    <w:rsid w:val="002231F1"/>
    <w:rsid w:val="00224551"/>
    <w:rsid w:val="00224C82"/>
    <w:rsid w:val="002259F6"/>
    <w:rsid w:val="00235C56"/>
    <w:rsid w:val="00241DB4"/>
    <w:rsid w:val="00244F77"/>
    <w:rsid w:val="00245E0E"/>
    <w:rsid w:val="00247754"/>
    <w:rsid w:val="00251DA8"/>
    <w:rsid w:val="00255328"/>
    <w:rsid w:val="00261AFB"/>
    <w:rsid w:val="002631F6"/>
    <w:rsid w:val="00267BD2"/>
    <w:rsid w:val="0027143C"/>
    <w:rsid w:val="0027718E"/>
    <w:rsid w:val="00281AE9"/>
    <w:rsid w:val="002960F2"/>
    <w:rsid w:val="002A3D59"/>
    <w:rsid w:val="002A71AB"/>
    <w:rsid w:val="002B027C"/>
    <w:rsid w:val="002B0657"/>
    <w:rsid w:val="002B4737"/>
    <w:rsid w:val="002C20D9"/>
    <w:rsid w:val="002C3E6B"/>
    <w:rsid w:val="002C4520"/>
    <w:rsid w:val="002C4A04"/>
    <w:rsid w:val="002E0438"/>
    <w:rsid w:val="002E04EF"/>
    <w:rsid w:val="002E14D6"/>
    <w:rsid w:val="002E20E5"/>
    <w:rsid w:val="002E3FDC"/>
    <w:rsid w:val="002E7515"/>
    <w:rsid w:val="002F06E4"/>
    <w:rsid w:val="002F0B60"/>
    <w:rsid w:val="002F4125"/>
    <w:rsid w:val="003004A3"/>
    <w:rsid w:val="00301951"/>
    <w:rsid w:val="00302D24"/>
    <w:rsid w:val="00305BA6"/>
    <w:rsid w:val="0030720B"/>
    <w:rsid w:val="00310A5B"/>
    <w:rsid w:val="00312544"/>
    <w:rsid w:val="00314114"/>
    <w:rsid w:val="003145C4"/>
    <w:rsid w:val="00322220"/>
    <w:rsid w:val="003233ED"/>
    <w:rsid w:val="00324A8F"/>
    <w:rsid w:val="003274CD"/>
    <w:rsid w:val="00333E47"/>
    <w:rsid w:val="003342AE"/>
    <w:rsid w:val="00335570"/>
    <w:rsid w:val="003361EC"/>
    <w:rsid w:val="00344FD7"/>
    <w:rsid w:val="00345F67"/>
    <w:rsid w:val="0035108C"/>
    <w:rsid w:val="00351C5B"/>
    <w:rsid w:val="00351F95"/>
    <w:rsid w:val="003555EC"/>
    <w:rsid w:val="003563DA"/>
    <w:rsid w:val="0036086D"/>
    <w:rsid w:val="00362519"/>
    <w:rsid w:val="0036583A"/>
    <w:rsid w:val="00371B76"/>
    <w:rsid w:val="003723B4"/>
    <w:rsid w:val="0037481E"/>
    <w:rsid w:val="00374C3D"/>
    <w:rsid w:val="00374CAC"/>
    <w:rsid w:val="00376F8D"/>
    <w:rsid w:val="00385969"/>
    <w:rsid w:val="00390B2F"/>
    <w:rsid w:val="0039103B"/>
    <w:rsid w:val="00392741"/>
    <w:rsid w:val="003933F0"/>
    <w:rsid w:val="00394BA9"/>
    <w:rsid w:val="003A402B"/>
    <w:rsid w:val="003A5D8F"/>
    <w:rsid w:val="003B0E29"/>
    <w:rsid w:val="003B21D3"/>
    <w:rsid w:val="003B74BA"/>
    <w:rsid w:val="003C0307"/>
    <w:rsid w:val="003C0457"/>
    <w:rsid w:val="003D1FDD"/>
    <w:rsid w:val="003D21D3"/>
    <w:rsid w:val="003D224C"/>
    <w:rsid w:val="003D29F4"/>
    <w:rsid w:val="003D2CB6"/>
    <w:rsid w:val="003D46F3"/>
    <w:rsid w:val="003E0A77"/>
    <w:rsid w:val="003E1CDD"/>
    <w:rsid w:val="003E5882"/>
    <w:rsid w:val="003F215C"/>
    <w:rsid w:val="003F2B9F"/>
    <w:rsid w:val="003F502D"/>
    <w:rsid w:val="004023DC"/>
    <w:rsid w:val="0040269D"/>
    <w:rsid w:val="004074C0"/>
    <w:rsid w:val="0041009E"/>
    <w:rsid w:val="0041104F"/>
    <w:rsid w:val="004143C8"/>
    <w:rsid w:val="00421112"/>
    <w:rsid w:val="00421C2C"/>
    <w:rsid w:val="00427383"/>
    <w:rsid w:val="004351EC"/>
    <w:rsid w:val="00435D41"/>
    <w:rsid w:val="00440122"/>
    <w:rsid w:val="00440B00"/>
    <w:rsid w:val="00443A85"/>
    <w:rsid w:val="00445438"/>
    <w:rsid w:val="00445B54"/>
    <w:rsid w:val="0044700E"/>
    <w:rsid w:val="00451A14"/>
    <w:rsid w:val="00452669"/>
    <w:rsid w:val="00461B15"/>
    <w:rsid w:val="00464827"/>
    <w:rsid w:val="00467910"/>
    <w:rsid w:val="00471B4D"/>
    <w:rsid w:val="00472E08"/>
    <w:rsid w:val="00482361"/>
    <w:rsid w:val="004827D4"/>
    <w:rsid w:val="004931A1"/>
    <w:rsid w:val="004A2E3A"/>
    <w:rsid w:val="004A4A61"/>
    <w:rsid w:val="004A4E55"/>
    <w:rsid w:val="004A6284"/>
    <w:rsid w:val="004A7C77"/>
    <w:rsid w:val="004B02E8"/>
    <w:rsid w:val="004B0573"/>
    <w:rsid w:val="004B164F"/>
    <w:rsid w:val="004B33D6"/>
    <w:rsid w:val="004B3AD9"/>
    <w:rsid w:val="004B65CB"/>
    <w:rsid w:val="004C1851"/>
    <w:rsid w:val="004C2B04"/>
    <w:rsid w:val="004D5129"/>
    <w:rsid w:val="004D54DF"/>
    <w:rsid w:val="004D591A"/>
    <w:rsid w:val="004D5C3A"/>
    <w:rsid w:val="004D7791"/>
    <w:rsid w:val="004E00F4"/>
    <w:rsid w:val="004E2D55"/>
    <w:rsid w:val="004E5F92"/>
    <w:rsid w:val="004E68C9"/>
    <w:rsid w:val="004F04E0"/>
    <w:rsid w:val="004F1E25"/>
    <w:rsid w:val="004F330F"/>
    <w:rsid w:val="004F5D90"/>
    <w:rsid w:val="00500CC4"/>
    <w:rsid w:val="005012B2"/>
    <w:rsid w:val="00510F12"/>
    <w:rsid w:val="005151F6"/>
    <w:rsid w:val="00517694"/>
    <w:rsid w:val="005204A3"/>
    <w:rsid w:val="00527E66"/>
    <w:rsid w:val="00533093"/>
    <w:rsid w:val="00534DC4"/>
    <w:rsid w:val="005442E5"/>
    <w:rsid w:val="00544881"/>
    <w:rsid w:val="00551321"/>
    <w:rsid w:val="00551E8C"/>
    <w:rsid w:val="005577F1"/>
    <w:rsid w:val="005609C4"/>
    <w:rsid w:val="0056247B"/>
    <w:rsid w:val="00562BA4"/>
    <w:rsid w:val="00572E75"/>
    <w:rsid w:val="005740DB"/>
    <w:rsid w:val="00574E36"/>
    <w:rsid w:val="00583D26"/>
    <w:rsid w:val="00585303"/>
    <w:rsid w:val="00585EC9"/>
    <w:rsid w:val="00586F59"/>
    <w:rsid w:val="00594AA7"/>
    <w:rsid w:val="005A1BA6"/>
    <w:rsid w:val="005B4F9B"/>
    <w:rsid w:val="005C49A4"/>
    <w:rsid w:val="005D0FC5"/>
    <w:rsid w:val="005D2A34"/>
    <w:rsid w:val="005D4EA6"/>
    <w:rsid w:val="005D5C35"/>
    <w:rsid w:val="005D7D8F"/>
    <w:rsid w:val="005D7F26"/>
    <w:rsid w:val="005E11F0"/>
    <w:rsid w:val="005E169E"/>
    <w:rsid w:val="005E1C1F"/>
    <w:rsid w:val="005E201F"/>
    <w:rsid w:val="005E776B"/>
    <w:rsid w:val="005F3383"/>
    <w:rsid w:val="005F4D0D"/>
    <w:rsid w:val="00600DB3"/>
    <w:rsid w:val="0060153A"/>
    <w:rsid w:val="00603309"/>
    <w:rsid w:val="00603818"/>
    <w:rsid w:val="00604746"/>
    <w:rsid w:val="00604CBB"/>
    <w:rsid w:val="006066C5"/>
    <w:rsid w:val="0061149B"/>
    <w:rsid w:val="0061649B"/>
    <w:rsid w:val="00616853"/>
    <w:rsid w:val="00622964"/>
    <w:rsid w:val="00627765"/>
    <w:rsid w:val="00630FFE"/>
    <w:rsid w:val="006317D3"/>
    <w:rsid w:val="0063357B"/>
    <w:rsid w:val="0063450E"/>
    <w:rsid w:val="00634814"/>
    <w:rsid w:val="0063789B"/>
    <w:rsid w:val="0064191D"/>
    <w:rsid w:val="00642D52"/>
    <w:rsid w:val="00643679"/>
    <w:rsid w:val="00646937"/>
    <w:rsid w:val="00656E99"/>
    <w:rsid w:val="00663231"/>
    <w:rsid w:val="006643CC"/>
    <w:rsid w:val="00666B7B"/>
    <w:rsid w:val="00667B88"/>
    <w:rsid w:val="00670C0A"/>
    <w:rsid w:val="00671F0C"/>
    <w:rsid w:val="00682DCA"/>
    <w:rsid w:val="00687C43"/>
    <w:rsid w:val="006927D0"/>
    <w:rsid w:val="006928E4"/>
    <w:rsid w:val="00695EEF"/>
    <w:rsid w:val="006A533E"/>
    <w:rsid w:val="006A7EDA"/>
    <w:rsid w:val="006B2882"/>
    <w:rsid w:val="006B51D1"/>
    <w:rsid w:val="006C1397"/>
    <w:rsid w:val="006C44E5"/>
    <w:rsid w:val="006C496E"/>
    <w:rsid w:val="006C7A2E"/>
    <w:rsid w:val="006C7D1B"/>
    <w:rsid w:val="006D5092"/>
    <w:rsid w:val="006D5340"/>
    <w:rsid w:val="006D7DF9"/>
    <w:rsid w:val="006E77B0"/>
    <w:rsid w:val="006F0396"/>
    <w:rsid w:val="006F3569"/>
    <w:rsid w:val="006F4457"/>
    <w:rsid w:val="006F7D4F"/>
    <w:rsid w:val="0070362C"/>
    <w:rsid w:val="0070619C"/>
    <w:rsid w:val="00706989"/>
    <w:rsid w:val="00714A0A"/>
    <w:rsid w:val="00716ABE"/>
    <w:rsid w:val="00720791"/>
    <w:rsid w:val="00721558"/>
    <w:rsid w:val="007224AB"/>
    <w:rsid w:val="00723B54"/>
    <w:rsid w:val="00723D34"/>
    <w:rsid w:val="00725B7F"/>
    <w:rsid w:val="00731DFB"/>
    <w:rsid w:val="00733D74"/>
    <w:rsid w:val="00736452"/>
    <w:rsid w:val="00736FC7"/>
    <w:rsid w:val="00741D4B"/>
    <w:rsid w:val="007423CB"/>
    <w:rsid w:val="00743A2D"/>
    <w:rsid w:val="00745471"/>
    <w:rsid w:val="0074611B"/>
    <w:rsid w:val="0075310E"/>
    <w:rsid w:val="0075665A"/>
    <w:rsid w:val="00761064"/>
    <w:rsid w:val="00764B70"/>
    <w:rsid w:val="00767F4B"/>
    <w:rsid w:val="0077657F"/>
    <w:rsid w:val="00780278"/>
    <w:rsid w:val="00785352"/>
    <w:rsid w:val="00785FCD"/>
    <w:rsid w:val="007864DB"/>
    <w:rsid w:val="00786A85"/>
    <w:rsid w:val="00791CD8"/>
    <w:rsid w:val="00791E8D"/>
    <w:rsid w:val="0079315B"/>
    <w:rsid w:val="00793A2E"/>
    <w:rsid w:val="00795774"/>
    <w:rsid w:val="00797242"/>
    <w:rsid w:val="007A0E4D"/>
    <w:rsid w:val="007A13A6"/>
    <w:rsid w:val="007A1475"/>
    <w:rsid w:val="007A2390"/>
    <w:rsid w:val="007B063B"/>
    <w:rsid w:val="007B738C"/>
    <w:rsid w:val="007B76EA"/>
    <w:rsid w:val="007C1B34"/>
    <w:rsid w:val="007C35A4"/>
    <w:rsid w:val="007C5436"/>
    <w:rsid w:val="007C5752"/>
    <w:rsid w:val="007D1844"/>
    <w:rsid w:val="007D347D"/>
    <w:rsid w:val="007E5155"/>
    <w:rsid w:val="007F0B14"/>
    <w:rsid w:val="007F1606"/>
    <w:rsid w:val="007F5656"/>
    <w:rsid w:val="007F6112"/>
    <w:rsid w:val="007F645C"/>
    <w:rsid w:val="00801F0B"/>
    <w:rsid w:val="00801F67"/>
    <w:rsid w:val="008041DA"/>
    <w:rsid w:val="00807287"/>
    <w:rsid w:val="00816B9C"/>
    <w:rsid w:val="0081722F"/>
    <w:rsid w:val="00820290"/>
    <w:rsid w:val="0082514E"/>
    <w:rsid w:val="00825EE5"/>
    <w:rsid w:val="0083097F"/>
    <w:rsid w:val="008311F5"/>
    <w:rsid w:val="00831868"/>
    <w:rsid w:val="0083232E"/>
    <w:rsid w:val="0083263D"/>
    <w:rsid w:val="00840005"/>
    <w:rsid w:val="00840622"/>
    <w:rsid w:val="00843F2F"/>
    <w:rsid w:val="008605D7"/>
    <w:rsid w:val="0086080B"/>
    <w:rsid w:val="00862CB7"/>
    <w:rsid w:val="008643C9"/>
    <w:rsid w:val="00866BE2"/>
    <w:rsid w:val="00871686"/>
    <w:rsid w:val="0087258E"/>
    <w:rsid w:val="008736FA"/>
    <w:rsid w:val="008752C6"/>
    <w:rsid w:val="00877748"/>
    <w:rsid w:val="00880A01"/>
    <w:rsid w:val="00890071"/>
    <w:rsid w:val="00892915"/>
    <w:rsid w:val="008A1F14"/>
    <w:rsid w:val="008A2F64"/>
    <w:rsid w:val="008A33CD"/>
    <w:rsid w:val="008A3B3D"/>
    <w:rsid w:val="008A3F99"/>
    <w:rsid w:val="008B2C66"/>
    <w:rsid w:val="008B2E8B"/>
    <w:rsid w:val="008B6044"/>
    <w:rsid w:val="008C59E5"/>
    <w:rsid w:val="008D1D53"/>
    <w:rsid w:val="008D2A8A"/>
    <w:rsid w:val="008D3B71"/>
    <w:rsid w:val="008D4EF5"/>
    <w:rsid w:val="008D6CC0"/>
    <w:rsid w:val="008D7C78"/>
    <w:rsid w:val="008E1F29"/>
    <w:rsid w:val="008E293B"/>
    <w:rsid w:val="008E519C"/>
    <w:rsid w:val="008E7F0C"/>
    <w:rsid w:val="008F0843"/>
    <w:rsid w:val="008F19D8"/>
    <w:rsid w:val="008F1B5C"/>
    <w:rsid w:val="008F21FB"/>
    <w:rsid w:val="008F3CE6"/>
    <w:rsid w:val="008F571C"/>
    <w:rsid w:val="00900ABC"/>
    <w:rsid w:val="009022AD"/>
    <w:rsid w:val="009035D8"/>
    <w:rsid w:val="00903818"/>
    <w:rsid w:val="009069C0"/>
    <w:rsid w:val="00907932"/>
    <w:rsid w:val="00910AB0"/>
    <w:rsid w:val="0091182E"/>
    <w:rsid w:val="00911C8C"/>
    <w:rsid w:val="00914709"/>
    <w:rsid w:val="00915CC7"/>
    <w:rsid w:val="00917BED"/>
    <w:rsid w:val="009215D3"/>
    <w:rsid w:val="009301C5"/>
    <w:rsid w:val="00936512"/>
    <w:rsid w:val="009376FD"/>
    <w:rsid w:val="00941F42"/>
    <w:rsid w:val="0094565D"/>
    <w:rsid w:val="00953CE9"/>
    <w:rsid w:val="00954044"/>
    <w:rsid w:val="00954DF2"/>
    <w:rsid w:val="0095573B"/>
    <w:rsid w:val="00956DC4"/>
    <w:rsid w:val="0095796A"/>
    <w:rsid w:val="0096405B"/>
    <w:rsid w:val="00967DB5"/>
    <w:rsid w:val="00973299"/>
    <w:rsid w:val="009741CE"/>
    <w:rsid w:val="00974A6F"/>
    <w:rsid w:val="00976D1B"/>
    <w:rsid w:val="00977C7B"/>
    <w:rsid w:val="009810F0"/>
    <w:rsid w:val="009818BC"/>
    <w:rsid w:val="00983DA0"/>
    <w:rsid w:val="009842C5"/>
    <w:rsid w:val="009931DD"/>
    <w:rsid w:val="00996A1E"/>
    <w:rsid w:val="00997016"/>
    <w:rsid w:val="00997CB7"/>
    <w:rsid w:val="009A0552"/>
    <w:rsid w:val="009A391A"/>
    <w:rsid w:val="009A3E69"/>
    <w:rsid w:val="009A41B2"/>
    <w:rsid w:val="009A7004"/>
    <w:rsid w:val="009B1397"/>
    <w:rsid w:val="009B35E3"/>
    <w:rsid w:val="009C0504"/>
    <w:rsid w:val="009C454D"/>
    <w:rsid w:val="009C5417"/>
    <w:rsid w:val="009D6104"/>
    <w:rsid w:val="009E04B0"/>
    <w:rsid w:val="009E05CD"/>
    <w:rsid w:val="009E110C"/>
    <w:rsid w:val="009E2ADB"/>
    <w:rsid w:val="009E76EB"/>
    <w:rsid w:val="009E79A9"/>
    <w:rsid w:val="009F0D37"/>
    <w:rsid w:val="00A01242"/>
    <w:rsid w:val="00A0467B"/>
    <w:rsid w:val="00A13348"/>
    <w:rsid w:val="00A13A7F"/>
    <w:rsid w:val="00A13E4F"/>
    <w:rsid w:val="00A1647A"/>
    <w:rsid w:val="00A21B91"/>
    <w:rsid w:val="00A230F4"/>
    <w:rsid w:val="00A23475"/>
    <w:rsid w:val="00A25027"/>
    <w:rsid w:val="00A27C3D"/>
    <w:rsid w:val="00A3374F"/>
    <w:rsid w:val="00A363E4"/>
    <w:rsid w:val="00A4197D"/>
    <w:rsid w:val="00A53919"/>
    <w:rsid w:val="00A601E3"/>
    <w:rsid w:val="00A616D5"/>
    <w:rsid w:val="00A618E4"/>
    <w:rsid w:val="00A61924"/>
    <w:rsid w:val="00A64156"/>
    <w:rsid w:val="00A76316"/>
    <w:rsid w:val="00A830CD"/>
    <w:rsid w:val="00A84599"/>
    <w:rsid w:val="00A850B4"/>
    <w:rsid w:val="00AA095B"/>
    <w:rsid w:val="00AA277A"/>
    <w:rsid w:val="00AA5207"/>
    <w:rsid w:val="00AA5E02"/>
    <w:rsid w:val="00AA6C0E"/>
    <w:rsid w:val="00AA7CD3"/>
    <w:rsid w:val="00AB0F3D"/>
    <w:rsid w:val="00AB78B7"/>
    <w:rsid w:val="00AC06D1"/>
    <w:rsid w:val="00AC1AAB"/>
    <w:rsid w:val="00AC6E83"/>
    <w:rsid w:val="00AD0541"/>
    <w:rsid w:val="00AD07E0"/>
    <w:rsid w:val="00AD1D96"/>
    <w:rsid w:val="00AD5100"/>
    <w:rsid w:val="00AD6F64"/>
    <w:rsid w:val="00AE2B6D"/>
    <w:rsid w:val="00AE5554"/>
    <w:rsid w:val="00AF764D"/>
    <w:rsid w:val="00B05ECD"/>
    <w:rsid w:val="00B06454"/>
    <w:rsid w:val="00B06AA3"/>
    <w:rsid w:val="00B10897"/>
    <w:rsid w:val="00B13185"/>
    <w:rsid w:val="00B15767"/>
    <w:rsid w:val="00B2118F"/>
    <w:rsid w:val="00B245C1"/>
    <w:rsid w:val="00B2657D"/>
    <w:rsid w:val="00B272D8"/>
    <w:rsid w:val="00B34A9D"/>
    <w:rsid w:val="00B367FF"/>
    <w:rsid w:val="00B41188"/>
    <w:rsid w:val="00B448F4"/>
    <w:rsid w:val="00B5149B"/>
    <w:rsid w:val="00B6291F"/>
    <w:rsid w:val="00B676D7"/>
    <w:rsid w:val="00B73D0D"/>
    <w:rsid w:val="00B81C82"/>
    <w:rsid w:val="00B8765F"/>
    <w:rsid w:val="00B879E3"/>
    <w:rsid w:val="00B91F41"/>
    <w:rsid w:val="00B9409B"/>
    <w:rsid w:val="00B94752"/>
    <w:rsid w:val="00B969BD"/>
    <w:rsid w:val="00B976DE"/>
    <w:rsid w:val="00BA15BF"/>
    <w:rsid w:val="00BC0731"/>
    <w:rsid w:val="00BC427E"/>
    <w:rsid w:val="00BD6EB1"/>
    <w:rsid w:val="00BE14C9"/>
    <w:rsid w:val="00BE73E8"/>
    <w:rsid w:val="00BF435D"/>
    <w:rsid w:val="00BF465D"/>
    <w:rsid w:val="00BF71E6"/>
    <w:rsid w:val="00C01F6B"/>
    <w:rsid w:val="00C0357F"/>
    <w:rsid w:val="00C06921"/>
    <w:rsid w:val="00C13814"/>
    <w:rsid w:val="00C15AEE"/>
    <w:rsid w:val="00C15F32"/>
    <w:rsid w:val="00C2052E"/>
    <w:rsid w:val="00C26C27"/>
    <w:rsid w:val="00C321B9"/>
    <w:rsid w:val="00C33846"/>
    <w:rsid w:val="00C34BC2"/>
    <w:rsid w:val="00C35C48"/>
    <w:rsid w:val="00C36BE9"/>
    <w:rsid w:val="00C40E3F"/>
    <w:rsid w:val="00C51790"/>
    <w:rsid w:val="00C532AF"/>
    <w:rsid w:val="00C54B47"/>
    <w:rsid w:val="00C54F0E"/>
    <w:rsid w:val="00C60EE9"/>
    <w:rsid w:val="00C6224C"/>
    <w:rsid w:val="00C630E8"/>
    <w:rsid w:val="00C65926"/>
    <w:rsid w:val="00C72D10"/>
    <w:rsid w:val="00C752C3"/>
    <w:rsid w:val="00C77D00"/>
    <w:rsid w:val="00C77EEA"/>
    <w:rsid w:val="00C815BA"/>
    <w:rsid w:val="00C83F10"/>
    <w:rsid w:val="00C87D46"/>
    <w:rsid w:val="00C9042D"/>
    <w:rsid w:val="00C92894"/>
    <w:rsid w:val="00C92CD3"/>
    <w:rsid w:val="00CA3BED"/>
    <w:rsid w:val="00CA4BA3"/>
    <w:rsid w:val="00CA4F78"/>
    <w:rsid w:val="00CA598A"/>
    <w:rsid w:val="00CA5A47"/>
    <w:rsid w:val="00CA736C"/>
    <w:rsid w:val="00CB12F7"/>
    <w:rsid w:val="00CC5136"/>
    <w:rsid w:val="00CC5592"/>
    <w:rsid w:val="00CC6764"/>
    <w:rsid w:val="00CC734B"/>
    <w:rsid w:val="00CD281E"/>
    <w:rsid w:val="00CD43AD"/>
    <w:rsid w:val="00CD4822"/>
    <w:rsid w:val="00CD7526"/>
    <w:rsid w:val="00CE10F6"/>
    <w:rsid w:val="00CE3F8C"/>
    <w:rsid w:val="00CF3B92"/>
    <w:rsid w:val="00CF5EEC"/>
    <w:rsid w:val="00CF6996"/>
    <w:rsid w:val="00D052E6"/>
    <w:rsid w:val="00D12FA0"/>
    <w:rsid w:val="00D13656"/>
    <w:rsid w:val="00D17B41"/>
    <w:rsid w:val="00D227E3"/>
    <w:rsid w:val="00D264A9"/>
    <w:rsid w:val="00D301DF"/>
    <w:rsid w:val="00D31132"/>
    <w:rsid w:val="00D31A7A"/>
    <w:rsid w:val="00D33A1B"/>
    <w:rsid w:val="00D42D05"/>
    <w:rsid w:val="00D42E1C"/>
    <w:rsid w:val="00D62144"/>
    <w:rsid w:val="00D63582"/>
    <w:rsid w:val="00D76BA6"/>
    <w:rsid w:val="00D810BE"/>
    <w:rsid w:val="00D9011C"/>
    <w:rsid w:val="00D90403"/>
    <w:rsid w:val="00D93E87"/>
    <w:rsid w:val="00DA33A6"/>
    <w:rsid w:val="00DA33ED"/>
    <w:rsid w:val="00DA3C79"/>
    <w:rsid w:val="00DA64FC"/>
    <w:rsid w:val="00DA6A6A"/>
    <w:rsid w:val="00DA753A"/>
    <w:rsid w:val="00DB0787"/>
    <w:rsid w:val="00DB28E3"/>
    <w:rsid w:val="00DB4FB1"/>
    <w:rsid w:val="00DB5954"/>
    <w:rsid w:val="00DB63B5"/>
    <w:rsid w:val="00DB7F09"/>
    <w:rsid w:val="00DC01F0"/>
    <w:rsid w:val="00DC464A"/>
    <w:rsid w:val="00DD3803"/>
    <w:rsid w:val="00DD78E0"/>
    <w:rsid w:val="00DF53E9"/>
    <w:rsid w:val="00E006FD"/>
    <w:rsid w:val="00E056A3"/>
    <w:rsid w:val="00E05C88"/>
    <w:rsid w:val="00E12504"/>
    <w:rsid w:val="00E12841"/>
    <w:rsid w:val="00E1359C"/>
    <w:rsid w:val="00E1374F"/>
    <w:rsid w:val="00E23545"/>
    <w:rsid w:val="00E2384E"/>
    <w:rsid w:val="00E316A7"/>
    <w:rsid w:val="00E31BFD"/>
    <w:rsid w:val="00E3265F"/>
    <w:rsid w:val="00E35249"/>
    <w:rsid w:val="00E364A7"/>
    <w:rsid w:val="00E374E2"/>
    <w:rsid w:val="00E6017A"/>
    <w:rsid w:val="00E61159"/>
    <w:rsid w:val="00E66FD5"/>
    <w:rsid w:val="00E675FD"/>
    <w:rsid w:val="00E80C20"/>
    <w:rsid w:val="00E81516"/>
    <w:rsid w:val="00E827CA"/>
    <w:rsid w:val="00E82BCB"/>
    <w:rsid w:val="00E83557"/>
    <w:rsid w:val="00E879FA"/>
    <w:rsid w:val="00E87D74"/>
    <w:rsid w:val="00E90266"/>
    <w:rsid w:val="00E9198B"/>
    <w:rsid w:val="00E95887"/>
    <w:rsid w:val="00E978D1"/>
    <w:rsid w:val="00EA0200"/>
    <w:rsid w:val="00EA39CF"/>
    <w:rsid w:val="00EA4B2F"/>
    <w:rsid w:val="00EA5924"/>
    <w:rsid w:val="00EB22AE"/>
    <w:rsid w:val="00EB33DE"/>
    <w:rsid w:val="00EB5AB3"/>
    <w:rsid w:val="00EC1602"/>
    <w:rsid w:val="00EC175E"/>
    <w:rsid w:val="00EC2BBC"/>
    <w:rsid w:val="00EC399A"/>
    <w:rsid w:val="00EC4C00"/>
    <w:rsid w:val="00ED0827"/>
    <w:rsid w:val="00ED2745"/>
    <w:rsid w:val="00ED4ACC"/>
    <w:rsid w:val="00EE041D"/>
    <w:rsid w:val="00EE5A32"/>
    <w:rsid w:val="00EF3793"/>
    <w:rsid w:val="00EF4061"/>
    <w:rsid w:val="00EF4985"/>
    <w:rsid w:val="00EF601F"/>
    <w:rsid w:val="00EF71A5"/>
    <w:rsid w:val="00F044C7"/>
    <w:rsid w:val="00F071ED"/>
    <w:rsid w:val="00F10CC5"/>
    <w:rsid w:val="00F10CE2"/>
    <w:rsid w:val="00F10E20"/>
    <w:rsid w:val="00F22AD1"/>
    <w:rsid w:val="00F245AA"/>
    <w:rsid w:val="00F262CA"/>
    <w:rsid w:val="00F34D26"/>
    <w:rsid w:val="00F42DCE"/>
    <w:rsid w:val="00F433C8"/>
    <w:rsid w:val="00F471CC"/>
    <w:rsid w:val="00F47487"/>
    <w:rsid w:val="00F502AE"/>
    <w:rsid w:val="00F519E4"/>
    <w:rsid w:val="00F52809"/>
    <w:rsid w:val="00F5562C"/>
    <w:rsid w:val="00F5723D"/>
    <w:rsid w:val="00F5761B"/>
    <w:rsid w:val="00F622F7"/>
    <w:rsid w:val="00F62FBC"/>
    <w:rsid w:val="00F70D1B"/>
    <w:rsid w:val="00F70E28"/>
    <w:rsid w:val="00F736BF"/>
    <w:rsid w:val="00F73972"/>
    <w:rsid w:val="00F74DD1"/>
    <w:rsid w:val="00F8304E"/>
    <w:rsid w:val="00F84822"/>
    <w:rsid w:val="00F86523"/>
    <w:rsid w:val="00F87FF8"/>
    <w:rsid w:val="00F92563"/>
    <w:rsid w:val="00F96337"/>
    <w:rsid w:val="00FA073B"/>
    <w:rsid w:val="00FA10BC"/>
    <w:rsid w:val="00FA11EC"/>
    <w:rsid w:val="00FB1AF8"/>
    <w:rsid w:val="00FC1E29"/>
    <w:rsid w:val="00FC48A4"/>
    <w:rsid w:val="00FC5C5E"/>
    <w:rsid w:val="00FD3FA5"/>
    <w:rsid w:val="00FD4A9D"/>
    <w:rsid w:val="00FD6032"/>
    <w:rsid w:val="00FE2603"/>
    <w:rsid w:val="00FE7A22"/>
    <w:rsid w:val="00FF10EE"/>
    <w:rsid w:val="00FF16DC"/>
    <w:rsid w:val="00FF3B96"/>
    <w:rsid w:val="00FF63DF"/>
    <w:rsid w:val="00FF6426"/>
    <w:rsid w:val="4DB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665CDD"/>
  <w15:docId w15:val="{7AEC84B4-4948-40B5-A22B-60C79E2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90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51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Headline">
    <w:name w:val="Visa Headline"/>
    <w:uiPriority w:val="99"/>
    <w:rsid w:val="007C5436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7C543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s22">
    <w:name w:val="s22"/>
    <w:basedOn w:val="Domylnaczcionkaakapitu"/>
    <w:rsid w:val="007C5436"/>
  </w:style>
  <w:style w:type="character" w:styleId="Hipercze">
    <w:name w:val="Hyperlink"/>
    <w:basedOn w:val="Domylnaczcionkaakapitu"/>
    <w:uiPriority w:val="99"/>
    <w:unhideWhenUsed/>
    <w:rsid w:val="007A13A6"/>
    <w:rPr>
      <w:color w:val="0000FF"/>
      <w:u w:val="single"/>
    </w:rPr>
  </w:style>
  <w:style w:type="paragraph" w:customStyle="1" w:styleId="Normal1">
    <w:name w:val="Normal1"/>
    <w:rsid w:val="00B15767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767"/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767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767"/>
    <w:rPr>
      <w:vertAlign w:val="superscript"/>
    </w:rPr>
  </w:style>
  <w:style w:type="character" w:customStyle="1" w:styleId="A7">
    <w:name w:val="A7"/>
    <w:uiPriority w:val="99"/>
    <w:rsid w:val="00B15767"/>
    <w:rPr>
      <w:rFonts w:cs="Myriad Pro Light"/>
      <w:color w:val="000000"/>
      <w:sz w:val="14"/>
      <w:szCs w:val="14"/>
    </w:rPr>
  </w:style>
  <w:style w:type="paragraph" w:styleId="Akapitzlist">
    <w:name w:val="List Paragraph"/>
    <w:aliases w:val="Bullet List,FooterText,Paragraphe de liste1,numbered,List Paragraph1,Listenabsatz,リスト段落,Paragrafo elenco,Executive Summary List,cS List Paragraph,Question,Bulletr List Paragraph,列出段落,列出段落1,List Paragraph2,List Paragraph21,リスト段落1,Foot,????"/>
    <w:basedOn w:val="Normalny"/>
    <w:link w:val="AkapitzlistZnak"/>
    <w:uiPriority w:val="34"/>
    <w:qFormat/>
    <w:rsid w:val="0063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B7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B7B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7B"/>
    <w:rPr>
      <w:rFonts w:ascii="Segoe UI" w:eastAsiaTheme="minorEastAsia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54B8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5774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95774"/>
    <w:rPr>
      <w:rFonts w:ascii="Arial" w:eastAsia="Arial" w:hAnsi="Arial" w:cs="Arial"/>
      <w:color w:val="000000"/>
    </w:rPr>
  </w:style>
  <w:style w:type="paragraph" w:customStyle="1" w:styleId="VisaBody">
    <w:name w:val="Visa Body"/>
    <w:rsid w:val="00534DC4"/>
    <w:pPr>
      <w:spacing w:after="0" w:line="280" w:lineRule="exact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D76BA6"/>
    <w:pPr>
      <w:spacing w:after="0" w:line="240" w:lineRule="auto"/>
    </w:pPr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F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B1"/>
    <w:rPr>
      <w:rFonts w:eastAsiaTheme="minorEastAsia"/>
      <w:sz w:val="24"/>
      <w:szCs w:val="24"/>
    </w:rPr>
  </w:style>
  <w:style w:type="paragraph" w:customStyle="1" w:styleId="NormalWeb1">
    <w:name w:val="Normal (Web)1"/>
    <w:basedOn w:val="Normalny"/>
    <w:rsid w:val="00630FFE"/>
    <w:pPr>
      <w:spacing w:before="53" w:after="132"/>
    </w:pPr>
    <w:rPr>
      <w:rFonts w:ascii="Times New Roman" w:eastAsia="Times New Roman" w:hAnsi="Times New Roman" w:cs="Times New Roman"/>
    </w:rPr>
  </w:style>
  <w:style w:type="paragraph" w:customStyle="1" w:styleId="AnswerBullet">
    <w:name w:val="Answer Bullet"/>
    <w:basedOn w:val="Normalny"/>
    <w:next w:val="Normalny"/>
    <w:link w:val="AnswerBulletChar"/>
    <w:qFormat/>
    <w:rsid w:val="00630FFE"/>
    <w:pPr>
      <w:tabs>
        <w:tab w:val="left" w:pos="-2760"/>
      </w:tabs>
      <w:spacing w:after="120" w:line="280" w:lineRule="exact"/>
      <w:ind w:left="720"/>
    </w:pPr>
    <w:rPr>
      <w:rFonts w:ascii="Segoe UI" w:eastAsia="Times New Roman" w:hAnsi="Segoe UI" w:cs="Arial"/>
      <w:color w:val="404040" w:themeColor="text1" w:themeTint="BF"/>
      <w:sz w:val="22"/>
      <w:szCs w:val="20"/>
    </w:rPr>
  </w:style>
  <w:style w:type="character" w:customStyle="1" w:styleId="AnswerBulletChar">
    <w:name w:val="Answer Bullet Char"/>
    <w:link w:val="AnswerBullet"/>
    <w:locked/>
    <w:rsid w:val="00630FFE"/>
    <w:rPr>
      <w:rFonts w:ascii="Segoe UI" w:eastAsia="Times New Roman" w:hAnsi="Segoe UI" w:cs="Arial"/>
      <w:color w:val="404040" w:themeColor="text1" w:themeTint="BF"/>
      <w:szCs w:val="20"/>
    </w:rPr>
  </w:style>
  <w:style w:type="paragraph" w:customStyle="1" w:styleId="Default">
    <w:name w:val="Default"/>
    <w:rsid w:val="00322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paragraph" w:customStyle="1" w:styleId="visabody0">
    <w:name w:val="visabody"/>
    <w:basedOn w:val="Normalny"/>
    <w:rsid w:val="00C60EE9"/>
    <w:pPr>
      <w:spacing w:before="100" w:beforeAutospacing="1" w:after="100" w:afterAutospacing="1"/>
    </w:pPr>
    <w:rPr>
      <w:rFonts w:ascii="Times New Roman" w:eastAsiaTheme="minorHAnsi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7E6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omylnaczcionkaakapitu"/>
    <w:rsid w:val="00A13348"/>
  </w:style>
  <w:style w:type="paragraph" w:customStyle="1" w:styleId="AgendaSubhead">
    <w:name w:val="Agenda Subhead"/>
    <w:basedOn w:val="Normalny"/>
    <w:rsid w:val="00A13348"/>
    <w:rPr>
      <w:rFonts w:ascii="Arial" w:eastAsia="Times New Roman" w:hAnsi="Arial" w:cs="Times New Roman"/>
      <w:b/>
      <w:bCs/>
      <w:color w:val="000000"/>
      <w:szCs w:val="20"/>
    </w:rPr>
  </w:style>
  <w:style w:type="character" w:styleId="Pogrubienie">
    <w:name w:val="Strong"/>
    <w:basedOn w:val="Domylnaczcionkaakapitu"/>
    <w:uiPriority w:val="22"/>
    <w:qFormat/>
    <w:rsid w:val="00D1365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80C20"/>
    <w:rPr>
      <w:rFonts w:ascii="Segoe UI" w:eastAsia="Calibri" w:hAnsi="Segoe UI" w:cs="Times New Roman"/>
      <w:b/>
      <w:bCs/>
      <w:sz w:val="20"/>
      <w:szCs w:val="20"/>
    </w:rPr>
  </w:style>
  <w:style w:type="paragraph" w:customStyle="1" w:styleId="1">
    <w:name w:val="Обычный1"/>
    <w:rsid w:val="00E958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4D5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ny"/>
    <w:rsid w:val="004D5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Bullet List Znak,FooterText Znak,Paragraphe de liste1 Znak,numbered Znak,List Paragraph1 Znak,Listenabsatz Znak,リスト段落 Znak,Paragrafo elenco Znak,Executive Summary List Znak,cS List Paragraph Znak,Question Znak,列出段落 Znak,列出段落1 Znak"/>
    <w:basedOn w:val="Domylnaczcionkaakapitu"/>
    <w:link w:val="Akapitzlist"/>
    <w:uiPriority w:val="34"/>
    <w:qFormat/>
    <w:locked/>
    <w:rsid w:val="00594AA7"/>
    <w:rPr>
      <w:rFonts w:eastAsiaTheme="minorEastAsia"/>
      <w:sz w:val="24"/>
      <w:szCs w:val="24"/>
    </w:rPr>
  </w:style>
  <w:style w:type="character" w:customStyle="1" w:styleId="no-bullet-rte">
    <w:name w:val="no-bullet-rte"/>
    <w:basedOn w:val="Domylnaczcionkaakapitu"/>
    <w:rsid w:val="00CE3F8C"/>
  </w:style>
  <w:style w:type="paragraph" w:styleId="Bezodstpw">
    <w:name w:val="No Spacing"/>
    <w:uiPriority w:val="1"/>
    <w:qFormat/>
    <w:rsid w:val="00F34D2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58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1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416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sion.visaeurop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a.pl/" TargetMode="External"/><Relationship Id="rId17" Type="http://schemas.openxmlformats.org/officeDocument/2006/relationships/hyperlink" Target="mailto:visa.pl@grayl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roslaw.soroczynski@grayl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aeurop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VISA_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VisaNew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124803F5A6C47989CD0DECA58700E" ma:contentTypeVersion="7" ma:contentTypeDescription="Create a new document." ma:contentTypeScope="" ma:versionID="12f2b3ffba3ed8791a26e161eef4cdcf">
  <xsd:schema xmlns:xsd="http://www.w3.org/2001/XMLSchema" xmlns:xs="http://www.w3.org/2001/XMLSchema" xmlns:p="http://schemas.microsoft.com/office/2006/metadata/properties" xmlns:ns2="6856e80b-a79e-486f-9e65-93e631198047" xmlns:ns3="ffc86a56-e5c3-4dbf-920f-ab873697f6a0" targetNamespace="http://schemas.microsoft.com/office/2006/metadata/properties" ma:root="true" ma:fieldsID="a26360c171ed8e49a42feb804ea2ec80" ns2:_="" ns3:_="">
    <xsd:import namespace="6856e80b-a79e-486f-9e65-93e631198047"/>
    <xsd:import namespace="ffc86a56-e5c3-4dbf-920f-ab873697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e80b-a79e-486f-9e65-93e631198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6a56-e5c3-4dbf-920f-ab873697f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6990-83FF-414E-8A1D-DF617328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e80b-a79e-486f-9e65-93e631198047"/>
    <ds:schemaRef ds:uri="ffc86a56-e5c3-4dbf-920f-ab873697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27388-F12F-422D-B694-E361718FB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9C257-6CCD-43B0-BDEE-18BB1953B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6CF32-3BC3-4F31-9505-1C33C007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Capers, Caroline</dc:creator>
  <cp:lastModifiedBy>Katarzyna Wycech</cp:lastModifiedBy>
  <cp:revision>47</cp:revision>
  <cp:lastPrinted>2019-05-10T11:18:00Z</cp:lastPrinted>
  <dcterms:created xsi:type="dcterms:W3CDTF">2019-05-09T15:39:00Z</dcterms:created>
  <dcterms:modified xsi:type="dcterms:W3CDTF">2019-05-13T10:33:00Z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0x010100130124803F5A6C47989CD0DECA58700E</vt:lpwstr>
  </property>
</Properties>
</file>