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344F" w14:textId="2EE41B0D" w:rsidR="00461424" w:rsidRPr="00305665" w:rsidRDefault="00480F4C" w:rsidP="003E5918">
      <w:pPr>
        <w:pStyle w:val="VisaDocumentname"/>
        <w:rPr>
          <w:rFonts w:cs="Segoe UI"/>
          <w:color w:val="0023A0"/>
          <w:lang w:val="ro-RO"/>
        </w:rPr>
      </w:pPr>
      <w:r w:rsidRPr="00305665">
        <w:rPr>
          <w:rFonts w:cs="Segoe UI"/>
          <w:noProof/>
          <w:color w:val="0023A0"/>
        </w:rPr>
        <w:drawing>
          <wp:anchor distT="0" distB="0" distL="114300" distR="114300" simplePos="0" relativeHeight="251661312" behindDoc="0" locked="0" layoutInCell="1" allowOverlap="1" wp14:anchorId="214ACEE4" wp14:editId="756AF397">
            <wp:simplePos x="0" y="0"/>
            <wp:positionH relativeFrom="page">
              <wp:posOffset>5838825</wp:posOffset>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500" w:rsidRPr="00305665">
        <w:rPr>
          <w:rFonts w:cs="Segoe UI"/>
          <w:color w:val="0023A0"/>
          <w:lang w:val="ro-RO"/>
        </w:rPr>
        <w:t>comunicat de presă</w:t>
      </w:r>
    </w:p>
    <w:p w14:paraId="401B9FA1" w14:textId="2CE3814C" w:rsidR="003E5918" w:rsidRPr="00305665" w:rsidRDefault="003E5918" w:rsidP="003E5918">
      <w:pPr>
        <w:pStyle w:val="VisaDocumentname"/>
        <w:rPr>
          <w:rFonts w:cs="Segoe UI"/>
          <w:color w:val="0023A0"/>
          <w:lang w:val="ro-RO"/>
        </w:rPr>
      </w:pPr>
    </w:p>
    <w:p w14:paraId="256A23BF" w14:textId="5DF80B0B" w:rsidR="00F47500" w:rsidRPr="00305665" w:rsidRDefault="00840F58" w:rsidP="003D5FD5">
      <w:pPr>
        <w:pStyle w:val="VisaHeadline"/>
        <w:pBdr>
          <w:bottom w:val="single" w:sz="8" w:space="7" w:color="0023A0"/>
        </w:pBdr>
        <w:jc w:val="center"/>
        <w:rPr>
          <w:sz w:val="36"/>
          <w:szCs w:val="36"/>
          <w:lang w:val="ro-RO"/>
        </w:rPr>
      </w:pPr>
      <w:r>
        <w:rPr>
          <w:sz w:val="36"/>
          <w:szCs w:val="36"/>
          <w:lang w:val="ro-RO"/>
        </w:rPr>
        <w:t>Serviciul de tokenizare</w:t>
      </w:r>
      <w:r w:rsidR="00F47500" w:rsidRPr="00305665">
        <w:rPr>
          <w:sz w:val="36"/>
          <w:szCs w:val="36"/>
          <w:lang w:val="ro-RO"/>
        </w:rPr>
        <w:t xml:space="preserve"> V</w:t>
      </w:r>
      <w:r w:rsidR="002C6FAF">
        <w:rPr>
          <w:sz w:val="36"/>
          <w:szCs w:val="36"/>
          <w:lang w:val="ro-RO"/>
        </w:rPr>
        <w:t>isa</w:t>
      </w:r>
      <w:r>
        <w:rPr>
          <w:sz w:val="36"/>
          <w:szCs w:val="36"/>
          <w:lang w:val="ro-RO"/>
        </w:rPr>
        <w:t xml:space="preserve"> pentru</w:t>
      </w:r>
      <w:r w:rsidR="002C6FAF">
        <w:rPr>
          <w:sz w:val="36"/>
          <w:szCs w:val="36"/>
          <w:lang w:val="ro-RO"/>
        </w:rPr>
        <w:t xml:space="preserve"> </w:t>
      </w:r>
      <w:r>
        <w:rPr>
          <w:sz w:val="36"/>
          <w:szCs w:val="36"/>
          <w:lang w:val="ro-RO"/>
        </w:rPr>
        <w:t xml:space="preserve">plăți mobile se va </w:t>
      </w:r>
      <w:r w:rsidR="00553375">
        <w:rPr>
          <w:sz w:val="36"/>
          <w:szCs w:val="36"/>
          <w:lang w:val="ro-RO"/>
        </w:rPr>
        <w:t>extinde</w:t>
      </w:r>
      <w:r w:rsidR="002C6FAF">
        <w:rPr>
          <w:sz w:val="36"/>
          <w:szCs w:val="36"/>
          <w:lang w:val="ro-RO"/>
        </w:rPr>
        <w:t xml:space="preserve"> în 12</w:t>
      </w:r>
      <w:r w:rsidR="00F47500" w:rsidRPr="00305665">
        <w:rPr>
          <w:sz w:val="36"/>
          <w:szCs w:val="36"/>
          <w:lang w:val="ro-RO"/>
        </w:rPr>
        <w:t xml:space="preserve"> țări europene până la finalul anului 2017</w:t>
      </w:r>
    </w:p>
    <w:p w14:paraId="4DD1470B" w14:textId="77777777" w:rsidR="00724888" w:rsidRPr="00305665" w:rsidRDefault="004C3110" w:rsidP="004C3110">
      <w:pPr>
        <w:spacing w:after="0" w:line="360" w:lineRule="auto"/>
        <w:rPr>
          <w:rFonts w:ascii="Arial" w:hAnsi="Arial" w:cs="Arial"/>
          <w:bCs/>
          <w:iCs/>
          <w:sz w:val="24"/>
          <w:szCs w:val="24"/>
          <w:lang w:val="ro-RO"/>
        </w:rPr>
      </w:pPr>
      <w:r w:rsidRPr="00305665">
        <w:rPr>
          <w:rFonts w:ascii="Arial" w:hAnsi="Arial" w:cs="Arial"/>
          <w:bCs/>
          <w:iCs/>
          <w:sz w:val="24"/>
          <w:szCs w:val="24"/>
          <w:lang w:val="ro-RO"/>
        </w:rPr>
        <w:t xml:space="preserve"> </w:t>
      </w:r>
    </w:p>
    <w:p w14:paraId="12C80011" w14:textId="5477A7B4" w:rsidR="00F47500" w:rsidRPr="00553375" w:rsidRDefault="00F47500" w:rsidP="00A51F8C">
      <w:pPr>
        <w:pStyle w:val="ListParagraph"/>
        <w:numPr>
          <w:ilvl w:val="0"/>
          <w:numId w:val="4"/>
        </w:numPr>
        <w:spacing w:line="240" w:lineRule="auto"/>
        <w:ind w:left="1434" w:hanging="357"/>
        <w:rPr>
          <w:rFonts w:ascii="Arial" w:hAnsi="Arial" w:cs="Arial"/>
          <w:bCs/>
          <w:iCs/>
          <w:lang w:val="ro-RO"/>
        </w:rPr>
      </w:pPr>
      <w:r w:rsidRPr="00553375">
        <w:rPr>
          <w:rFonts w:ascii="Arial" w:hAnsi="Arial" w:cs="Arial"/>
          <w:bCs/>
          <w:iCs/>
          <w:lang w:val="ro-RO"/>
        </w:rPr>
        <w:t>Serviciul Visa Token, care permite</w:t>
      </w:r>
      <w:r w:rsidR="00401E5B" w:rsidRPr="00553375">
        <w:rPr>
          <w:rFonts w:ascii="Arial" w:hAnsi="Arial" w:cs="Arial"/>
          <w:bCs/>
          <w:iCs/>
          <w:lang w:val="ro-RO"/>
        </w:rPr>
        <w:t xml:space="preserve"> realizarea de</w:t>
      </w:r>
      <w:r w:rsidRPr="00553375">
        <w:rPr>
          <w:rFonts w:ascii="Arial" w:hAnsi="Arial" w:cs="Arial"/>
          <w:bCs/>
          <w:iCs/>
          <w:lang w:val="ro-RO"/>
        </w:rPr>
        <w:t xml:space="preserve"> </w:t>
      </w:r>
      <w:r w:rsidR="00305665" w:rsidRPr="00553375">
        <w:rPr>
          <w:rFonts w:ascii="Arial" w:hAnsi="Arial" w:cs="Arial"/>
          <w:bCs/>
          <w:iCs/>
          <w:lang w:val="ro-RO"/>
        </w:rPr>
        <w:t xml:space="preserve">plăți mobile sigur și </w:t>
      </w:r>
      <w:r w:rsidR="00401E5B" w:rsidRPr="00553375">
        <w:rPr>
          <w:rFonts w:ascii="Arial" w:hAnsi="Arial" w:cs="Arial"/>
          <w:bCs/>
          <w:iCs/>
          <w:lang w:val="ro-RO"/>
        </w:rPr>
        <w:t>comod</w:t>
      </w:r>
      <w:r w:rsidRPr="00553375">
        <w:rPr>
          <w:rFonts w:ascii="Arial" w:hAnsi="Arial" w:cs="Arial"/>
          <w:bCs/>
          <w:iCs/>
          <w:lang w:val="ro-RO"/>
        </w:rPr>
        <w:t xml:space="preserve">, este disponibil </w:t>
      </w:r>
      <w:r w:rsidR="00387495" w:rsidRPr="00553375">
        <w:rPr>
          <w:rFonts w:ascii="Arial" w:hAnsi="Arial" w:cs="Arial"/>
          <w:bCs/>
          <w:iCs/>
          <w:lang w:val="ro-RO"/>
        </w:rPr>
        <w:t>în</w:t>
      </w:r>
      <w:r w:rsidRPr="00553375">
        <w:rPr>
          <w:rFonts w:ascii="Arial" w:hAnsi="Arial" w:cs="Arial"/>
          <w:bCs/>
          <w:iCs/>
          <w:lang w:val="ro-RO"/>
        </w:rPr>
        <w:t xml:space="preserve"> cinci </w:t>
      </w:r>
      <w:r w:rsidR="00506A8A" w:rsidRPr="00553375">
        <w:rPr>
          <w:rFonts w:ascii="Arial" w:hAnsi="Arial" w:cs="Arial"/>
          <w:bCs/>
          <w:iCs/>
          <w:lang w:val="ro-RO"/>
        </w:rPr>
        <w:t xml:space="preserve">țări </w:t>
      </w:r>
      <w:r w:rsidRPr="00553375">
        <w:rPr>
          <w:rFonts w:ascii="Arial" w:hAnsi="Arial" w:cs="Arial"/>
          <w:bCs/>
          <w:iCs/>
          <w:lang w:val="ro-RO"/>
        </w:rPr>
        <w:t xml:space="preserve">europene, </w:t>
      </w:r>
      <w:r w:rsidR="005E1A0C" w:rsidRPr="00553375">
        <w:rPr>
          <w:rFonts w:ascii="Arial" w:hAnsi="Arial" w:cs="Arial"/>
          <w:bCs/>
          <w:iCs/>
          <w:lang w:val="ro-RO"/>
        </w:rPr>
        <w:t>iar</w:t>
      </w:r>
      <w:r w:rsidR="000C7B48" w:rsidRPr="00553375">
        <w:rPr>
          <w:rFonts w:ascii="Arial" w:hAnsi="Arial" w:cs="Arial"/>
          <w:bCs/>
          <w:iCs/>
          <w:lang w:val="ro-RO"/>
        </w:rPr>
        <w:t xml:space="preserve"> alte </w:t>
      </w:r>
      <w:r w:rsidR="002C6FAF" w:rsidRPr="00553375">
        <w:rPr>
          <w:rFonts w:ascii="Arial" w:hAnsi="Arial" w:cs="Arial"/>
          <w:bCs/>
          <w:iCs/>
          <w:lang w:val="ro-RO"/>
        </w:rPr>
        <w:t>șapte</w:t>
      </w:r>
      <w:r w:rsidR="000C7B48" w:rsidRPr="00553375">
        <w:rPr>
          <w:rFonts w:ascii="Arial" w:hAnsi="Arial" w:cs="Arial"/>
          <w:bCs/>
          <w:iCs/>
          <w:lang w:val="ro-RO"/>
        </w:rPr>
        <w:t xml:space="preserve"> piețe</w:t>
      </w:r>
      <w:r w:rsidR="005E1A0C" w:rsidRPr="00553375">
        <w:rPr>
          <w:rFonts w:ascii="Arial" w:hAnsi="Arial" w:cs="Arial"/>
          <w:bCs/>
          <w:iCs/>
          <w:lang w:val="ro-RO"/>
        </w:rPr>
        <w:t xml:space="preserve"> se pregătesc de lansare</w:t>
      </w:r>
    </w:p>
    <w:p w14:paraId="128BFA1D" w14:textId="377396A0" w:rsidR="002C6FAF" w:rsidRPr="00553375" w:rsidRDefault="000C7B48" w:rsidP="00D00FAC">
      <w:pPr>
        <w:pStyle w:val="ListParagraph"/>
        <w:numPr>
          <w:ilvl w:val="0"/>
          <w:numId w:val="4"/>
        </w:numPr>
        <w:spacing w:line="240" w:lineRule="auto"/>
        <w:ind w:left="1434" w:hanging="357"/>
        <w:rPr>
          <w:rFonts w:ascii="Arial" w:hAnsi="Arial" w:cs="Arial"/>
          <w:bCs/>
          <w:iCs/>
          <w:lang w:val="ro-RO"/>
        </w:rPr>
      </w:pPr>
      <w:r w:rsidRPr="00553375">
        <w:rPr>
          <w:rFonts w:ascii="Arial" w:hAnsi="Arial" w:cs="Arial"/>
          <w:bCs/>
          <w:iCs/>
          <w:lang w:val="ro-RO"/>
        </w:rPr>
        <w:t xml:space="preserve">Consumatorii europeni </w:t>
      </w:r>
      <w:r w:rsidR="002C6FAF" w:rsidRPr="00553375">
        <w:rPr>
          <w:rFonts w:ascii="Arial" w:hAnsi="Arial" w:cs="Arial"/>
          <w:bCs/>
          <w:iCs/>
          <w:lang w:val="ro-RO"/>
        </w:rPr>
        <w:t>cheltuie</w:t>
      </w:r>
      <w:r w:rsidR="005E1A0C" w:rsidRPr="00553375">
        <w:rPr>
          <w:rFonts w:ascii="Arial" w:hAnsi="Arial" w:cs="Arial"/>
          <w:bCs/>
          <w:iCs/>
          <w:lang w:val="ro-RO"/>
        </w:rPr>
        <w:t>sc</w:t>
      </w:r>
      <w:r w:rsidR="002C6FAF" w:rsidRPr="00553375">
        <w:rPr>
          <w:rFonts w:ascii="Arial" w:hAnsi="Arial" w:cs="Arial"/>
          <w:bCs/>
          <w:iCs/>
          <w:lang w:val="ro-RO"/>
        </w:rPr>
        <w:t xml:space="preserve"> în medie 9 euro în cadrul tranzacțiilor la POS efectuate prin intermediul dispozitivelor mobile</w:t>
      </w:r>
    </w:p>
    <w:p w14:paraId="1BC0ECD8" w14:textId="10BE1ECF" w:rsidR="000C7B48" w:rsidRPr="00553375" w:rsidRDefault="002C6FAF" w:rsidP="00D00FAC">
      <w:pPr>
        <w:pStyle w:val="ListParagraph"/>
        <w:numPr>
          <w:ilvl w:val="0"/>
          <w:numId w:val="4"/>
        </w:numPr>
        <w:spacing w:line="240" w:lineRule="auto"/>
        <w:ind w:left="1434" w:hanging="357"/>
        <w:rPr>
          <w:rFonts w:ascii="Arial" w:hAnsi="Arial" w:cs="Arial"/>
          <w:bCs/>
          <w:iCs/>
          <w:lang w:val="ro-RO"/>
        </w:rPr>
      </w:pPr>
      <w:r w:rsidRPr="00553375">
        <w:rPr>
          <w:rFonts w:ascii="Arial" w:hAnsi="Arial" w:cs="Arial"/>
          <w:bCs/>
          <w:iCs/>
          <w:lang w:val="ro-RO"/>
        </w:rPr>
        <w:t xml:space="preserve">Peste 1,2 milioane de comercianți europeni și-au instalat terminale contactless, ceea ce </w:t>
      </w:r>
      <w:r w:rsidR="000C7B48" w:rsidRPr="00553375">
        <w:rPr>
          <w:rFonts w:ascii="Arial" w:hAnsi="Arial" w:cs="Arial"/>
          <w:bCs/>
          <w:iCs/>
          <w:lang w:val="ro-RO"/>
        </w:rPr>
        <w:t>stimulează creșterea plăților cu telefonul mobil</w:t>
      </w:r>
    </w:p>
    <w:p w14:paraId="263210C9" w14:textId="77777777" w:rsidR="008179C9" w:rsidRPr="00553375" w:rsidRDefault="008179C9" w:rsidP="008179C9">
      <w:pPr>
        <w:pStyle w:val="ListParagraph"/>
        <w:spacing w:after="0" w:line="240" w:lineRule="auto"/>
        <w:ind w:left="1440"/>
        <w:rPr>
          <w:rFonts w:ascii="Arial" w:hAnsi="Arial" w:cs="Arial"/>
          <w:bCs/>
          <w:iCs/>
          <w:lang w:val="ro-RO"/>
        </w:rPr>
      </w:pPr>
    </w:p>
    <w:p w14:paraId="7FEDCCDD" w14:textId="17173982" w:rsidR="001C0204" w:rsidRPr="00553375" w:rsidRDefault="001C0204" w:rsidP="0015144C">
      <w:pPr>
        <w:pStyle w:val="ListParagraph"/>
        <w:spacing w:after="240"/>
        <w:ind w:left="0"/>
        <w:jc w:val="both"/>
        <w:rPr>
          <w:rFonts w:ascii="Arial" w:hAnsi="Arial" w:cs="Arial"/>
          <w:bCs/>
          <w:iCs/>
          <w:lang w:val="ro-RO"/>
        </w:rPr>
      </w:pPr>
      <w:r w:rsidRPr="00553375">
        <w:rPr>
          <w:rFonts w:ascii="Arial" w:hAnsi="Arial" w:cs="Arial"/>
          <w:b/>
          <w:bCs/>
          <w:iCs/>
          <w:lang w:val="ro-RO"/>
        </w:rPr>
        <w:t>Londra, 21 februarie 2017:</w:t>
      </w:r>
      <w:r w:rsidRPr="00553375">
        <w:rPr>
          <w:rFonts w:ascii="Arial" w:hAnsi="Arial" w:cs="Arial"/>
          <w:bCs/>
          <w:iCs/>
          <w:lang w:val="ro-RO"/>
        </w:rPr>
        <w:t xml:space="preserve"> </w:t>
      </w:r>
      <w:r w:rsidR="005E1A0C" w:rsidRPr="00553375">
        <w:rPr>
          <w:rFonts w:ascii="Arial" w:hAnsi="Arial" w:cs="Arial"/>
          <w:bCs/>
          <w:iCs/>
          <w:lang w:val="ro-RO"/>
        </w:rPr>
        <w:t>Cu ocazia</w:t>
      </w:r>
      <w:r w:rsidRPr="00553375">
        <w:rPr>
          <w:rFonts w:ascii="Arial" w:hAnsi="Arial" w:cs="Arial"/>
          <w:bCs/>
          <w:iCs/>
          <w:lang w:val="ro-RO"/>
        </w:rPr>
        <w:t xml:space="preserve"> lansării centru</w:t>
      </w:r>
      <w:r w:rsidR="006852A9" w:rsidRPr="00553375">
        <w:rPr>
          <w:rFonts w:ascii="Arial" w:hAnsi="Arial" w:cs="Arial"/>
          <w:bCs/>
          <w:iCs/>
          <w:lang w:val="ro-RO"/>
        </w:rPr>
        <w:t>lui</w:t>
      </w:r>
      <w:r w:rsidRPr="00553375">
        <w:rPr>
          <w:rFonts w:ascii="Arial" w:hAnsi="Arial" w:cs="Arial"/>
          <w:bCs/>
          <w:iCs/>
          <w:lang w:val="ro-RO"/>
        </w:rPr>
        <w:t xml:space="preserve"> de inovație de la Londra, Vis</w:t>
      </w:r>
      <w:r w:rsidR="0073008E" w:rsidRPr="00553375">
        <w:rPr>
          <w:rFonts w:ascii="Arial" w:hAnsi="Arial" w:cs="Arial"/>
          <w:bCs/>
          <w:iCs/>
          <w:lang w:val="ro-RO"/>
        </w:rPr>
        <w:t>a Inc. (NYSE: V) anunț</w:t>
      </w:r>
      <w:r w:rsidR="002576FE" w:rsidRPr="00553375">
        <w:rPr>
          <w:rFonts w:ascii="Arial" w:hAnsi="Arial" w:cs="Arial"/>
          <w:bCs/>
          <w:iCs/>
          <w:lang w:val="ro-RO"/>
        </w:rPr>
        <w:t>ă</w:t>
      </w:r>
      <w:r w:rsidR="0073008E" w:rsidRPr="00553375">
        <w:rPr>
          <w:rFonts w:ascii="Arial" w:hAnsi="Arial" w:cs="Arial"/>
          <w:bCs/>
          <w:iCs/>
          <w:lang w:val="ro-RO"/>
        </w:rPr>
        <w:t xml:space="preserve"> că </w:t>
      </w:r>
      <w:r w:rsidR="00002867" w:rsidRPr="00553375">
        <w:rPr>
          <w:rFonts w:ascii="Arial" w:hAnsi="Arial" w:cs="Arial"/>
          <w:bCs/>
          <w:iCs/>
          <w:lang w:val="ro-RO"/>
        </w:rPr>
        <w:t xml:space="preserve">serviciul Visa Token </w:t>
      </w:r>
      <w:r w:rsidR="00480F4C" w:rsidRPr="00553375">
        <w:rPr>
          <w:rFonts w:ascii="Arial" w:hAnsi="Arial" w:cs="Arial"/>
          <w:bCs/>
          <w:iCs/>
          <w:lang w:val="ro-RO"/>
        </w:rPr>
        <w:t xml:space="preserve">va fi disponibil în 12 țări europene până la finalul anului 2017. Tehnologia </w:t>
      </w:r>
      <w:r w:rsidR="006852A9" w:rsidRPr="00553375">
        <w:rPr>
          <w:rFonts w:ascii="Arial" w:hAnsi="Arial" w:cs="Arial"/>
          <w:bCs/>
          <w:iCs/>
          <w:lang w:val="ro-RO"/>
        </w:rPr>
        <w:t xml:space="preserve">permite efectuarea mai sigură şi comodă </w:t>
      </w:r>
      <w:r w:rsidR="00840F58" w:rsidRPr="00553375">
        <w:rPr>
          <w:rFonts w:ascii="Arial" w:hAnsi="Arial" w:cs="Arial"/>
          <w:bCs/>
          <w:iCs/>
          <w:lang w:val="ro-RO"/>
        </w:rPr>
        <w:t>a</w:t>
      </w:r>
      <w:r w:rsidR="002576FE" w:rsidRPr="00553375">
        <w:rPr>
          <w:rFonts w:ascii="Arial" w:hAnsi="Arial" w:cs="Arial"/>
          <w:bCs/>
          <w:iCs/>
          <w:lang w:val="ro-RO"/>
        </w:rPr>
        <w:t xml:space="preserve"> </w:t>
      </w:r>
      <w:r w:rsidR="006852A9" w:rsidRPr="00553375">
        <w:rPr>
          <w:rFonts w:ascii="Arial" w:hAnsi="Arial" w:cs="Arial"/>
          <w:bCs/>
          <w:iCs/>
          <w:lang w:val="ro-RO"/>
        </w:rPr>
        <w:t>plăți</w:t>
      </w:r>
      <w:r w:rsidR="00840F58" w:rsidRPr="00553375">
        <w:rPr>
          <w:rFonts w:ascii="Arial" w:hAnsi="Arial" w:cs="Arial"/>
          <w:bCs/>
          <w:iCs/>
          <w:lang w:val="ro-RO"/>
        </w:rPr>
        <w:t>lor</w:t>
      </w:r>
      <w:r w:rsidR="002576FE" w:rsidRPr="00553375">
        <w:rPr>
          <w:rFonts w:ascii="Arial" w:hAnsi="Arial" w:cs="Arial"/>
          <w:bCs/>
          <w:iCs/>
          <w:lang w:val="ro-RO"/>
        </w:rPr>
        <w:t xml:space="preserve"> mobile și online, prin înlocuirea datelor de cont ale consumatorului cu un identificator digital</w:t>
      </w:r>
      <w:r w:rsidR="00480F4C" w:rsidRPr="00553375">
        <w:rPr>
          <w:rFonts w:ascii="Arial" w:hAnsi="Arial" w:cs="Arial"/>
          <w:bCs/>
          <w:iCs/>
          <w:lang w:val="ro-RO"/>
        </w:rPr>
        <w:t>.</w:t>
      </w:r>
    </w:p>
    <w:p w14:paraId="713A2185" w14:textId="185A6612" w:rsidR="00E47125" w:rsidRPr="00553375" w:rsidRDefault="00E47125" w:rsidP="0015144C">
      <w:pPr>
        <w:pStyle w:val="ListParagraph"/>
        <w:spacing w:after="240"/>
        <w:ind w:left="0"/>
        <w:jc w:val="both"/>
        <w:rPr>
          <w:rFonts w:ascii="Arial" w:hAnsi="Arial" w:cs="Arial"/>
          <w:bCs/>
          <w:iCs/>
          <w:lang w:val="ro-RO"/>
        </w:rPr>
      </w:pPr>
      <w:r w:rsidRPr="00553375">
        <w:rPr>
          <w:rFonts w:ascii="Arial" w:hAnsi="Arial" w:cs="Arial"/>
          <w:bCs/>
          <w:iCs/>
          <w:lang w:val="ro-RO"/>
        </w:rPr>
        <w:t xml:space="preserve">Tehnologia este </w:t>
      </w:r>
      <w:r w:rsidR="002576FE" w:rsidRPr="00553375">
        <w:rPr>
          <w:rFonts w:ascii="Arial" w:hAnsi="Arial" w:cs="Arial"/>
          <w:bCs/>
          <w:iCs/>
          <w:lang w:val="ro-RO"/>
        </w:rPr>
        <w:t>încorporată</w:t>
      </w:r>
      <w:r w:rsidR="00840F58" w:rsidRPr="00553375">
        <w:rPr>
          <w:rFonts w:ascii="Arial" w:hAnsi="Arial" w:cs="Arial"/>
          <w:bCs/>
          <w:iCs/>
          <w:lang w:val="ro-RO"/>
        </w:rPr>
        <w:t xml:space="preserve"> </w:t>
      </w:r>
      <w:r w:rsidRPr="00553375">
        <w:rPr>
          <w:rFonts w:ascii="Arial" w:hAnsi="Arial" w:cs="Arial"/>
          <w:bCs/>
          <w:iCs/>
          <w:lang w:val="ro-RO"/>
        </w:rPr>
        <w:t xml:space="preserve">deja </w:t>
      </w:r>
      <w:r w:rsidR="002576FE" w:rsidRPr="00553375">
        <w:rPr>
          <w:rFonts w:ascii="Arial" w:hAnsi="Arial" w:cs="Arial"/>
          <w:bCs/>
          <w:iCs/>
          <w:lang w:val="ro-RO"/>
        </w:rPr>
        <w:t>în</w:t>
      </w:r>
      <w:r w:rsidRPr="00553375">
        <w:rPr>
          <w:rFonts w:ascii="Arial" w:hAnsi="Arial" w:cs="Arial"/>
          <w:bCs/>
          <w:iCs/>
          <w:lang w:val="ro-RO"/>
        </w:rPr>
        <w:t xml:space="preserve"> </w:t>
      </w:r>
      <w:r w:rsidR="002576FE" w:rsidRPr="00553375">
        <w:rPr>
          <w:rFonts w:ascii="Arial" w:hAnsi="Arial" w:cs="Arial"/>
          <w:bCs/>
          <w:iCs/>
          <w:lang w:val="ro-RO"/>
        </w:rPr>
        <w:t xml:space="preserve">servicii </w:t>
      </w:r>
      <w:r w:rsidRPr="00553375">
        <w:rPr>
          <w:rFonts w:ascii="Arial" w:hAnsi="Arial" w:cs="Arial"/>
          <w:bCs/>
          <w:iCs/>
          <w:lang w:val="ro-RO"/>
        </w:rPr>
        <w:t xml:space="preserve">de plată </w:t>
      </w:r>
      <w:r w:rsidR="002576FE" w:rsidRPr="00553375">
        <w:rPr>
          <w:rFonts w:ascii="Arial" w:hAnsi="Arial" w:cs="Arial"/>
          <w:bCs/>
          <w:iCs/>
          <w:lang w:val="ro-RO"/>
        </w:rPr>
        <w:t xml:space="preserve">mobile </w:t>
      </w:r>
      <w:r w:rsidRPr="00553375">
        <w:rPr>
          <w:rFonts w:ascii="Arial" w:hAnsi="Arial" w:cs="Arial"/>
          <w:bCs/>
          <w:iCs/>
          <w:lang w:val="ro-RO"/>
        </w:rPr>
        <w:t xml:space="preserve">din 27 de țări din întreaga lume, </w:t>
      </w:r>
      <w:r w:rsidR="008345B8" w:rsidRPr="00553375">
        <w:rPr>
          <w:rFonts w:ascii="Arial" w:hAnsi="Arial" w:cs="Arial"/>
          <w:bCs/>
          <w:iCs/>
          <w:lang w:val="ro-RO"/>
        </w:rPr>
        <w:t>inclusiv</w:t>
      </w:r>
      <w:r w:rsidRPr="00553375">
        <w:rPr>
          <w:rFonts w:ascii="Arial" w:hAnsi="Arial" w:cs="Arial"/>
          <w:bCs/>
          <w:iCs/>
          <w:lang w:val="ro-RO"/>
        </w:rPr>
        <w:t xml:space="preserve"> Franța, Irlanda, Polonia, Elveția și Marea Britanie, cu peste 1.300 de instituții financiare partenere. Visa lucrează împreună cu clienții și partenerii </w:t>
      </w:r>
      <w:r w:rsidR="008345B8" w:rsidRPr="00553375">
        <w:rPr>
          <w:rFonts w:ascii="Arial" w:hAnsi="Arial" w:cs="Arial"/>
          <w:bCs/>
          <w:iCs/>
          <w:lang w:val="ro-RO"/>
        </w:rPr>
        <w:t>săi</w:t>
      </w:r>
      <w:r w:rsidRPr="00553375">
        <w:rPr>
          <w:rFonts w:ascii="Arial" w:hAnsi="Arial" w:cs="Arial"/>
          <w:bCs/>
          <w:iCs/>
          <w:lang w:val="ro-RO"/>
        </w:rPr>
        <w:t xml:space="preserve"> pentru a extinde utilizarea tehnologiei în mai multe țări</w:t>
      </w:r>
      <w:r w:rsidR="008345B8" w:rsidRPr="00553375">
        <w:rPr>
          <w:rFonts w:ascii="Arial" w:hAnsi="Arial" w:cs="Arial"/>
          <w:bCs/>
          <w:iCs/>
          <w:lang w:val="ro-RO"/>
        </w:rPr>
        <w:t>, dar</w:t>
      </w:r>
      <w:r w:rsidRPr="00553375">
        <w:rPr>
          <w:rFonts w:ascii="Arial" w:hAnsi="Arial" w:cs="Arial"/>
          <w:bCs/>
          <w:iCs/>
          <w:lang w:val="ro-RO"/>
        </w:rPr>
        <w:t xml:space="preserve"> și în zona plăților online.</w:t>
      </w:r>
    </w:p>
    <w:p w14:paraId="2005ED56" w14:textId="2857B64D" w:rsidR="00172E49" w:rsidRPr="00553375" w:rsidRDefault="000E57A9" w:rsidP="00172E49">
      <w:pPr>
        <w:pStyle w:val="ListParagraph"/>
        <w:spacing w:after="240"/>
        <w:ind w:left="0"/>
        <w:jc w:val="both"/>
        <w:rPr>
          <w:rFonts w:ascii="Arial" w:hAnsi="Arial" w:cs="Arial"/>
          <w:b/>
          <w:bCs/>
          <w:iCs/>
          <w:lang w:val="ro-RO"/>
        </w:rPr>
      </w:pPr>
      <w:r w:rsidRPr="00553375">
        <w:rPr>
          <w:rFonts w:ascii="Arial" w:hAnsi="Arial" w:cs="Arial"/>
          <w:bCs/>
          <w:iCs/>
          <w:lang w:val="ro-RO"/>
        </w:rPr>
        <w:t>Lansat</w:t>
      </w:r>
      <w:r w:rsidR="00E47125" w:rsidRPr="00553375">
        <w:rPr>
          <w:rFonts w:ascii="Arial" w:hAnsi="Arial" w:cs="Arial"/>
          <w:bCs/>
          <w:iCs/>
          <w:lang w:val="ro-RO"/>
        </w:rPr>
        <w:t xml:space="preserve"> de Visa în 201</w:t>
      </w:r>
      <w:r w:rsidRPr="00553375">
        <w:rPr>
          <w:rFonts w:ascii="Arial" w:hAnsi="Arial" w:cs="Arial"/>
          <w:bCs/>
          <w:iCs/>
          <w:lang w:val="ro-RO"/>
        </w:rPr>
        <w:t>5</w:t>
      </w:r>
      <w:r w:rsidR="000E04DB" w:rsidRPr="00553375">
        <w:rPr>
          <w:rFonts w:ascii="Arial" w:hAnsi="Arial" w:cs="Arial"/>
          <w:bCs/>
          <w:iCs/>
          <w:lang w:val="ro-RO"/>
        </w:rPr>
        <w:t>, serviciul Visa Token reprezintă</w:t>
      </w:r>
      <w:r w:rsidR="00E47125" w:rsidRPr="00553375">
        <w:rPr>
          <w:rFonts w:ascii="Arial" w:hAnsi="Arial" w:cs="Arial"/>
          <w:bCs/>
          <w:iCs/>
          <w:lang w:val="ro-RO"/>
        </w:rPr>
        <w:t xml:space="preserve"> tehnologia</w:t>
      </w:r>
      <w:r w:rsidR="00831954" w:rsidRPr="00553375">
        <w:rPr>
          <w:rFonts w:ascii="Arial" w:hAnsi="Arial" w:cs="Arial"/>
          <w:bCs/>
          <w:iCs/>
          <w:lang w:val="ro-RO"/>
        </w:rPr>
        <w:t xml:space="preserve"> </w:t>
      </w:r>
      <w:r w:rsidRPr="00553375">
        <w:rPr>
          <w:rFonts w:ascii="Arial" w:hAnsi="Arial" w:cs="Arial"/>
          <w:bCs/>
          <w:iCs/>
          <w:lang w:val="ro-RO"/>
        </w:rPr>
        <w:t>care stă la baza unor</w:t>
      </w:r>
      <w:r w:rsidR="00831954" w:rsidRPr="00553375">
        <w:rPr>
          <w:rFonts w:ascii="Arial" w:hAnsi="Arial" w:cs="Arial"/>
          <w:bCs/>
          <w:iCs/>
          <w:lang w:val="ro-RO"/>
        </w:rPr>
        <w:t xml:space="preserve"> servicii </w:t>
      </w:r>
      <w:r w:rsidRPr="00553375">
        <w:rPr>
          <w:rFonts w:ascii="Arial" w:hAnsi="Arial" w:cs="Arial"/>
          <w:bCs/>
          <w:iCs/>
          <w:lang w:val="ro-RO"/>
        </w:rPr>
        <w:t xml:space="preserve">cunoscute </w:t>
      </w:r>
      <w:r w:rsidR="00831954" w:rsidRPr="00553375">
        <w:rPr>
          <w:rFonts w:ascii="Arial" w:hAnsi="Arial" w:cs="Arial"/>
          <w:bCs/>
          <w:iCs/>
          <w:lang w:val="ro-RO"/>
        </w:rPr>
        <w:t xml:space="preserve">de plată cu telefonul mobil, </w:t>
      </w:r>
      <w:r w:rsidRPr="00553375">
        <w:rPr>
          <w:rFonts w:ascii="Arial" w:hAnsi="Arial" w:cs="Arial"/>
          <w:bCs/>
          <w:iCs/>
          <w:lang w:val="ro-RO"/>
        </w:rPr>
        <w:t xml:space="preserve">precum </w:t>
      </w:r>
      <w:r w:rsidR="00831954" w:rsidRPr="00553375">
        <w:rPr>
          <w:rFonts w:ascii="Arial" w:hAnsi="Arial" w:cs="Arial"/>
          <w:bCs/>
          <w:iCs/>
          <w:lang w:val="ro-RO"/>
        </w:rPr>
        <w:t xml:space="preserve">Apple Pay și Android Pay, oferind consumatorilor </w:t>
      </w:r>
      <w:r w:rsidR="000453C3" w:rsidRPr="00553375">
        <w:rPr>
          <w:rFonts w:ascii="Arial" w:hAnsi="Arial" w:cs="Arial"/>
          <w:bCs/>
          <w:iCs/>
          <w:lang w:val="ro-RO"/>
        </w:rPr>
        <w:t xml:space="preserve">o modalitate </w:t>
      </w:r>
      <w:r w:rsidRPr="00553375">
        <w:rPr>
          <w:rFonts w:ascii="Arial" w:hAnsi="Arial" w:cs="Arial"/>
          <w:bCs/>
          <w:iCs/>
          <w:lang w:val="ro-RO"/>
        </w:rPr>
        <w:t xml:space="preserve">sigură </w:t>
      </w:r>
      <w:r w:rsidR="000453C3" w:rsidRPr="00553375">
        <w:rPr>
          <w:rFonts w:ascii="Arial" w:hAnsi="Arial" w:cs="Arial"/>
          <w:bCs/>
          <w:iCs/>
          <w:lang w:val="ro-RO"/>
        </w:rPr>
        <w:t>de a-și încărca și accesa conturile de plată pe dispozitive</w:t>
      </w:r>
      <w:r w:rsidR="000E04DB" w:rsidRPr="00553375">
        <w:rPr>
          <w:rFonts w:ascii="Arial" w:hAnsi="Arial" w:cs="Arial"/>
          <w:bCs/>
          <w:iCs/>
          <w:lang w:val="ro-RO"/>
        </w:rPr>
        <w:t>le</w:t>
      </w:r>
      <w:r w:rsidR="000453C3" w:rsidRPr="00553375">
        <w:rPr>
          <w:rFonts w:ascii="Arial" w:hAnsi="Arial" w:cs="Arial"/>
          <w:bCs/>
          <w:iCs/>
          <w:lang w:val="ro-RO"/>
        </w:rPr>
        <w:t xml:space="preserve"> mobile. Tehnologia </w:t>
      </w:r>
      <w:r w:rsidR="00826B4B" w:rsidRPr="00553375">
        <w:rPr>
          <w:rFonts w:ascii="Arial" w:hAnsi="Arial" w:cs="Arial"/>
          <w:bCs/>
          <w:iCs/>
          <w:lang w:val="ro-RO"/>
        </w:rPr>
        <w:t>se află</w:t>
      </w:r>
      <w:r w:rsidRPr="00553375">
        <w:rPr>
          <w:rFonts w:ascii="Arial" w:hAnsi="Arial" w:cs="Arial"/>
          <w:bCs/>
          <w:iCs/>
          <w:lang w:val="ro-RO"/>
        </w:rPr>
        <w:t xml:space="preserve"> în centrul </w:t>
      </w:r>
      <w:r w:rsidR="00EB5F8B" w:rsidRPr="00553375">
        <w:rPr>
          <w:rFonts w:ascii="Arial" w:hAnsi="Arial" w:cs="Arial"/>
          <w:bCs/>
          <w:iCs/>
          <w:lang w:val="ro-RO"/>
        </w:rPr>
        <w:t>viziunii Visa asupra</w:t>
      </w:r>
      <w:r w:rsidR="00172E49" w:rsidRPr="00553375">
        <w:rPr>
          <w:rFonts w:ascii="Arial" w:hAnsi="Arial" w:cs="Arial"/>
          <w:bCs/>
          <w:iCs/>
          <w:lang w:val="ro-RO"/>
        </w:rPr>
        <w:t xml:space="preserve"> internetului lucrurilor</w:t>
      </w:r>
      <w:r w:rsidRPr="00553375">
        <w:rPr>
          <w:rFonts w:ascii="Arial" w:hAnsi="Arial" w:cs="Arial"/>
          <w:bCs/>
          <w:iCs/>
          <w:lang w:val="ro-RO"/>
        </w:rPr>
        <w:t xml:space="preserve"> (IoT - Internet of Things)</w:t>
      </w:r>
      <w:r w:rsidR="00172E49" w:rsidRPr="00553375">
        <w:rPr>
          <w:rFonts w:ascii="Arial" w:hAnsi="Arial" w:cs="Arial"/>
          <w:bCs/>
          <w:iCs/>
          <w:lang w:val="ro-RO"/>
        </w:rPr>
        <w:t xml:space="preserve">, </w:t>
      </w:r>
      <w:r w:rsidRPr="00553375">
        <w:rPr>
          <w:rFonts w:ascii="Arial" w:hAnsi="Arial" w:cs="Arial"/>
          <w:bCs/>
          <w:iCs/>
          <w:lang w:val="ro-RO"/>
        </w:rPr>
        <w:t xml:space="preserve">întrucât permite consumatorilor să </w:t>
      </w:r>
      <w:r w:rsidR="00826B4B" w:rsidRPr="00553375">
        <w:rPr>
          <w:rFonts w:ascii="Arial" w:hAnsi="Arial" w:cs="Arial"/>
          <w:bCs/>
          <w:iCs/>
          <w:lang w:val="ro-RO"/>
        </w:rPr>
        <w:t>realizeze</w:t>
      </w:r>
      <w:r w:rsidR="00172E49" w:rsidRPr="00553375">
        <w:rPr>
          <w:rFonts w:ascii="Arial" w:hAnsi="Arial" w:cs="Arial"/>
          <w:bCs/>
          <w:iCs/>
          <w:lang w:val="ro-RO"/>
        </w:rPr>
        <w:t xml:space="preserve"> cumpărături sigur și </w:t>
      </w:r>
      <w:r w:rsidR="00826B4B" w:rsidRPr="00553375">
        <w:rPr>
          <w:rFonts w:ascii="Arial" w:hAnsi="Arial" w:cs="Arial"/>
          <w:bCs/>
          <w:iCs/>
          <w:lang w:val="ro-RO"/>
        </w:rPr>
        <w:t xml:space="preserve">comod </w:t>
      </w:r>
      <w:r w:rsidR="00172E49" w:rsidRPr="00553375">
        <w:rPr>
          <w:rFonts w:ascii="Arial" w:hAnsi="Arial" w:cs="Arial"/>
          <w:bCs/>
          <w:iCs/>
          <w:lang w:val="ro-RO"/>
        </w:rPr>
        <w:t>de pe orice dispozitiv conectat la internet, precum telefoane, tablete, dispozitive wearable și chiar automobile sau electrocasnice.</w:t>
      </w:r>
    </w:p>
    <w:p w14:paraId="0D95B7F5" w14:textId="14271F65" w:rsidR="00172E49" w:rsidRPr="00553375" w:rsidRDefault="00BF19C1" w:rsidP="00172E49">
      <w:pPr>
        <w:pStyle w:val="ListParagraph"/>
        <w:spacing w:after="240"/>
        <w:ind w:left="0"/>
        <w:jc w:val="both"/>
        <w:rPr>
          <w:rFonts w:ascii="Arial" w:hAnsi="Arial" w:cs="Arial"/>
          <w:b/>
          <w:bCs/>
          <w:iCs/>
          <w:lang w:val="ro-RO"/>
        </w:rPr>
      </w:pPr>
      <w:r w:rsidRPr="00553375">
        <w:rPr>
          <w:rFonts w:ascii="Arial" w:hAnsi="Arial" w:cs="Arial"/>
          <w:bCs/>
          <w:iCs/>
          <w:lang w:val="ro-RO"/>
        </w:rPr>
        <w:t xml:space="preserve">“Începând </w:t>
      </w:r>
      <w:r w:rsidR="00844CDB" w:rsidRPr="00553375">
        <w:rPr>
          <w:rFonts w:ascii="Arial" w:hAnsi="Arial" w:cs="Arial"/>
          <w:bCs/>
          <w:iCs/>
          <w:lang w:val="ro-RO"/>
        </w:rPr>
        <w:t>cu</w:t>
      </w:r>
      <w:r w:rsidRPr="00553375">
        <w:rPr>
          <w:rFonts w:ascii="Arial" w:hAnsi="Arial" w:cs="Arial"/>
          <w:bCs/>
          <w:iCs/>
          <w:lang w:val="ro-RO"/>
        </w:rPr>
        <w:t xml:space="preserve"> 2015, am </w:t>
      </w:r>
      <w:r w:rsidR="008345B8" w:rsidRPr="00553375">
        <w:rPr>
          <w:rFonts w:ascii="Arial" w:hAnsi="Arial" w:cs="Arial"/>
          <w:bCs/>
          <w:iCs/>
          <w:lang w:val="ro-RO"/>
        </w:rPr>
        <w:t>observat</w:t>
      </w:r>
      <w:r w:rsidRPr="00553375">
        <w:rPr>
          <w:rFonts w:ascii="Arial" w:hAnsi="Arial" w:cs="Arial"/>
          <w:bCs/>
          <w:iCs/>
          <w:lang w:val="ro-RO"/>
        </w:rPr>
        <w:t xml:space="preserve"> </w:t>
      </w:r>
      <w:r w:rsidR="00844CDB" w:rsidRPr="00553375">
        <w:rPr>
          <w:rFonts w:ascii="Arial" w:hAnsi="Arial" w:cs="Arial"/>
          <w:bCs/>
          <w:iCs/>
          <w:lang w:val="ro-RO"/>
        </w:rPr>
        <w:t>că</w:t>
      </w:r>
      <w:r w:rsidRPr="00553375">
        <w:rPr>
          <w:rFonts w:ascii="Arial" w:hAnsi="Arial" w:cs="Arial"/>
          <w:bCs/>
          <w:iCs/>
          <w:lang w:val="ro-RO"/>
        </w:rPr>
        <w:t xml:space="preserve"> </w:t>
      </w:r>
      <w:r w:rsidR="00844CDB" w:rsidRPr="00553375">
        <w:rPr>
          <w:rFonts w:ascii="Arial" w:hAnsi="Arial" w:cs="Arial"/>
          <w:bCs/>
          <w:iCs/>
          <w:lang w:val="ro-RO"/>
        </w:rPr>
        <w:t xml:space="preserve">preferinţa consumatorilor pentru </w:t>
      </w:r>
      <w:r w:rsidRPr="00553375">
        <w:rPr>
          <w:rFonts w:ascii="Arial" w:hAnsi="Arial" w:cs="Arial"/>
          <w:bCs/>
          <w:iCs/>
          <w:lang w:val="ro-RO"/>
        </w:rPr>
        <w:t>plățile mobile</w:t>
      </w:r>
      <w:r w:rsidR="00844CDB" w:rsidRPr="00553375">
        <w:rPr>
          <w:rFonts w:ascii="Arial" w:hAnsi="Arial" w:cs="Arial"/>
          <w:bCs/>
          <w:iCs/>
          <w:lang w:val="ro-RO"/>
        </w:rPr>
        <w:t xml:space="preserve"> este în creştere în </w:t>
      </w:r>
      <w:r w:rsidR="000E04DB" w:rsidRPr="00553375">
        <w:rPr>
          <w:rFonts w:ascii="Arial" w:hAnsi="Arial" w:cs="Arial"/>
          <w:bCs/>
          <w:iCs/>
          <w:lang w:val="ro-RO"/>
        </w:rPr>
        <w:t xml:space="preserve">toată </w:t>
      </w:r>
      <w:r w:rsidR="00844CDB" w:rsidRPr="00553375">
        <w:rPr>
          <w:rFonts w:ascii="Arial" w:hAnsi="Arial" w:cs="Arial"/>
          <w:bCs/>
          <w:iCs/>
          <w:lang w:val="ro-RO"/>
        </w:rPr>
        <w:t>Europ</w:t>
      </w:r>
      <w:r w:rsidR="000E04DB" w:rsidRPr="00553375">
        <w:rPr>
          <w:rFonts w:ascii="Arial" w:hAnsi="Arial" w:cs="Arial"/>
          <w:bCs/>
          <w:iCs/>
          <w:lang w:val="ro-RO"/>
        </w:rPr>
        <w:t>a</w:t>
      </w:r>
      <w:r w:rsidRPr="00553375">
        <w:rPr>
          <w:rFonts w:ascii="Arial" w:hAnsi="Arial" w:cs="Arial"/>
          <w:bCs/>
          <w:iCs/>
          <w:lang w:val="ro-RO"/>
        </w:rPr>
        <w:t xml:space="preserve">. Următorul pas </w:t>
      </w:r>
      <w:r w:rsidR="00844CDB" w:rsidRPr="00553375">
        <w:rPr>
          <w:rFonts w:ascii="Arial" w:hAnsi="Arial" w:cs="Arial"/>
          <w:bCs/>
          <w:iCs/>
          <w:lang w:val="ro-RO"/>
        </w:rPr>
        <w:t>pentru</w:t>
      </w:r>
      <w:r w:rsidRPr="00553375">
        <w:rPr>
          <w:rFonts w:ascii="Arial" w:hAnsi="Arial" w:cs="Arial"/>
          <w:bCs/>
          <w:iCs/>
          <w:lang w:val="ro-RO"/>
        </w:rPr>
        <w:t xml:space="preserve"> Visa este extinderea serviciului nostru de tokenizare pentru a oferi comercianților o modalitate simplă și sigură de a stoca datele de cont ale clienților și de a permite plăți securizate prin intermediul unei game extinse de dispozitive conectate la internet”</w:t>
      </w:r>
      <w:r w:rsidR="00844CDB" w:rsidRPr="00553375">
        <w:rPr>
          <w:rFonts w:ascii="Arial" w:hAnsi="Arial" w:cs="Arial"/>
          <w:bCs/>
          <w:iCs/>
          <w:lang w:val="ro-RO"/>
        </w:rPr>
        <w:t xml:space="preserve">, a declarat </w:t>
      </w:r>
      <w:r w:rsidR="00844CDB" w:rsidRPr="00553375">
        <w:rPr>
          <w:rFonts w:ascii="Arial" w:hAnsi="Arial" w:cs="Arial"/>
          <w:b/>
          <w:bCs/>
          <w:iCs/>
          <w:lang w:val="ro-RO"/>
        </w:rPr>
        <w:t>Sandra Alzetta, Executive Director Digital Solutions în cadrul Visa.</w:t>
      </w:r>
    </w:p>
    <w:p w14:paraId="5F64A1D1" w14:textId="79324519" w:rsidR="00BF19C1" w:rsidRPr="00553375" w:rsidRDefault="00BF19C1" w:rsidP="00063F8F">
      <w:pPr>
        <w:spacing w:after="240"/>
        <w:jc w:val="both"/>
        <w:rPr>
          <w:rFonts w:ascii="Arial" w:hAnsi="Arial" w:cs="Arial"/>
          <w:b/>
          <w:bCs/>
          <w:iCs/>
          <w:lang w:val="ro-RO"/>
        </w:rPr>
      </w:pPr>
      <w:r w:rsidRPr="00553375">
        <w:rPr>
          <w:rFonts w:ascii="Arial" w:hAnsi="Arial" w:cs="Arial"/>
          <w:b/>
          <w:bCs/>
          <w:iCs/>
          <w:lang w:val="ro-RO"/>
        </w:rPr>
        <w:t>Factori-cheie de creștere pentru plățile mobile în Europa</w:t>
      </w:r>
    </w:p>
    <w:p w14:paraId="044F1FD6" w14:textId="224343CE" w:rsidR="00BF19C1" w:rsidRPr="00553375" w:rsidRDefault="00BF19C1" w:rsidP="00063F8F">
      <w:pPr>
        <w:spacing w:after="240"/>
        <w:jc w:val="both"/>
        <w:rPr>
          <w:rFonts w:ascii="Arial" w:hAnsi="Arial" w:cs="Arial"/>
          <w:bCs/>
          <w:iCs/>
          <w:lang w:val="ro-RO"/>
        </w:rPr>
      </w:pPr>
      <w:r w:rsidRPr="00553375">
        <w:rPr>
          <w:rFonts w:ascii="Arial" w:hAnsi="Arial" w:cs="Arial"/>
          <w:bCs/>
          <w:iCs/>
          <w:lang w:val="ro-RO"/>
        </w:rPr>
        <w:t>Securitate</w:t>
      </w:r>
      <w:r w:rsidR="008345B8" w:rsidRPr="00553375">
        <w:rPr>
          <w:rFonts w:ascii="Arial" w:hAnsi="Arial" w:cs="Arial"/>
          <w:bCs/>
          <w:iCs/>
          <w:lang w:val="ro-RO"/>
        </w:rPr>
        <w:t>a</w:t>
      </w:r>
      <w:r w:rsidRPr="00553375">
        <w:rPr>
          <w:rFonts w:ascii="Arial" w:hAnsi="Arial" w:cs="Arial"/>
          <w:bCs/>
          <w:iCs/>
          <w:lang w:val="ro-RO"/>
        </w:rPr>
        <w:t>, confort</w:t>
      </w:r>
      <w:r w:rsidR="008345B8" w:rsidRPr="00553375">
        <w:rPr>
          <w:rFonts w:ascii="Arial" w:hAnsi="Arial" w:cs="Arial"/>
          <w:bCs/>
          <w:iCs/>
          <w:lang w:val="ro-RO"/>
        </w:rPr>
        <w:t>ul</w:t>
      </w:r>
      <w:r w:rsidRPr="00553375">
        <w:rPr>
          <w:rFonts w:ascii="Arial" w:hAnsi="Arial" w:cs="Arial"/>
          <w:bCs/>
          <w:iCs/>
          <w:lang w:val="ro-RO"/>
        </w:rPr>
        <w:t xml:space="preserve"> și creșterea numărului comercianților echipați cu terminale de plată contactless sunt factori-cheie </w:t>
      </w:r>
      <w:r w:rsidR="00AE538E" w:rsidRPr="00553375">
        <w:rPr>
          <w:rFonts w:ascii="Arial" w:hAnsi="Arial" w:cs="Arial"/>
          <w:bCs/>
          <w:iCs/>
          <w:lang w:val="ro-RO"/>
        </w:rPr>
        <w:t xml:space="preserve">pentru dezvoltarea plăților mobile la nivel european. Tehnologia din spatele </w:t>
      </w:r>
      <w:r w:rsidR="003E69C7" w:rsidRPr="00553375">
        <w:rPr>
          <w:rFonts w:ascii="Arial" w:hAnsi="Arial" w:cs="Arial"/>
          <w:bCs/>
          <w:iCs/>
          <w:lang w:val="ro-RO"/>
        </w:rPr>
        <w:t xml:space="preserve">serviciului de tokenizare al Visa </w:t>
      </w:r>
      <w:r w:rsidR="008345B8" w:rsidRPr="00553375">
        <w:rPr>
          <w:rFonts w:ascii="Arial" w:hAnsi="Arial" w:cs="Arial"/>
          <w:bCs/>
          <w:iCs/>
          <w:lang w:val="ro-RO"/>
        </w:rPr>
        <w:t>oferă</w:t>
      </w:r>
      <w:r w:rsidR="00B37379" w:rsidRPr="00553375">
        <w:rPr>
          <w:rFonts w:ascii="Arial" w:hAnsi="Arial" w:cs="Arial"/>
          <w:bCs/>
          <w:iCs/>
          <w:lang w:val="ro-RO"/>
        </w:rPr>
        <w:t xml:space="preserve"> consumatorilor </w:t>
      </w:r>
      <w:r w:rsidR="008010A8" w:rsidRPr="00553375">
        <w:rPr>
          <w:rFonts w:ascii="Arial" w:hAnsi="Arial" w:cs="Arial"/>
          <w:bCs/>
          <w:iCs/>
          <w:lang w:val="ro-RO"/>
        </w:rPr>
        <w:t>mai multă siguranţă</w:t>
      </w:r>
      <w:r w:rsidR="008345B8" w:rsidRPr="00553375">
        <w:rPr>
          <w:rFonts w:ascii="Arial" w:hAnsi="Arial" w:cs="Arial"/>
          <w:bCs/>
          <w:iCs/>
          <w:lang w:val="ro-RO"/>
        </w:rPr>
        <w:t xml:space="preserve"> </w:t>
      </w:r>
      <w:r w:rsidR="00B37379" w:rsidRPr="00553375">
        <w:rPr>
          <w:rFonts w:ascii="Arial" w:hAnsi="Arial" w:cs="Arial"/>
          <w:bCs/>
          <w:iCs/>
          <w:lang w:val="ro-RO"/>
        </w:rPr>
        <w:t xml:space="preserve">atunci când fac cumpărături </w:t>
      </w:r>
      <w:r w:rsidR="00CE661E" w:rsidRPr="00553375">
        <w:rPr>
          <w:rFonts w:ascii="Arial" w:hAnsi="Arial" w:cs="Arial"/>
          <w:bCs/>
          <w:iCs/>
          <w:lang w:val="ro-RO"/>
        </w:rPr>
        <w:t xml:space="preserve">prin intermediul dispozitivelor mobile, </w:t>
      </w:r>
      <w:r w:rsidR="008345B8" w:rsidRPr="00553375">
        <w:rPr>
          <w:rFonts w:ascii="Arial" w:hAnsi="Arial" w:cs="Arial"/>
          <w:bCs/>
          <w:iCs/>
          <w:lang w:val="ro-RO"/>
        </w:rPr>
        <w:t>asigurând</w:t>
      </w:r>
      <w:r w:rsidR="00CE661E" w:rsidRPr="00553375">
        <w:rPr>
          <w:rFonts w:ascii="Arial" w:hAnsi="Arial" w:cs="Arial"/>
          <w:bCs/>
          <w:iCs/>
          <w:lang w:val="ro-RO"/>
        </w:rPr>
        <w:t xml:space="preserve"> o experiență </w:t>
      </w:r>
      <w:r w:rsidR="008010A8" w:rsidRPr="00553375">
        <w:rPr>
          <w:rFonts w:ascii="Arial" w:hAnsi="Arial" w:cs="Arial"/>
          <w:bCs/>
          <w:iCs/>
          <w:lang w:val="ro-RO"/>
        </w:rPr>
        <w:t xml:space="preserve">de </w:t>
      </w:r>
      <w:r w:rsidR="00CE661E" w:rsidRPr="00553375">
        <w:rPr>
          <w:rFonts w:ascii="Arial" w:hAnsi="Arial" w:cs="Arial"/>
          <w:bCs/>
          <w:iCs/>
          <w:lang w:val="ro-RO"/>
        </w:rPr>
        <w:t xml:space="preserve">plată unitară pentru </w:t>
      </w:r>
      <w:r w:rsidR="00CE661E" w:rsidRPr="00553375">
        <w:rPr>
          <w:rFonts w:ascii="Arial" w:hAnsi="Arial" w:cs="Arial"/>
          <w:bCs/>
          <w:iCs/>
          <w:lang w:val="ro-RO"/>
        </w:rPr>
        <w:lastRenderedPageBreak/>
        <w:t>achizițiile de zi cu zi, de la</w:t>
      </w:r>
      <w:r w:rsidR="008345B8" w:rsidRPr="00553375">
        <w:rPr>
          <w:rFonts w:ascii="Arial" w:hAnsi="Arial" w:cs="Arial"/>
          <w:bCs/>
          <w:iCs/>
          <w:lang w:val="ro-RO"/>
        </w:rPr>
        <w:t xml:space="preserve"> plata</w:t>
      </w:r>
      <w:r w:rsidR="00CE661E" w:rsidRPr="00553375">
        <w:rPr>
          <w:rFonts w:ascii="Arial" w:hAnsi="Arial" w:cs="Arial"/>
          <w:bCs/>
          <w:iCs/>
          <w:lang w:val="ro-RO"/>
        </w:rPr>
        <w:t xml:space="preserve"> </w:t>
      </w:r>
      <w:r w:rsidR="008345B8" w:rsidRPr="00553375">
        <w:rPr>
          <w:rFonts w:ascii="Arial" w:hAnsi="Arial" w:cs="Arial"/>
          <w:bCs/>
          <w:iCs/>
          <w:lang w:val="ro-RO"/>
        </w:rPr>
        <w:t xml:space="preserve">serviciilor de </w:t>
      </w:r>
      <w:r w:rsidR="00CE661E" w:rsidRPr="00553375">
        <w:rPr>
          <w:rFonts w:ascii="Arial" w:hAnsi="Arial" w:cs="Arial"/>
          <w:bCs/>
          <w:iCs/>
          <w:lang w:val="ro-RO"/>
        </w:rPr>
        <w:t xml:space="preserve">transport la </w:t>
      </w:r>
      <w:r w:rsidR="008345B8" w:rsidRPr="00553375">
        <w:rPr>
          <w:rFonts w:ascii="Arial" w:hAnsi="Arial" w:cs="Arial"/>
          <w:bCs/>
          <w:iCs/>
          <w:lang w:val="ro-RO"/>
        </w:rPr>
        <w:t xml:space="preserve">achiziția cafelei </w:t>
      </w:r>
      <w:r w:rsidR="00CE661E" w:rsidRPr="00553375">
        <w:rPr>
          <w:rFonts w:ascii="Arial" w:hAnsi="Arial" w:cs="Arial"/>
          <w:bCs/>
          <w:iCs/>
          <w:lang w:val="ro-RO"/>
        </w:rPr>
        <w:t xml:space="preserve">de dimineață sau </w:t>
      </w:r>
      <w:r w:rsidR="008345B8" w:rsidRPr="00553375">
        <w:rPr>
          <w:rFonts w:ascii="Arial" w:hAnsi="Arial" w:cs="Arial"/>
          <w:bCs/>
          <w:iCs/>
          <w:lang w:val="ro-RO"/>
        </w:rPr>
        <w:t xml:space="preserve">a </w:t>
      </w:r>
      <w:r w:rsidR="00CE661E" w:rsidRPr="00553375">
        <w:rPr>
          <w:rFonts w:ascii="Arial" w:hAnsi="Arial" w:cs="Arial"/>
          <w:bCs/>
          <w:iCs/>
          <w:lang w:val="ro-RO"/>
        </w:rPr>
        <w:t>servicii</w:t>
      </w:r>
      <w:r w:rsidR="008345B8" w:rsidRPr="00553375">
        <w:rPr>
          <w:rFonts w:ascii="Arial" w:hAnsi="Arial" w:cs="Arial"/>
          <w:bCs/>
          <w:iCs/>
          <w:lang w:val="ro-RO"/>
        </w:rPr>
        <w:t>lor</w:t>
      </w:r>
      <w:r w:rsidR="00CE661E" w:rsidRPr="00553375">
        <w:rPr>
          <w:rFonts w:ascii="Arial" w:hAnsi="Arial" w:cs="Arial"/>
          <w:bCs/>
          <w:iCs/>
          <w:lang w:val="ro-RO"/>
        </w:rPr>
        <w:t xml:space="preserve"> de divertisment. În plus, tot mai mulți comercianți europeni își instalează tehnologii care permit atât plata cu cardul, cât și </w:t>
      </w:r>
      <w:r w:rsidR="008010A8" w:rsidRPr="00553375">
        <w:rPr>
          <w:rFonts w:ascii="Arial" w:hAnsi="Arial" w:cs="Arial"/>
          <w:bCs/>
          <w:iCs/>
          <w:lang w:val="ro-RO"/>
        </w:rPr>
        <w:t xml:space="preserve">cea </w:t>
      </w:r>
      <w:r w:rsidR="00CE661E" w:rsidRPr="00553375">
        <w:rPr>
          <w:rFonts w:ascii="Arial" w:hAnsi="Arial" w:cs="Arial"/>
          <w:bCs/>
          <w:iCs/>
          <w:lang w:val="ro-RO"/>
        </w:rPr>
        <w:t>cu dispozitive mobile.</w:t>
      </w:r>
    </w:p>
    <w:p w14:paraId="67D4DB0F" w14:textId="6AF24A0B" w:rsidR="00DF0473" w:rsidRPr="00553375" w:rsidRDefault="00DF0473" w:rsidP="00DF0473">
      <w:pPr>
        <w:pStyle w:val="ListParagraph"/>
        <w:numPr>
          <w:ilvl w:val="0"/>
          <w:numId w:val="6"/>
        </w:numPr>
        <w:spacing w:after="240"/>
        <w:jc w:val="both"/>
        <w:rPr>
          <w:rFonts w:ascii="Arial" w:hAnsi="Arial" w:cs="Arial"/>
          <w:bCs/>
          <w:iCs/>
          <w:lang w:val="ro-RO"/>
        </w:rPr>
      </w:pPr>
      <w:r w:rsidRPr="00553375">
        <w:rPr>
          <w:rFonts w:ascii="Arial" w:hAnsi="Arial" w:cs="Arial"/>
          <w:bCs/>
          <w:iCs/>
          <w:lang w:val="ro-RO"/>
        </w:rPr>
        <w:t>În Europa, primele cinci categorii de comercianți pentru plăți mobile sunt restaurantele, supermarketurile, serviciile de transport, magazinele alimentare de proximitate și serviciile de divertisment și timp liber.</w:t>
      </w:r>
    </w:p>
    <w:p w14:paraId="28E37D16" w14:textId="11D2F512" w:rsidR="00DF0473" w:rsidRPr="00553375" w:rsidRDefault="00DF0473" w:rsidP="00DF0473">
      <w:pPr>
        <w:pStyle w:val="ListParagraph"/>
        <w:numPr>
          <w:ilvl w:val="0"/>
          <w:numId w:val="6"/>
        </w:numPr>
        <w:spacing w:after="240"/>
        <w:jc w:val="both"/>
        <w:rPr>
          <w:rFonts w:ascii="Arial" w:hAnsi="Arial" w:cs="Arial"/>
          <w:bCs/>
          <w:iCs/>
          <w:lang w:val="ro-RO"/>
        </w:rPr>
      </w:pPr>
      <w:r w:rsidRPr="00553375">
        <w:rPr>
          <w:rFonts w:ascii="Arial" w:hAnsi="Arial" w:cs="Arial"/>
          <w:bCs/>
          <w:iCs/>
          <w:lang w:val="ro-RO"/>
        </w:rPr>
        <w:t>Consumatorii europeni cheltuiesc în medie 9 euro în magazin și 41 de euro online atunci când efectuează plăți prin intermediul unui dispozitiv mobil.</w:t>
      </w:r>
    </w:p>
    <w:p w14:paraId="305C52F0" w14:textId="22CC0956" w:rsidR="00DF0473" w:rsidRPr="00553375" w:rsidRDefault="00DF0473" w:rsidP="00DF0473">
      <w:pPr>
        <w:pStyle w:val="ListParagraph"/>
        <w:numPr>
          <w:ilvl w:val="0"/>
          <w:numId w:val="6"/>
        </w:numPr>
        <w:spacing w:after="240"/>
        <w:jc w:val="both"/>
        <w:rPr>
          <w:rFonts w:ascii="Arial" w:hAnsi="Arial" w:cs="Arial"/>
          <w:bCs/>
          <w:iCs/>
          <w:lang w:val="ro-RO"/>
        </w:rPr>
      </w:pPr>
      <w:r w:rsidRPr="00553375">
        <w:rPr>
          <w:rFonts w:ascii="Arial" w:hAnsi="Arial" w:cs="Arial"/>
          <w:bCs/>
          <w:iCs/>
          <w:lang w:val="ro-RO"/>
        </w:rPr>
        <w:t>În timpul călătoriilor în străinătate, europenii și-au utilizat telefoanele mobile pentru a efectua plăţiîn peste 90 de țări din întreaga lume, ceea ce demonstrează că se simt în siguranță să-și utilizeze telefoanele mobile sau tabletele pentru achiziții  în altă țară.</w:t>
      </w:r>
    </w:p>
    <w:p w14:paraId="7D4EA5F0" w14:textId="0F60715E" w:rsidR="00274948" w:rsidRPr="00553375" w:rsidRDefault="00CA67A0" w:rsidP="003A3ABE">
      <w:pPr>
        <w:pStyle w:val="ListParagraph"/>
        <w:numPr>
          <w:ilvl w:val="0"/>
          <w:numId w:val="6"/>
        </w:numPr>
        <w:spacing w:after="240"/>
        <w:jc w:val="both"/>
        <w:rPr>
          <w:rFonts w:ascii="Arial" w:hAnsi="Arial" w:cs="Arial"/>
          <w:bCs/>
          <w:iCs/>
          <w:lang w:val="ro-RO"/>
        </w:rPr>
      </w:pPr>
      <w:r w:rsidRPr="00553375">
        <w:rPr>
          <w:rFonts w:ascii="Arial" w:hAnsi="Arial" w:cs="Arial"/>
          <w:bCs/>
          <w:iCs/>
          <w:lang w:val="ro-RO"/>
        </w:rPr>
        <w:t>În Europa există mai mult de</w:t>
      </w:r>
      <w:r w:rsidR="0026307A" w:rsidRPr="00553375">
        <w:rPr>
          <w:rFonts w:ascii="Arial" w:hAnsi="Arial" w:cs="Arial"/>
          <w:bCs/>
          <w:iCs/>
          <w:lang w:val="ro-RO"/>
        </w:rPr>
        <w:t xml:space="preserve"> 1,2 milioane de comercianți </w:t>
      </w:r>
      <w:r w:rsidRPr="00553375">
        <w:rPr>
          <w:rFonts w:ascii="Arial" w:hAnsi="Arial" w:cs="Arial"/>
          <w:bCs/>
          <w:iCs/>
          <w:lang w:val="ro-RO"/>
        </w:rPr>
        <w:t xml:space="preserve">care </w:t>
      </w:r>
      <w:r w:rsidR="0026307A" w:rsidRPr="00553375">
        <w:rPr>
          <w:rFonts w:ascii="Arial" w:hAnsi="Arial" w:cs="Arial"/>
          <w:bCs/>
          <w:iCs/>
          <w:lang w:val="ro-RO"/>
        </w:rPr>
        <w:t>acceptă plăți contactless în magazin</w:t>
      </w:r>
      <w:r w:rsidRPr="00553375">
        <w:rPr>
          <w:rFonts w:ascii="Arial" w:hAnsi="Arial" w:cs="Arial"/>
          <w:bCs/>
          <w:iCs/>
          <w:lang w:val="ro-RO"/>
        </w:rPr>
        <w:t>e</w:t>
      </w:r>
      <w:r w:rsidR="0026307A" w:rsidRPr="00553375">
        <w:rPr>
          <w:rFonts w:ascii="Arial" w:hAnsi="Arial" w:cs="Arial"/>
          <w:bCs/>
          <w:iCs/>
          <w:lang w:val="ro-RO"/>
        </w:rPr>
        <w:t xml:space="preserve"> cu carduri și dispozitive mobile</w:t>
      </w:r>
      <w:r w:rsidR="0026307A" w:rsidRPr="00553375">
        <w:rPr>
          <w:rStyle w:val="FootnoteReference"/>
          <w:rFonts w:ascii="Arial" w:hAnsi="Arial" w:cs="Arial"/>
          <w:bCs/>
          <w:iCs/>
          <w:lang w:val="ro-RO"/>
        </w:rPr>
        <w:footnoteReference w:id="1"/>
      </w:r>
      <w:r w:rsidR="000E04DB" w:rsidRPr="00553375">
        <w:rPr>
          <w:rFonts w:ascii="Arial" w:hAnsi="Arial" w:cs="Arial"/>
          <w:bCs/>
          <w:iCs/>
          <w:lang w:val="ro-RO"/>
        </w:rPr>
        <w:t xml:space="preserve">. De asemenea, </w:t>
      </w:r>
      <w:r w:rsidR="0026307A" w:rsidRPr="00553375">
        <w:rPr>
          <w:rFonts w:ascii="Arial" w:hAnsi="Arial" w:cs="Arial"/>
          <w:bCs/>
          <w:iCs/>
          <w:lang w:val="ro-RO"/>
        </w:rPr>
        <w:t xml:space="preserve">peste 5 miliarde de tranzacții contactless </w:t>
      </w:r>
      <w:r w:rsidRPr="00553375">
        <w:rPr>
          <w:rFonts w:ascii="Arial" w:hAnsi="Arial" w:cs="Arial"/>
          <w:bCs/>
          <w:iCs/>
          <w:lang w:val="ro-RO"/>
        </w:rPr>
        <w:t xml:space="preserve">au fost </w:t>
      </w:r>
      <w:r w:rsidR="0026307A" w:rsidRPr="00553375">
        <w:rPr>
          <w:rFonts w:ascii="Arial" w:hAnsi="Arial" w:cs="Arial"/>
          <w:bCs/>
          <w:iCs/>
          <w:lang w:val="ro-RO"/>
        </w:rPr>
        <w:t xml:space="preserve">efectuate de </w:t>
      </w:r>
      <w:r w:rsidRPr="00553375">
        <w:rPr>
          <w:rFonts w:ascii="Arial" w:hAnsi="Arial" w:cs="Arial"/>
          <w:bCs/>
          <w:iCs/>
          <w:lang w:val="ro-RO"/>
        </w:rPr>
        <w:t>posesorii de carduri</w:t>
      </w:r>
      <w:r w:rsidR="0026307A" w:rsidRPr="00553375">
        <w:rPr>
          <w:rFonts w:ascii="Arial" w:hAnsi="Arial" w:cs="Arial"/>
          <w:bCs/>
          <w:iCs/>
          <w:lang w:val="ro-RO"/>
        </w:rPr>
        <w:t xml:space="preserve"> Visa</w:t>
      </w:r>
      <w:r w:rsidR="00463D0C" w:rsidRPr="00553375">
        <w:rPr>
          <w:rStyle w:val="FootnoteReference"/>
          <w:rFonts w:ascii="Arial" w:hAnsi="Arial" w:cs="Arial"/>
          <w:bCs/>
          <w:iCs/>
          <w:lang w:val="ro-RO"/>
        </w:rPr>
        <w:footnoteReference w:id="2"/>
      </w:r>
      <w:r w:rsidRPr="00553375">
        <w:rPr>
          <w:rFonts w:ascii="Arial" w:hAnsi="Arial" w:cs="Arial"/>
          <w:bCs/>
          <w:iCs/>
          <w:lang w:val="ro-RO"/>
        </w:rPr>
        <w:t>, reprezentând</w:t>
      </w:r>
      <w:r w:rsidR="00D161C7" w:rsidRPr="00553375">
        <w:rPr>
          <w:rFonts w:ascii="Arial" w:hAnsi="Arial" w:cs="Arial"/>
          <w:bCs/>
          <w:iCs/>
          <w:lang w:val="ro-RO"/>
        </w:rPr>
        <w:t xml:space="preserve"> 32% din toate tranzacțiile procesate de Visa în magazine</w:t>
      </w:r>
      <w:r w:rsidRPr="00553375">
        <w:rPr>
          <w:rFonts w:ascii="Arial" w:hAnsi="Arial" w:cs="Arial"/>
          <w:bCs/>
          <w:iCs/>
          <w:lang w:val="ro-RO"/>
        </w:rPr>
        <w:t>le</w:t>
      </w:r>
      <w:r w:rsidR="00D161C7" w:rsidRPr="00553375">
        <w:rPr>
          <w:rFonts w:ascii="Arial" w:hAnsi="Arial" w:cs="Arial"/>
          <w:bCs/>
          <w:iCs/>
          <w:lang w:val="ro-RO"/>
        </w:rPr>
        <w:t xml:space="preserve"> fizice</w:t>
      </w:r>
      <w:r w:rsidR="00463D0C" w:rsidRPr="00553375">
        <w:rPr>
          <w:rStyle w:val="FootnoteReference"/>
          <w:rFonts w:ascii="Arial" w:hAnsi="Arial" w:cs="Arial"/>
          <w:bCs/>
          <w:iCs/>
          <w:lang w:val="ro-RO"/>
        </w:rPr>
        <w:footnoteReference w:id="3"/>
      </w:r>
      <w:r w:rsidR="00D161C7" w:rsidRPr="00553375">
        <w:rPr>
          <w:rFonts w:ascii="Arial" w:hAnsi="Arial" w:cs="Arial"/>
          <w:bCs/>
          <w:iCs/>
          <w:lang w:val="ro-RO"/>
        </w:rPr>
        <w:t>.</w:t>
      </w:r>
      <w:bookmarkStart w:id="0" w:name="_GoBack"/>
      <w:bookmarkEnd w:id="0"/>
    </w:p>
    <w:p w14:paraId="03BD3459" w14:textId="77777777" w:rsidR="000E04DB" w:rsidRPr="00553375" w:rsidRDefault="000E04DB" w:rsidP="00E659EB">
      <w:pPr>
        <w:pStyle w:val="ListParagraph"/>
        <w:spacing w:after="240"/>
        <w:ind w:left="0"/>
        <w:jc w:val="both"/>
        <w:rPr>
          <w:rFonts w:ascii="Arial" w:hAnsi="Arial" w:cs="Arial"/>
          <w:b/>
          <w:bCs/>
          <w:iCs/>
          <w:lang w:val="ro-RO"/>
        </w:rPr>
      </w:pPr>
    </w:p>
    <w:p w14:paraId="06BD0245" w14:textId="1C0CD76D" w:rsidR="00D161C7" w:rsidRPr="00553375" w:rsidRDefault="00D161C7" w:rsidP="00E659EB">
      <w:pPr>
        <w:pStyle w:val="ListParagraph"/>
        <w:spacing w:after="240"/>
        <w:ind w:left="0"/>
        <w:jc w:val="both"/>
        <w:rPr>
          <w:rFonts w:ascii="Arial" w:hAnsi="Arial" w:cs="Arial"/>
          <w:b/>
          <w:bCs/>
          <w:iCs/>
          <w:lang w:val="ro-RO"/>
        </w:rPr>
      </w:pPr>
      <w:r w:rsidRPr="00553375">
        <w:rPr>
          <w:rFonts w:ascii="Arial" w:hAnsi="Arial" w:cs="Arial"/>
          <w:b/>
          <w:bCs/>
          <w:iCs/>
          <w:lang w:val="ro-RO"/>
        </w:rPr>
        <w:t>Facilitarea comerțului prin internetul lucrurilor</w:t>
      </w:r>
    </w:p>
    <w:p w14:paraId="33B13994" w14:textId="1FC3CF15" w:rsidR="00D161C7" w:rsidRPr="00553375" w:rsidRDefault="008345B8" w:rsidP="00E659EB">
      <w:pPr>
        <w:pStyle w:val="ListParagraph"/>
        <w:spacing w:after="240"/>
        <w:ind w:left="0"/>
        <w:jc w:val="both"/>
        <w:rPr>
          <w:rFonts w:ascii="Arial" w:hAnsi="Arial" w:cs="Arial"/>
          <w:bCs/>
          <w:iCs/>
          <w:lang w:val="ro-RO"/>
        </w:rPr>
      </w:pPr>
      <w:r w:rsidRPr="00553375">
        <w:rPr>
          <w:rFonts w:ascii="Arial" w:hAnsi="Arial" w:cs="Arial"/>
          <w:bCs/>
          <w:iCs/>
          <w:lang w:val="ro-RO"/>
        </w:rPr>
        <w:t xml:space="preserve">Serviciul </w:t>
      </w:r>
      <w:r w:rsidR="00D161C7" w:rsidRPr="00553375">
        <w:rPr>
          <w:rFonts w:ascii="Arial" w:hAnsi="Arial" w:cs="Arial"/>
          <w:bCs/>
          <w:iCs/>
          <w:lang w:val="ro-RO"/>
        </w:rPr>
        <w:t xml:space="preserve">Visa </w:t>
      </w:r>
      <w:r w:rsidRPr="00553375">
        <w:rPr>
          <w:rFonts w:ascii="Arial" w:hAnsi="Arial" w:cs="Arial"/>
          <w:bCs/>
          <w:iCs/>
          <w:lang w:val="ro-RO"/>
        </w:rPr>
        <w:t xml:space="preserve">Token și </w:t>
      </w:r>
      <w:r w:rsidR="00D161C7" w:rsidRPr="00553375">
        <w:rPr>
          <w:rFonts w:ascii="Arial" w:hAnsi="Arial" w:cs="Arial"/>
          <w:bCs/>
          <w:iCs/>
          <w:lang w:val="ro-RO"/>
        </w:rPr>
        <w:t>capacitatea de a elimina datele sensibile privind conturile de plăți ale consumatorilor</w:t>
      </w:r>
      <w:r w:rsidR="003124DF" w:rsidRPr="00553375">
        <w:rPr>
          <w:rFonts w:ascii="Arial" w:hAnsi="Arial" w:cs="Arial"/>
          <w:bCs/>
          <w:iCs/>
          <w:lang w:val="ro-RO"/>
        </w:rPr>
        <w:t>,</w:t>
      </w:r>
      <w:r w:rsidR="00D161C7" w:rsidRPr="00553375">
        <w:rPr>
          <w:rFonts w:ascii="Arial" w:hAnsi="Arial" w:cs="Arial"/>
          <w:bCs/>
          <w:iCs/>
          <w:lang w:val="ro-RO"/>
        </w:rPr>
        <w:t xml:space="preserve"> </w:t>
      </w:r>
      <w:r w:rsidR="003124DF" w:rsidRPr="00553375">
        <w:rPr>
          <w:rFonts w:ascii="Arial" w:hAnsi="Arial" w:cs="Arial"/>
          <w:bCs/>
          <w:iCs/>
          <w:lang w:val="ro-RO"/>
        </w:rPr>
        <w:t xml:space="preserve">utilizate </w:t>
      </w:r>
      <w:r w:rsidR="00CA67A0" w:rsidRPr="00553375">
        <w:rPr>
          <w:rFonts w:ascii="Arial" w:hAnsi="Arial" w:cs="Arial"/>
          <w:bCs/>
          <w:iCs/>
          <w:lang w:val="ro-RO"/>
        </w:rPr>
        <w:t>în cadrul</w:t>
      </w:r>
      <w:r w:rsidR="00A75166" w:rsidRPr="00553375">
        <w:rPr>
          <w:rFonts w:ascii="Arial" w:hAnsi="Arial" w:cs="Arial"/>
          <w:bCs/>
          <w:iCs/>
          <w:lang w:val="ro-RO"/>
        </w:rPr>
        <w:t xml:space="preserve"> achizițiil</w:t>
      </w:r>
      <w:r w:rsidR="00CA67A0" w:rsidRPr="00553375">
        <w:rPr>
          <w:rFonts w:ascii="Arial" w:hAnsi="Arial" w:cs="Arial"/>
          <w:bCs/>
          <w:iCs/>
          <w:lang w:val="ro-RO"/>
        </w:rPr>
        <w:t>or</w:t>
      </w:r>
      <w:r w:rsidR="00A75166" w:rsidRPr="00553375">
        <w:rPr>
          <w:rFonts w:ascii="Arial" w:hAnsi="Arial" w:cs="Arial"/>
          <w:bCs/>
          <w:iCs/>
          <w:lang w:val="ro-RO"/>
        </w:rPr>
        <w:t xml:space="preserve"> prin canale digitale</w:t>
      </w:r>
      <w:r w:rsidR="003124DF" w:rsidRPr="00553375">
        <w:rPr>
          <w:rFonts w:ascii="Arial" w:hAnsi="Arial" w:cs="Arial"/>
          <w:bCs/>
          <w:iCs/>
          <w:lang w:val="ro-RO"/>
        </w:rPr>
        <w:t>,</w:t>
      </w:r>
      <w:r w:rsidR="00A75166" w:rsidRPr="00553375">
        <w:rPr>
          <w:rFonts w:ascii="Arial" w:hAnsi="Arial" w:cs="Arial"/>
          <w:bCs/>
          <w:iCs/>
          <w:lang w:val="ro-RO"/>
        </w:rPr>
        <w:t xml:space="preserve"> sunt </w:t>
      </w:r>
      <w:r w:rsidR="00CA67A0" w:rsidRPr="00553375">
        <w:rPr>
          <w:rFonts w:ascii="Arial" w:hAnsi="Arial" w:cs="Arial"/>
          <w:bCs/>
          <w:iCs/>
          <w:lang w:val="ro-RO"/>
        </w:rPr>
        <w:t xml:space="preserve">esenţiale </w:t>
      </w:r>
      <w:r w:rsidR="00A75166" w:rsidRPr="00553375">
        <w:rPr>
          <w:rFonts w:ascii="Arial" w:hAnsi="Arial" w:cs="Arial"/>
          <w:bCs/>
          <w:iCs/>
          <w:lang w:val="ro-RO"/>
        </w:rPr>
        <w:t>pentru un comerț sigur prin intermediul unei game largi de dispozitive conectate la internet, de la brățări și inele la aparate electrocasnice și automobile.</w:t>
      </w:r>
    </w:p>
    <w:p w14:paraId="7CACDCE4" w14:textId="3C768F86" w:rsidR="00A75166" w:rsidRPr="00553375" w:rsidRDefault="00553375" w:rsidP="00E659EB">
      <w:pPr>
        <w:pStyle w:val="ListParagraph"/>
        <w:spacing w:after="240"/>
        <w:ind w:left="0"/>
        <w:jc w:val="both"/>
        <w:rPr>
          <w:rFonts w:ascii="Arial" w:hAnsi="Arial" w:cs="Arial"/>
          <w:bCs/>
          <w:iCs/>
          <w:lang w:val="ro-RO"/>
        </w:rPr>
      </w:pPr>
      <w:hyperlink r:id="rId9" w:history="1">
        <w:r w:rsidR="002A4728" w:rsidRPr="00553375">
          <w:rPr>
            <w:rStyle w:val="Hyperlink"/>
            <w:rFonts w:ascii="Arial" w:hAnsi="Arial" w:cs="Arial"/>
            <w:bCs/>
            <w:iCs/>
            <w:lang w:val="ro-RO"/>
          </w:rPr>
          <w:t>Colaborarea la nivel global dintre Visa și IBM</w:t>
        </w:r>
      </w:hyperlink>
      <w:r w:rsidR="002A4728" w:rsidRPr="00553375">
        <w:rPr>
          <w:rFonts w:ascii="Arial" w:hAnsi="Arial" w:cs="Arial"/>
          <w:bCs/>
          <w:iCs/>
          <w:lang w:val="ro-RO"/>
        </w:rPr>
        <w:t>, anunțată săptămâna trecută la deschiderea de către IBM a noului</w:t>
      </w:r>
      <w:r w:rsidR="008345B8" w:rsidRPr="00553375">
        <w:rPr>
          <w:rFonts w:ascii="Arial" w:hAnsi="Arial" w:cs="Arial"/>
          <w:bCs/>
          <w:iCs/>
          <w:lang w:val="ro-RO"/>
        </w:rPr>
        <w:t xml:space="preserve"> c</w:t>
      </w:r>
      <w:r w:rsidR="002A4728" w:rsidRPr="00553375">
        <w:rPr>
          <w:rFonts w:ascii="Arial" w:hAnsi="Arial" w:cs="Arial"/>
          <w:bCs/>
          <w:iCs/>
          <w:lang w:val="ro-RO"/>
        </w:rPr>
        <w:t xml:space="preserve">entru de </w:t>
      </w:r>
      <w:r w:rsidR="008345B8" w:rsidRPr="00553375">
        <w:rPr>
          <w:rFonts w:ascii="Arial" w:hAnsi="Arial" w:cs="Arial"/>
          <w:bCs/>
          <w:iCs/>
          <w:lang w:val="ro-RO"/>
        </w:rPr>
        <w:t>c</w:t>
      </w:r>
      <w:r w:rsidR="002A4728" w:rsidRPr="00553375">
        <w:rPr>
          <w:rFonts w:ascii="Arial" w:hAnsi="Arial" w:cs="Arial"/>
          <w:bCs/>
          <w:iCs/>
          <w:lang w:val="ro-RO"/>
        </w:rPr>
        <w:t xml:space="preserve">ercetare IoT Watson din Munchen, este concepută </w:t>
      </w:r>
      <w:r w:rsidR="005C43C1" w:rsidRPr="00553375">
        <w:rPr>
          <w:rFonts w:ascii="Arial" w:hAnsi="Arial" w:cs="Arial"/>
          <w:bCs/>
          <w:iCs/>
          <w:lang w:val="ro-RO"/>
        </w:rPr>
        <w:t>exact în această direcție și are la bază viziunea comună că putem integra în mod s</w:t>
      </w:r>
      <w:r w:rsidR="00152662" w:rsidRPr="00553375">
        <w:rPr>
          <w:rFonts w:ascii="Arial" w:hAnsi="Arial" w:cs="Arial"/>
          <w:bCs/>
          <w:iCs/>
          <w:lang w:val="ro-RO"/>
        </w:rPr>
        <w:t xml:space="preserve">ecurizat plățile și comerțul în </w:t>
      </w:r>
      <w:r w:rsidR="00A7521E" w:rsidRPr="00553375">
        <w:rPr>
          <w:rFonts w:ascii="Arial" w:hAnsi="Arial" w:cs="Arial"/>
          <w:bCs/>
          <w:iCs/>
          <w:lang w:val="ro-RO"/>
        </w:rPr>
        <w:t>cele 20 de miliarde de dispozitive conectate</w:t>
      </w:r>
      <w:r w:rsidR="003124DF" w:rsidRPr="00553375">
        <w:rPr>
          <w:rFonts w:ascii="Arial" w:hAnsi="Arial" w:cs="Arial"/>
          <w:bCs/>
          <w:iCs/>
          <w:lang w:val="ro-RO"/>
        </w:rPr>
        <w:t>,</w:t>
      </w:r>
      <w:r w:rsidR="00A7521E" w:rsidRPr="00553375">
        <w:rPr>
          <w:rFonts w:ascii="Arial" w:hAnsi="Arial" w:cs="Arial"/>
          <w:bCs/>
          <w:iCs/>
          <w:lang w:val="ro-RO"/>
        </w:rPr>
        <w:t xml:space="preserve"> estimate </w:t>
      </w:r>
      <w:r w:rsidR="003124DF" w:rsidRPr="00553375">
        <w:rPr>
          <w:rFonts w:ascii="Arial" w:hAnsi="Arial" w:cs="Arial"/>
          <w:bCs/>
          <w:iCs/>
          <w:lang w:val="ro-RO"/>
        </w:rPr>
        <w:t>că vor exista</w:t>
      </w:r>
      <w:r w:rsidR="00A7521E" w:rsidRPr="00553375">
        <w:rPr>
          <w:rFonts w:ascii="Arial" w:hAnsi="Arial" w:cs="Arial"/>
          <w:bCs/>
          <w:iCs/>
          <w:lang w:val="ro-RO"/>
        </w:rPr>
        <w:t xml:space="preserve"> în economia globală în 2020.</w:t>
      </w:r>
      <w:r w:rsidR="00BA7577" w:rsidRPr="00553375">
        <w:rPr>
          <w:rStyle w:val="FootnoteReference"/>
          <w:rFonts w:ascii="Arial" w:hAnsi="Arial" w:cs="Arial"/>
          <w:bCs/>
          <w:iCs/>
          <w:lang w:val="ro-RO"/>
        </w:rPr>
        <w:footnoteReference w:id="4"/>
      </w:r>
    </w:p>
    <w:p w14:paraId="1072A66B" w14:textId="0DD01B8A" w:rsidR="00A7521E" w:rsidRPr="00553375" w:rsidRDefault="00A7521E" w:rsidP="00E659EB">
      <w:pPr>
        <w:pStyle w:val="ListParagraph"/>
        <w:spacing w:after="240"/>
        <w:ind w:left="0"/>
        <w:jc w:val="both"/>
        <w:rPr>
          <w:rFonts w:ascii="Arial" w:hAnsi="Arial" w:cs="Arial"/>
          <w:bCs/>
          <w:iCs/>
          <w:lang w:val="ro-RO"/>
        </w:rPr>
      </w:pPr>
      <w:r w:rsidRPr="00553375">
        <w:rPr>
          <w:rFonts w:ascii="Arial" w:hAnsi="Arial" w:cs="Arial"/>
          <w:bCs/>
          <w:iCs/>
          <w:lang w:val="ro-RO"/>
        </w:rPr>
        <w:t xml:space="preserve">Ca parte a colaborării dintre cele două companii, </w:t>
      </w:r>
      <w:r w:rsidR="008345B8" w:rsidRPr="00553375">
        <w:rPr>
          <w:rFonts w:ascii="Arial" w:hAnsi="Arial" w:cs="Arial"/>
          <w:bCs/>
          <w:iCs/>
          <w:lang w:val="ro-RO"/>
        </w:rPr>
        <w:t>serviciul</w:t>
      </w:r>
      <w:r w:rsidRPr="00553375">
        <w:rPr>
          <w:rFonts w:ascii="Arial" w:hAnsi="Arial" w:cs="Arial"/>
          <w:bCs/>
          <w:iCs/>
          <w:lang w:val="ro-RO"/>
        </w:rPr>
        <w:t xml:space="preserve"> Visa </w:t>
      </w:r>
      <w:r w:rsidR="008345B8" w:rsidRPr="00553375">
        <w:rPr>
          <w:rFonts w:ascii="Arial" w:hAnsi="Arial" w:cs="Arial"/>
          <w:bCs/>
          <w:iCs/>
          <w:lang w:val="ro-RO"/>
        </w:rPr>
        <w:t xml:space="preserve">Token </w:t>
      </w:r>
      <w:r w:rsidRPr="00553375">
        <w:rPr>
          <w:rFonts w:ascii="Arial" w:hAnsi="Arial" w:cs="Arial"/>
          <w:bCs/>
          <w:iCs/>
          <w:lang w:val="ro-RO"/>
        </w:rPr>
        <w:t xml:space="preserve">va fi disponibil clienților sistemului IBM Watson IoT prin intermediul unei rețele de furnizori de servicii de tokenizare, </w:t>
      </w:r>
      <w:r w:rsidR="006852A9" w:rsidRPr="00553375">
        <w:rPr>
          <w:rFonts w:ascii="Arial" w:hAnsi="Arial" w:cs="Arial"/>
          <w:bCs/>
          <w:iCs/>
          <w:lang w:val="ro-RO"/>
        </w:rPr>
        <w:t>în cadrul</w:t>
      </w:r>
      <w:r w:rsidR="000E04DB" w:rsidRPr="00553375">
        <w:rPr>
          <w:rFonts w:ascii="Arial" w:hAnsi="Arial" w:cs="Arial"/>
          <w:bCs/>
          <w:iCs/>
          <w:lang w:val="ro-RO"/>
        </w:rPr>
        <w:t xml:space="preserve"> programului </w:t>
      </w:r>
      <w:r w:rsidR="00BA7577" w:rsidRPr="00553375">
        <w:rPr>
          <w:rFonts w:ascii="Arial" w:hAnsi="Arial" w:cs="Arial"/>
          <w:bCs/>
          <w:iCs/>
          <w:lang w:val="ro-RO"/>
        </w:rPr>
        <w:t>de parteneriate Visa Ready.</w:t>
      </w:r>
    </w:p>
    <w:p w14:paraId="4914A246" w14:textId="77777777" w:rsidR="00DF1E91" w:rsidRDefault="00DF1E91" w:rsidP="00305665">
      <w:pPr>
        <w:pStyle w:val="ListParagraph"/>
        <w:tabs>
          <w:tab w:val="center" w:pos="4680"/>
        </w:tabs>
        <w:spacing w:after="240" w:line="360" w:lineRule="auto"/>
        <w:ind w:left="0"/>
        <w:jc w:val="both"/>
        <w:rPr>
          <w:rFonts w:ascii="Arial" w:hAnsi="Arial" w:cs="Arial"/>
          <w:bCs/>
          <w:iCs/>
          <w:lang w:val="ro-RO"/>
        </w:rPr>
      </w:pPr>
    </w:p>
    <w:p w14:paraId="3164E925" w14:textId="42098ABB" w:rsidR="00305665" w:rsidRPr="00305665" w:rsidRDefault="00305665" w:rsidP="00305665">
      <w:pPr>
        <w:pStyle w:val="ListParagraph"/>
        <w:tabs>
          <w:tab w:val="center" w:pos="4680"/>
        </w:tabs>
        <w:spacing w:after="240" w:line="360" w:lineRule="auto"/>
        <w:ind w:left="0"/>
        <w:jc w:val="both"/>
        <w:rPr>
          <w:rFonts w:ascii="Arial" w:hAnsi="Arial" w:cs="Arial"/>
          <w:bCs/>
          <w:iCs/>
          <w:sz w:val="24"/>
          <w:szCs w:val="24"/>
          <w:lang w:val="ro-RO"/>
        </w:rPr>
      </w:pPr>
      <w:r w:rsidRPr="00305665">
        <w:rPr>
          <w:rFonts w:ascii="Arial" w:hAnsi="Arial" w:cs="Arial"/>
          <w:bCs/>
          <w:iCs/>
          <w:lang w:val="ro-RO"/>
        </w:rPr>
        <w:lastRenderedPageBreak/>
        <w:tab/>
      </w:r>
      <w:r w:rsidRPr="00305665">
        <w:rPr>
          <w:rFonts w:ascii="Arial" w:hAnsi="Arial" w:cs="Arial"/>
          <w:bCs/>
          <w:iCs/>
          <w:sz w:val="24"/>
          <w:szCs w:val="24"/>
          <w:lang w:val="ro-RO"/>
        </w:rPr>
        <w:t>###</w:t>
      </w:r>
    </w:p>
    <w:p w14:paraId="0750F8AD" w14:textId="77777777" w:rsidR="00305665" w:rsidRPr="00305665" w:rsidRDefault="00305665" w:rsidP="00305665">
      <w:pPr>
        <w:spacing w:after="0" w:line="276" w:lineRule="auto"/>
        <w:rPr>
          <w:rFonts w:ascii="Arial" w:hAnsi="Arial" w:cs="Arial"/>
          <w:b/>
          <w:bCs/>
          <w:sz w:val="20"/>
          <w:szCs w:val="20"/>
          <w:lang w:val="ro-RO"/>
        </w:rPr>
      </w:pPr>
    </w:p>
    <w:p w14:paraId="4860BC38" w14:textId="77777777" w:rsidR="00305665" w:rsidRPr="00305665" w:rsidRDefault="00305665" w:rsidP="00305665">
      <w:pPr>
        <w:spacing w:after="0" w:line="276" w:lineRule="auto"/>
        <w:rPr>
          <w:rFonts w:ascii="Arial" w:hAnsi="Arial" w:cs="Arial"/>
          <w:b/>
          <w:bCs/>
          <w:sz w:val="20"/>
          <w:szCs w:val="20"/>
          <w:lang w:val="ro-RO"/>
        </w:rPr>
      </w:pPr>
      <w:r w:rsidRPr="00305665">
        <w:rPr>
          <w:rFonts w:ascii="Arial" w:hAnsi="Arial" w:cs="Arial"/>
          <w:b/>
          <w:bCs/>
          <w:sz w:val="20"/>
          <w:szCs w:val="20"/>
          <w:lang w:val="ro-RO"/>
        </w:rPr>
        <w:t>Despre Visa Inc.</w:t>
      </w:r>
    </w:p>
    <w:p w14:paraId="42219319" w14:textId="77777777" w:rsidR="00305665" w:rsidRPr="00305665" w:rsidRDefault="00305665" w:rsidP="00305665">
      <w:pPr>
        <w:spacing w:after="0" w:line="276" w:lineRule="auto"/>
        <w:jc w:val="both"/>
        <w:rPr>
          <w:rFonts w:ascii="Arial" w:hAnsi="Arial" w:cs="Arial"/>
          <w:sz w:val="20"/>
          <w:szCs w:val="20"/>
          <w:lang w:val="ro-RO"/>
        </w:rPr>
      </w:pPr>
      <w:r w:rsidRPr="00305665">
        <w:rPr>
          <w:rFonts w:ascii="Arial" w:hAnsi="Arial" w:cs="Arial"/>
          <w:sz w:val="20"/>
          <w:szCs w:val="20"/>
          <w:lang w:val="ro-RO"/>
        </w:rPr>
        <w:t xml:space="preserve">Visa inc. (NYSE:V) este o companie internaţională de tehnologii de plată care conectează consumatorii, companiile, instituţiile financiare şi guvernele din peste 200 de ţări şi teritorii prin sisteme de plăţi electronice rapide, securizate şi fiabile. Operăm una dintre cele mai avansate reţele de procesare a plăţilor din lume – VisaNet – capabilă să proceseze peste 65.000 de tranzacţii pe secundă, asigurând protecţie împotriva fraudei pentru consumatori şi plăţi sigure pentru comercianţi. Visa nu este o bancă şi nu emite carduri, nu acordă credite şi nu stabileşte rate sau comisioane pentru consumatori. Cu toate acestea, inovaţiile Visa permit clienţilor instituţii financiare să ofere consumatorilor mai multe opţiuni: să plătească pe loc cu cardul de debit, să plătească anticipat cu cardul prepaid sau ulterior cu un card de credit. Pentru mai multe informaţii, puteţi accesa </w:t>
      </w:r>
      <w:hyperlink r:id="rId10" w:history="1">
        <w:r w:rsidRPr="00305665">
          <w:rPr>
            <w:rStyle w:val="Hyperlink"/>
            <w:rFonts w:ascii="Arial" w:hAnsi="Arial" w:cs="Arial"/>
            <w:sz w:val="20"/>
            <w:szCs w:val="20"/>
            <w:lang w:val="ro-RO"/>
          </w:rPr>
          <w:t>www.visaeurope.com</w:t>
        </w:r>
      </w:hyperlink>
      <w:r w:rsidRPr="00305665">
        <w:rPr>
          <w:rFonts w:ascii="Arial" w:hAnsi="Arial" w:cs="Arial"/>
          <w:sz w:val="20"/>
          <w:szCs w:val="20"/>
          <w:lang w:val="ro-RO"/>
        </w:rPr>
        <w:t>, blogul Visa Vision blog (</w:t>
      </w:r>
      <w:hyperlink r:id="rId11" w:history="1">
        <w:r w:rsidRPr="00305665">
          <w:rPr>
            <w:rStyle w:val="Hyperlink"/>
            <w:rFonts w:ascii="Arial" w:hAnsi="Arial" w:cs="Arial"/>
            <w:sz w:val="20"/>
            <w:szCs w:val="20"/>
            <w:lang w:val="ro-RO"/>
          </w:rPr>
          <w:t>www.vision.visaeurope.com</w:t>
        </w:r>
      </w:hyperlink>
      <w:r w:rsidRPr="00305665">
        <w:rPr>
          <w:rFonts w:ascii="Arial" w:hAnsi="Arial" w:cs="Arial"/>
          <w:sz w:val="20"/>
          <w:szCs w:val="20"/>
          <w:lang w:val="ro-RO"/>
        </w:rPr>
        <w:t xml:space="preserve">) şi </w:t>
      </w:r>
      <w:hyperlink r:id="rId12" w:history="1">
        <w:r w:rsidRPr="00305665">
          <w:rPr>
            <w:rStyle w:val="Hyperlink"/>
            <w:rFonts w:ascii="Arial" w:hAnsi="Arial" w:cs="Arial"/>
            <w:sz w:val="20"/>
            <w:szCs w:val="20"/>
            <w:lang w:val="ro-RO"/>
          </w:rPr>
          <w:t>@VisaEuropeNews</w:t>
        </w:r>
      </w:hyperlink>
      <w:r w:rsidRPr="00305665">
        <w:rPr>
          <w:rFonts w:ascii="Arial" w:hAnsi="Arial" w:cs="Arial"/>
          <w:sz w:val="20"/>
          <w:szCs w:val="20"/>
          <w:lang w:val="ro-RO"/>
        </w:rPr>
        <w:t>.</w:t>
      </w:r>
    </w:p>
    <w:p w14:paraId="1D150F5C" w14:textId="77777777" w:rsidR="00305665" w:rsidRPr="00305665" w:rsidRDefault="00305665" w:rsidP="00305665">
      <w:pPr>
        <w:spacing w:after="0" w:line="276" w:lineRule="auto"/>
        <w:jc w:val="both"/>
        <w:rPr>
          <w:rFonts w:ascii="Arial" w:hAnsi="Arial" w:cs="Arial"/>
          <w:sz w:val="20"/>
          <w:szCs w:val="20"/>
          <w:lang w:val="ro-RO"/>
        </w:rPr>
      </w:pPr>
    </w:p>
    <w:p w14:paraId="4BFAF7C4" w14:textId="77777777" w:rsidR="00305665" w:rsidRPr="00305665" w:rsidRDefault="00305665" w:rsidP="00305665">
      <w:pPr>
        <w:spacing w:after="0" w:line="276" w:lineRule="auto"/>
        <w:rPr>
          <w:rFonts w:ascii="Arial" w:hAnsi="Arial" w:cs="Arial"/>
          <w:b/>
          <w:sz w:val="20"/>
          <w:szCs w:val="20"/>
          <w:lang w:val="ro-RO"/>
        </w:rPr>
      </w:pPr>
      <w:r w:rsidRPr="00305665">
        <w:rPr>
          <w:rFonts w:ascii="Arial" w:hAnsi="Arial" w:cs="Arial"/>
          <w:b/>
          <w:sz w:val="20"/>
          <w:szCs w:val="20"/>
          <w:lang w:val="ro-RO"/>
        </w:rPr>
        <w:t xml:space="preserve">Contacte: </w:t>
      </w:r>
    </w:p>
    <w:p w14:paraId="75FFEEA5" w14:textId="77777777" w:rsidR="00305665" w:rsidRPr="00305665" w:rsidRDefault="00305665" w:rsidP="00305665">
      <w:pPr>
        <w:spacing w:after="0" w:line="276" w:lineRule="auto"/>
        <w:jc w:val="both"/>
        <w:rPr>
          <w:rFonts w:ascii="Arial" w:hAnsi="Arial" w:cs="Arial"/>
          <w:sz w:val="20"/>
          <w:szCs w:val="20"/>
          <w:lang w:val="ro-RO"/>
        </w:rPr>
      </w:pPr>
      <w:r w:rsidRPr="00305665">
        <w:rPr>
          <w:rFonts w:ascii="Arial" w:hAnsi="Arial" w:cs="Arial"/>
          <w:sz w:val="20"/>
          <w:szCs w:val="20"/>
          <w:lang w:val="ro-RO"/>
        </w:rPr>
        <w:t>Gilia Crăciun</w:t>
      </w:r>
    </w:p>
    <w:p w14:paraId="767324FA" w14:textId="77777777" w:rsidR="00305665" w:rsidRPr="00305665" w:rsidRDefault="00305665" w:rsidP="00305665">
      <w:pPr>
        <w:spacing w:after="0" w:line="276" w:lineRule="auto"/>
        <w:jc w:val="both"/>
        <w:rPr>
          <w:rFonts w:ascii="Arial" w:hAnsi="Arial" w:cs="Arial"/>
          <w:sz w:val="20"/>
          <w:szCs w:val="20"/>
          <w:lang w:val="ro-RO"/>
        </w:rPr>
      </w:pPr>
      <w:r w:rsidRPr="00305665">
        <w:rPr>
          <w:rFonts w:ascii="Arial" w:hAnsi="Arial" w:cs="Arial"/>
          <w:sz w:val="20"/>
          <w:szCs w:val="20"/>
          <w:lang w:val="ro-RO"/>
        </w:rPr>
        <w:t>Tel: +40 744 699 003</w:t>
      </w:r>
    </w:p>
    <w:p w14:paraId="3A5E8089" w14:textId="77777777" w:rsidR="00305665" w:rsidRPr="00305665" w:rsidRDefault="00553375" w:rsidP="00305665">
      <w:pPr>
        <w:spacing w:after="0" w:line="276" w:lineRule="auto"/>
        <w:jc w:val="both"/>
        <w:rPr>
          <w:rFonts w:ascii="Arial" w:hAnsi="Arial" w:cs="Arial"/>
          <w:sz w:val="20"/>
          <w:szCs w:val="20"/>
          <w:lang w:val="ro-RO"/>
        </w:rPr>
      </w:pPr>
      <w:hyperlink r:id="rId13" w:history="1">
        <w:r w:rsidR="00305665" w:rsidRPr="00305665">
          <w:rPr>
            <w:rStyle w:val="Hyperlink"/>
            <w:rFonts w:ascii="Arial" w:hAnsi="Arial" w:cs="Arial"/>
            <w:sz w:val="20"/>
            <w:szCs w:val="20"/>
            <w:lang w:val="ro-RO"/>
          </w:rPr>
          <w:t>gilia.craciun@grayling.com</w:t>
        </w:r>
      </w:hyperlink>
      <w:r w:rsidR="00305665" w:rsidRPr="00305665">
        <w:rPr>
          <w:rFonts w:ascii="Arial" w:hAnsi="Arial" w:cs="Arial"/>
          <w:sz w:val="20"/>
          <w:szCs w:val="20"/>
          <w:lang w:val="ro-RO"/>
        </w:rPr>
        <w:t xml:space="preserve"> </w:t>
      </w:r>
    </w:p>
    <w:p w14:paraId="5675C908" w14:textId="77777777" w:rsidR="00305665" w:rsidRPr="00305665" w:rsidRDefault="00305665" w:rsidP="00305665">
      <w:pPr>
        <w:spacing w:after="0" w:line="276" w:lineRule="auto"/>
        <w:jc w:val="both"/>
        <w:rPr>
          <w:rFonts w:ascii="Arial" w:hAnsi="Arial" w:cs="Arial"/>
          <w:sz w:val="20"/>
          <w:szCs w:val="20"/>
          <w:lang w:val="ro-RO"/>
        </w:rPr>
      </w:pPr>
    </w:p>
    <w:p w14:paraId="7FAE19C2" w14:textId="77777777" w:rsidR="00305665" w:rsidRPr="00305665" w:rsidRDefault="00305665" w:rsidP="00305665">
      <w:pPr>
        <w:spacing w:after="0" w:line="276" w:lineRule="auto"/>
        <w:jc w:val="both"/>
        <w:rPr>
          <w:rFonts w:ascii="Arial" w:hAnsi="Arial" w:cs="Arial"/>
          <w:sz w:val="20"/>
          <w:szCs w:val="20"/>
          <w:lang w:val="ro-RO"/>
        </w:rPr>
      </w:pPr>
      <w:r w:rsidRPr="00305665">
        <w:rPr>
          <w:rFonts w:ascii="Arial" w:hAnsi="Arial" w:cs="Arial"/>
          <w:sz w:val="20"/>
          <w:szCs w:val="20"/>
          <w:lang w:val="ro-RO"/>
        </w:rPr>
        <w:t>Alina Lazăr</w:t>
      </w:r>
    </w:p>
    <w:p w14:paraId="551F3038" w14:textId="77777777" w:rsidR="00305665" w:rsidRPr="00305665" w:rsidRDefault="00305665" w:rsidP="00305665">
      <w:pPr>
        <w:spacing w:after="0" w:line="276" w:lineRule="auto"/>
        <w:jc w:val="both"/>
        <w:rPr>
          <w:rFonts w:ascii="Arial" w:hAnsi="Arial" w:cs="Arial"/>
          <w:sz w:val="20"/>
          <w:szCs w:val="20"/>
          <w:lang w:val="ro-RO"/>
        </w:rPr>
      </w:pPr>
      <w:r w:rsidRPr="00305665">
        <w:rPr>
          <w:rFonts w:ascii="Arial" w:hAnsi="Arial" w:cs="Arial"/>
          <w:sz w:val="20"/>
          <w:szCs w:val="20"/>
          <w:lang w:val="ro-RO"/>
        </w:rPr>
        <w:t>Tel: +40 749 129 063</w:t>
      </w:r>
    </w:p>
    <w:p w14:paraId="2889C137" w14:textId="77777777" w:rsidR="00305665" w:rsidRPr="00305665" w:rsidRDefault="00553375" w:rsidP="00305665">
      <w:pPr>
        <w:spacing w:after="0" w:line="276" w:lineRule="auto"/>
        <w:jc w:val="both"/>
        <w:rPr>
          <w:rFonts w:ascii="Arial" w:hAnsi="Arial" w:cs="Arial"/>
          <w:sz w:val="20"/>
          <w:szCs w:val="20"/>
          <w:lang w:val="ro-RO"/>
        </w:rPr>
      </w:pPr>
      <w:hyperlink r:id="rId14" w:history="1">
        <w:r w:rsidR="00305665" w:rsidRPr="00305665">
          <w:rPr>
            <w:rStyle w:val="Hyperlink"/>
            <w:rFonts w:ascii="Arial" w:hAnsi="Arial" w:cs="Arial"/>
            <w:sz w:val="20"/>
            <w:szCs w:val="20"/>
            <w:lang w:val="ro-RO"/>
          </w:rPr>
          <w:t>alina.lazar@grayling.com</w:t>
        </w:r>
      </w:hyperlink>
    </w:p>
    <w:p w14:paraId="03990B15" w14:textId="77777777" w:rsidR="003E5918" w:rsidRPr="00305665" w:rsidRDefault="003E5918">
      <w:pPr>
        <w:rPr>
          <w:lang w:val="ro-RO"/>
        </w:rPr>
      </w:pPr>
    </w:p>
    <w:sectPr w:rsidR="003E5918" w:rsidRPr="00305665" w:rsidSect="00E33779">
      <w:footnotePr>
        <w:numFmt w:val="lowerRoman"/>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7B1C0" w14:textId="77777777" w:rsidR="00C420D2" w:rsidRDefault="00C420D2" w:rsidP="00B421C1">
      <w:pPr>
        <w:spacing w:after="0" w:line="240" w:lineRule="auto"/>
      </w:pPr>
      <w:r>
        <w:separator/>
      </w:r>
    </w:p>
  </w:endnote>
  <w:endnote w:type="continuationSeparator" w:id="0">
    <w:p w14:paraId="4101CE45" w14:textId="77777777" w:rsidR="00C420D2" w:rsidRDefault="00C420D2" w:rsidP="00B4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FE24F" w14:textId="77777777" w:rsidR="00C420D2" w:rsidRDefault="00C420D2" w:rsidP="00B421C1">
      <w:pPr>
        <w:spacing w:after="0" w:line="240" w:lineRule="auto"/>
      </w:pPr>
      <w:r>
        <w:separator/>
      </w:r>
    </w:p>
  </w:footnote>
  <w:footnote w:type="continuationSeparator" w:id="0">
    <w:p w14:paraId="46A62C77" w14:textId="77777777" w:rsidR="00C420D2" w:rsidRDefault="00C420D2" w:rsidP="00B421C1">
      <w:pPr>
        <w:spacing w:after="0" w:line="240" w:lineRule="auto"/>
      </w:pPr>
      <w:r>
        <w:continuationSeparator/>
      </w:r>
    </w:p>
  </w:footnote>
  <w:footnote w:id="1">
    <w:p w14:paraId="5A5F02AF" w14:textId="017B5946" w:rsidR="0026307A" w:rsidRPr="00463D0C" w:rsidRDefault="00DF1E91">
      <w:pPr>
        <w:pStyle w:val="FootnoteText"/>
        <w:rPr>
          <w:rFonts w:ascii="Arial" w:hAnsi="Arial" w:cs="Arial"/>
          <w:lang w:val="ro-RO"/>
        </w:rPr>
      </w:pPr>
      <w:r>
        <w:rPr>
          <w:rStyle w:val="FootnoteReference"/>
        </w:rPr>
        <w:footnoteRef/>
      </w:r>
      <w:r w:rsidR="0026307A" w:rsidRPr="00463D0C">
        <w:rPr>
          <w:rStyle w:val="FootnoteReference"/>
          <w:rFonts w:ascii="Arial" w:hAnsi="Arial" w:cs="Arial"/>
        </w:rPr>
        <w:footnoteRef/>
      </w:r>
      <w:r w:rsidR="0026307A" w:rsidRPr="00401E5B">
        <w:rPr>
          <w:rFonts w:ascii="Arial" w:hAnsi="Arial" w:cs="Arial"/>
          <w:lang w:val="fr-BE"/>
        </w:rPr>
        <w:t xml:space="preserve"> </w:t>
      </w:r>
      <w:proofErr w:type="spellStart"/>
      <w:r w:rsidR="00463D0C" w:rsidRPr="00401E5B">
        <w:rPr>
          <w:rFonts w:ascii="Arial" w:hAnsi="Arial" w:cs="Arial"/>
          <w:lang w:val="fr-BE"/>
        </w:rPr>
        <w:t>Sursa</w:t>
      </w:r>
      <w:proofErr w:type="spellEnd"/>
      <w:r w:rsidR="00463D0C" w:rsidRPr="00401E5B">
        <w:rPr>
          <w:rFonts w:ascii="Arial" w:hAnsi="Arial" w:cs="Arial"/>
          <w:lang w:val="fr-BE"/>
        </w:rPr>
        <w:t xml:space="preserve">: </w:t>
      </w:r>
      <w:proofErr w:type="spellStart"/>
      <w:r w:rsidR="00463D0C" w:rsidRPr="00401E5B">
        <w:rPr>
          <w:rFonts w:ascii="Arial" w:hAnsi="Arial" w:cs="Arial"/>
          <w:lang w:val="fr-BE"/>
        </w:rPr>
        <w:t>Datele</w:t>
      </w:r>
      <w:proofErr w:type="spellEnd"/>
      <w:r w:rsidR="00463D0C" w:rsidRPr="00401E5B">
        <w:rPr>
          <w:rFonts w:ascii="Arial" w:hAnsi="Arial" w:cs="Arial"/>
          <w:lang w:val="fr-BE"/>
        </w:rPr>
        <w:t xml:space="preserve"> </w:t>
      </w:r>
      <w:proofErr w:type="spellStart"/>
      <w:r w:rsidR="00463D0C" w:rsidRPr="00401E5B">
        <w:rPr>
          <w:rFonts w:ascii="Arial" w:hAnsi="Arial" w:cs="Arial"/>
          <w:lang w:val="fr-BE"/>
        </w:rPr>
        <w:t>procesate</w:t>
      </w:r>
      <w:proofErr w:type="spellEnd"/>
      <w:r w:rsidR="00463D0C" w:rsidRPr="00401E5B">
        <w:rPr>
          <w:rFonts w:ascii="Arial" w:hAnsi="Arial" w:cs="Arial"/>
          <w:lang w:val="fr-BE"/>
        </w:rPr>
        <w:t xml:space="preserve"> de Visa Europe, </w:t>
      </w:r>
      <w:proofErr w:type="spellStart"/>
      <w:r w:rsidR="00463D0C" w:rsidRPr="00401E5B">
        <w:rPr>
          <w:rFonts w:ascii="Arial" w:hAnsi="Arial" w:cs="Arial"/>
          <w:lang w:val="fr-BE"/>
        </w:rPr>
        <w:t>Ianuarie</w:t>
      </w:r>
      <w:proofErr w:type="spellEnd"/>
      <w:r w:rsidR="00463D0C" w:rsidRPr="00401E5B">
        <w:rPr>
          <w:rFonts w:ascii="Arial" w:hAnsi="Arial" w:cs="Arial"/>
          <w:lang w:val="fr-BE"/>
        </w:rPr>
        <w:t xml:space="preserve"> 2017.</w:t>
      </w:r>
    </w:p>
  </w:footnote>
  <w:footnote w:id="2">
    <w:p w14:paraId="5F8E76CC" w14:textId="55DED4C9" w:rsidR="00463D0C" w:rsidRPr="00463D0C" w:rsidRDefault="00463D0C">
      <w:pPr>
        <w:pStyle w:val="FootnoteText"/>
        <w:rPr>
          <w:rFonts w:ascii="Arial" w:hAnsi="Arial" w:cs="Arial"/>
          <w:lang w:val="ro-RO"/>
        </w:rPr>
      </w:pPr>
      <w:r w:rsidRPr="00463D0C">
        <w:rPr>
          <w:rStyle w:val="FootnoteReference"/>
          <w:rFonts w:ascii="Arial" w:hAnsi="Arial" w:cs="Arial"/>
        </w:rPr>
        <w:footnoteRef/>
      </w:r>
      <w:r w:rsidRPr="00401E5B">
        <w:rPr>
          <w:rFonts w:ascii="Arial" w:hAnsi="Arial" w:cs="Arial"/>
          <w:lang w:val="fr-BE"/>
        </w:rPr>
        <w:t xml:space="preserve"> </w:t>
      </w:r>
      <w:proofErr w:type="spellStart"/>
      <w:r w:rsidRPr="00401E5B">
        <w:rPr>
          <w:rFonts w:ascii="Arial" w:hAnsi="Arial" w:cs="Arial"/>
          <w:lang w:val="fr-BE"/>
        </w:rPr>
        <w:t>Sursa</w:t>
      </w:r>
      <w:proofErr w:type="spellEnd"/>
      <w:r w:rsidRPr="00401E5B">
        <w:rPr>
          <w:rFonts w:ascii="Arial" w:hAnsi="Arial" w:cs="Arial"/>
          <w:lang w:val="fr-BE"/>
        </w:rPr>
        <w:t xml:space="preserve">: </w:t>
      </w:r>
      <w:proofErr w:type="spellStart"/>
      <w:r w:rsidRPr="00401E5B">
        <w:rPr>
          <w:rFonts w:ascii="Arial" w:hAnsi="Arial" w:cs="Arial"/>
          <w:lang w:val="fr-BE"/>
        </w:rPr>
        <w:t>Datele</w:t>
      </w:r>
      <w:proofErr w:type="spellEnd"/>
      <w:r w:rsidRPr="00401E5B">
        <w:rPr>
          <w:rFonts w:ascii="Arial" w:hAnsi="Arial" w:cs="Arial"/>
          <w:lang w:val="fr-BE"/>
        </w:rPr>
        <w:t xml:space="preserve"> </w:t>
      </w:r>
      <w:proofErr w:type="spellStart"/>
      <w:r w:rsidRPr="00401E5B">
        <w:rPr>
          <w:rFonts w:ascii="Arial" w:hAnsi="Arial" w:cs="Arial"/>
          <w:lang w:val="fr-BE"/>
        </w:rPr>
        <w:t>procesate</w:t>
      </w:r>
      <w:proofErr w:type="spellEnd"/>
      <w:r w:rsidRPr="00401E5B">
        <w:rPr>
          <w:rFonts w:ascii="Arial" w:hAnsi="Arial" w:cs="Arial"/>
          <w:lang w:val="fr-BE"/>
        </w:rPr>
        <w:t xml:space="preserve"> de Visa Europe, </w:t>
      </w:r>
      <w:proofErr w:type="spellStart"/>
      <w:r w:rsidRPr="00401E5B">
        <w:rPr>
          <w:rFonts w:ascii="Arial" w:hAnsi="Arial" w:cs="Arial"/>
          <w:lang w:val="fr-BE"/>
        </w:rPr>
        <w:t>Decembrie</w:t>
      </w:r>
      <w:proofErr w:type="spellEnd"/>
      <w:r w:rsidRPr="00401E5B">
        <w:rPr>
          <w:rFonts w:ascii="Arial" w:hAnsi="Arial" w:cs="Arial"/>
          <w:lang w:val="fr-BE"/>
        </w:rPr>
        <w:t xml:space="preserve"> 2016</w:t>
      </w:r>
    </w:p>
  </w:footnote>
  <w:footnote w:id="3">
    <w:p w14:paraId="332E8C63" w14:textId="144C0E8F" w:rsidR="00463D0C" w:rsidRPr="00463D0C" w:rsidRDefault="00463D0C">
      <w:pPr>
        <w:pStyle w:val="FootnoteText"/>
        <w:rPr>
          <w:lang w:val="ro-RO"/>
        </w:rPr>
      </w:pPr>
      <w:r w:rsidRPr="00463D0C">
        <w:rPr>
          <w:rStyle w:val="FootnoteReference"/>
          <w:rFonts w:ascii="Arial" w:hAnsi="Arial" w:cs="Arial"/>
        </w:rPr>
        <w:footnoteRef/>
      </w:r>
      <w:r w:rsidRPr="00401E5B">
        <w:rPr>
          <w:rFonts w:ascii="Arial" w:hAnsi="Arial" w:cs="Arial"/>
          <w:lang w:val="fr-BE"/>
        </w:rPr>
        <w:t xml:space="preserve"> </w:t>
      </w:r>
      <w:proofErr w:type="spellStart"/>
      <w:r w:rsidRPr="00401E5B">
        <w:rPr>
          <w:rFonts w:ascii="Arial" w:hAnsi="Arial" w:cs="Arial"/>
          <w:lang w:val="fr-BE"/>
        </w:rPr>
        <w:t>Sursa</w:t>
      </w:r>
      <w:proofErr w:type="spellEnd"/>
      <w:r w:rsidRPr="00401E5B">
        <w:rPr>
          <w:rFonts w:ascii="Arial" w:hAnsi="Arial" w:cs="Arial"/>
          <w:lang w:val="fr-BE"/>
        </w:rPr>
        <w:t xml:space="preserve">: </w:t>
      </w:r>
      <w:proofErr w:type="spellStart"/>
      <w:r w:rsidRPr="00401E5B">
        <w:rPr>
          <w:rFonts w:ascii="Arial" w:hAnsi="Arial" w:cs="Arial"/>
          <w:lang w:val="fr-BE"/>
        </w:rPr>
        <w:t>Datele</w:t>
      </w:r>
      <w:proofErr w:type="spellEnd"/>
      <w:r w:rsidRPr="00401E5B">
        <w:rPr>
          <w:rFonts w:ascii="Arial" w:hAnsi="Arial" w:cs="Arial"/>
          <w:lang w:val="fr-BE"/>
        </w:rPr>
        <w:t xml:space="preserve"> </w:t>
      </w:r>
      <w:proofErr w:type="spellStart"/>
      <w:r w:rsidRPr="00401E5B">
        <w:rPr>
          <w:rFonts w:ascii="Arial" w:hAnsi="Arial" w:cs="Arial"/>
          <w:lang w:val="fr-BE"/>
        </w:rPr>
        <w:t>procesate</w:t>
      </w:r>
      <w:proofErr w:type="spellEnd"/>
      <w:r w:rsidRPr="00401E5B">
        <w:rPr>
          <w:rFonts w:ascii="Arial" w:hAnsi="Arial" w:cs="Arial"/>
          <w:lang w:val="fr-BE"/>
        </w:rPr>
        <w:t xml:space="preserve"> de Visa Europe, </w:t>
      </w:r>
      <w:proofErr w:type="spellStart"/>
      <w:r w:rsidRPr="00401E5B">
        <w:rPr>
          <w:rFonts w:ascii="Arial" w:hAnsi="Arial" w:cs="Arial"/>
          <w:lang w:val="fr-BE"/>
        </w:rPr>
        <w:t>Decembrie</w:t>
      </w:r>
      <w:proofErr w:type="spellEnd"/>
      <w:r w:rsidRPr="00401E5B">
        <w:rPr>
          <w:rFonts w:ascii="Arial" w:hAnsi="Arial" w:cs="Arial"/>
          <w:lang w:val="fr-BE"/>
        </w:rPr>
        <w:t xml:space="preserve"> 2016</w:t>
      </w:r>
    </w:p>
  </w:footnote>
  <w:footnote w:id="4">
    <w:p w14:paraId="0D513241" w14:textId="472523A1" w:rsidR="00BA7577" w:rsidRPr="00BA7577" w:rsidRDefault="00BA7577">
      <w:pPr>
        <w:pStyle w:val="FootnoteText"/>
        <w:rPr>
          <w:rFonts w:ascii="Arial" w:hAnsi="Arial" w:cs="Arial"/>
          <w:lang w:val="ro-RO"/>
        </w:rPr>
      </w:pPr>
      <w:r w:rsidRPr="00BA7577">
        <w:rPr>
          <w:rStyle w:val="FootnoteReference"/>
          <w:rFonts w:ascii="Arial" w:hAnsi="Arial" w:cs="Arial"/>
        </w:rPr>
        <w:footnoteRef/>
      </w:r>
      <w:r w:rsidRPr="00BA7577">
        <w:rPr>
          <w:rFonts w:ascii="Arial" w:hAnsi="Arial" w:cs="Arial"/>
        </w:rPr>
        <w:t xml:space="preserve"> </w:t>
      </w:r>
      <w:r w:rsidRPr="00BA7577">
        <w:rPr>
          <w:rFonts w:ascii="Arial" w:hAnsi="Arial" w:cs="Arial"/>
          <w:lang w:val="ro-RO"/>
        </w:rPr>
        <w:t xml:space="preserve">Gartner, raportul IoT, Noiembrie 2015, </w:t>
      </w:r>
      <w:hyperlink r:id="rId1" w:history="1">
        <w:r w:rsidRPr="00BA7577">
          <w:rPr>
            <w:rStyle w:val="Hyperlink"/>
            <w:rFonts w:ascii="Arial" w:hAnsi="Arial" w:cs="Arial"/>
          </w:rPr>
          <w:t>http://www.gartner.com/newsroom/id/3165317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1EF9"/>
    <w:multiLevelType w:val="hybridMultilevel"/>
    <w:tmpl w:val="DCDC7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855859"/>
    <w:multiLevelType w:val="hybridMultilevel"/>
    <w:tmpl w:val="1E0CF1F2"/>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2" w15:restartNumberingAfterBreak="0">
    <w:nsid w:val="2149212F"/>
    <w:multiLevelType w:val="hybridMultilevel"/>
    <w:tmpl w:val="9384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C61AED"/>
    <w:multiLevelType w:val="hybridMultilevel"/>
    <w:tmpl w:val="5CB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358E0"/>
    <w:multiLevelType w:val="hybridMultilevel"/>
    <w:tmpl w:val="BCF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C153F"/>
    <w:multiLevelType w:val="hybridMultilevel"/>
    <w:tmpl w:val="87B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D3950"/>
    <w:multiLevelType w:val="hybridMultilevel"/>
    <w:tmpl w:val="FB7E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AF"/>
    <w:rsid w:val="00002867"/>
    <w:rsid w:val="00004B96"/>
    <w:rsid w:val="000138CB"/>
    <w:rsid w:val="0001496E"/>
    <w:rsid w:val="0002272F"/>
    <w:rsid w:val="0002356E"/>
    <w:rsid w:val="00034A0D"/>
    <w:rsid w:val="000453C3"/>
    <w:rsid w:val="000472CD"/>
    <w:rsid w:val="00063F8F"/>
    <w:rsid w:val="0006691A"/>
    <w:rsid w:val="00073EDA"/>
    <w:rsid w:val="0009696D"/>
    <w:rsid w:val="000A42E2"/>
    <w:rsid w:val="000C01C9"/>
    <w:rsid w:val="000C1F50"/>
    <w:rsid w:val="000C7B48"/>
    <w:rsid w:val="000E04DB"/>
    <w:rsid w:val="000E3FA7"/>
    <w:rsid w:val="000E4F46"/>
    <w:rsid w:val="000E57A9"/>
    <w:rsid w:val="000F6730"/>
    <w:rsid w:val="000F7047"/>
    <w:rsid w:val="00107ECA"/>
    <w:rsid w:val="001100D1"/>
    <w:rsid w:val="0015144C"/>
    <w:rsid w:val="00152662"/>
    <w:rsid w:val="00156758"/>
    <w:rsid w:val="00163E68"/>
    <w:rsid w:val="00165A38"/>
    <w:rsid w:val="00172E49"/>
    <w:rsid w:val="00180FBE"/>
    <w:rsid w:val="00182EF5"/>
    <w:rsid w:val="00185ADB"/>
    <w:rsid w:val="001927B0"/>
    <w:rsid w:val="001B02E2"/>
    <w:rsid w:val="001C0204"/>
    <w:rsid w:val="001E1DAD"/>
    <w:rsid w:val="001E4482"/>
    <w:rsid w:val="00206CE0"/>
    <w:rsid w:val="00220452"/>
    <w:rsid w:val="00220E64"/>
    <w:rsid w:val="00221EB3"/>
    <w:rsid w:val="00235688"/>
    <w:rsid w:val="00242E85"/>
    <w:rsid w:val="00246D73"/>
    <w:rsid w:val="002576FE"/>
    <w:rsid w:val="0026189F"/>
    <w:rsid w:val="0026307A"/>
    <w:rsid w:val="00274948"/>
    <w:rsid w:val="00280B84"/>
    <w:rsid w:val="00290664"/>
    <w:rsid w:val="002A4728"/>
    <w:rsid w:val="002C6FAF"/>
    <w:rsid w:val="002E5C82"/>
    <w:rsid w:val="002F6305"/>
    <w:rsid w:val="00305665"/>
    <w:rsid w:val="00307A16"/>
    <w:rsid w:val="00311984"/>
    <w:rsid w:val="003124DF"/>
    <w:rsid w:val="00313B33"/>
    <w:rsid w:val="00340B6B"/>
    <w:rsid w:val="003560AC"/>
    <w:rsid w:val="0035626D"/>
    <w:rsid w:val="00362D63"/>
    <w:rsid w:val="00371175"/>
    <w:rsid w:val="003733E0"/>
    <w:rsid w:val="003861D9"/>
    <w:rsid w:val="003873B3"/>
    <w:rsid w:val="00387495"/>
    <w:rsid w:val="003936D7"/>
    <w:rsid w:val="00395F5E"/>
    <w:rsid w:val="003A7F6F"/>
    <w:rsid w:val="003B47E2"/>
    <w:rsid w:val="003B6F27"/>
    <w:rsid w:val="003C735C"/>
    <w:rsid w:val="003D5FD5"/>
    <w:rsid w:val="003E33BA"/>
    <w:rsid w:val="003E5918"/>
    <w:rsid w:val="003E69C7"/>
    <w:rsid w:val="00401E5B"/>
    <w:rsid w:val="004218B4"/>
    <w:rsid w:val="00435527"/>
    <w:rsid w:val="00453994"/>
    <w:rsid w:val="00461424"/>
    <w:rsid w:val="00462F7C"/>
    <w:rsid w:val="00463D0C"/>
    <w:rsid w:val="00474EC8"/>
    <w:rsid w:val="00480F4C"/>
    <w:rsid w:val="00483317"/>
    <w:rsid w:val="00485A93"/>
    <w:rsid w:val="004969DA"/>
    <w:rsid w:val="00496D7B"/>
    <w:rsid w:val="004A57C5"/>
    <w:rsid w:val="004C3110"/>
    <w:rsid w:val="004F62CB"/>
    <w:rsid w:val="00506A8A"/>
    <w:rsid w:val="00553375"/>
    <w:rsid w:val="00555509"/>
    <w:rsid w:val="00557FEC"/>
    <w:rsid w:val="00574446"/>
    <w:rsid w:val="00576A3B"/>
    <w:rsid w:val="00585464"/>
    <w:rsid w:val="00585EDA"/>
    <w:rsid w:val="00590259"/>
    <w:rsid w:val="00591818"/>
    <w:rsid w:val="005A36E5"/>
    <w:rsid w:val="005C43C1"/>
    <w:rsid w:val="005C5701"/>
    <w:rsid w:val="005E1A0C"/>
    <w:rsid w:val="005F6A7C"/>
    <w:rsid w:val="0060392C"/>
    <w:rsid w:val="00605B96"/>
    <w:rsid w:val="0060790B"/>
    <w:rsid w:val="0061114A"/>
    <w:rsid w:val="00613796"/>
    <w:rsid w:val="0062143A"/>
    <w:rsid w:val="006249EA"/>
    <w:rsid w:val="0062733B"/>
    <w:rsid w:val="00632A79"/>
    <w:rsid w:val="00642BE0"/>
    <w:rsid w:val="0065578E"/>
    <w:rsid w:val="006560C5"/>
    <w:rsid w:val="0067519C"/>
    <w:rsid w:val="006852A9"/>
    <w:rsid w:val="006859DD"/>
    <w:rsid w:val="006912D0"/>
    <w:rsid w:val="00692FA5"/>
    <w:rsid w:val="00696991"/>
    <w:rsid w:val="006A159C"/>
    <w:rsid w:val="006A18E3"/>
    <w:rsid w:val="006D0F5D"/>
    <w:rsid w:val="00704CE9"/>
    <w:rsid w:val="00724888"/>
    <w:rsid w:val="0073008E"/>
    <w:rsid w:val="00731CE4"/>
    <w:rsid w:val="00740575"/>
    <w:rsid w:val="00744154"/>
    <w:rsid w:val="00786160"/>
    <w:rsid w:val="007A6056"/>
    <w:rsid w:val="007B1DA7"/>
    <w:rsid w:val="007D1D21"/>
    <w:rsid w:val="007E2706"/>
    <w:rsid w:val="007E74B9"/>
    <w:rsid w:val="008010A8"/>
    <w:rsid w:val="008169C3"/>
    <w:rsid w:val="008179C9"/>
    <w:rsid w:val="00826B4B"/>
    <w:rsid w:val="00831954"/>
    <w:rsid w:val="00831A2E"/>
    <w:rsid w:val="008345B8"/>
    <w:rsid w:val="00835895"/>
    <w:rsid w:val="00840F58"/>
    <w:rsid w:val="0084156E"/>
    <w:rsid w:val="00843BA4"/>
    <w:rsid w:val="00844CDB"/>
    <w:rsid w:val="00851AFB"/>
    <w:rsid w:val="00853896"/>
    <w:rsid w:val="00857E47"/>
    <w:rsid w:val="00876324"/>
    <w:rsid w:val="00881C25"/>
    <w:rsid w:val="00882818"/>
    <w:rsid w:val="0088548B"/>
    <w:rsid w:val="00887451"/>
    <w:rsid w:val="00891B69"/>
    <w:rsid w:val="008A65F8"/>
    <w:rsid w:val="008B3C3F"/>
    <w:rsid w:val="008C2171"/>
    <w:rsid w:val="008E20E7"/>
    <w:rsid w:val="008E6140"/>
    <w:rsid w:val="00913799"/>
    <w:rsid w:val="0093151F"/>
    <w:rsid w:val="00931AEE"/>
    <w:rsid w:val="00936568"/>
    <w:rsid w:val="00953A63"/>
    <w:rsid w:val="00976AE7"/>
    <w:rsid w:val="009840F0"/>
    <w:rsid w:val="00984969"/>
    <w:rsid w:val="009A15F4"/>
    <w:rsid w:val="009B0AE4"/>
    <w:rsid w:val="009B0CAF"/>
    <w:rsid w:val="009B6159"/>
    <w:rsid w:val="009C7D5D"/>
    <w:rsid w:val="009F55DD"/>
    <w:rsid w:val="00A140EC"/>
    <w:rsid w:val="00A30A47"/>
    <w:rsid w:val="00A461B1"/>
    <w:rsid w:val="00A46DE0"/>
    <w:rsid w:val="00A51F8C"/>
    <w:rsid w:val="00A56AB6"/>
    <w:rsid w:val="00A635B5"/>
    <w:rsid w:val="00A6538B"/>
    <w:rsid w:val="00A6767C"/>
    <w:rsid w:val="00A75166"/>
    <w:rsid w:val="00A7521E"/>
    <w:rsid w:val="00A76561"/>
    <w:rsid w:val="00A96064"/>
    <w:rsid w:val="00AA314D"/>
    <w:rsid w:val="00AA48D3"/>
    <w:rsid w:val="00AC30A3"/>
    <w:rsid w:val="00AC72BE"/>
    <w:rsid w:val="00AD4D2C"/>
    <w:rsid w:val="00AE4AA7"/>
    <w:rsid w:val="00AE4D13"/>
    <w:rsid w:val="00AE538E"/>
    <w:rsid w:val="00AE79DA"/>
    <w:rsid w:val="00AF2657"/>
    <w:rsid w:val="00B06D7E"/>
    <w:rsid w:val="00B11228"/>
    <w:rsid w:val="00B272BD"/>
    <w:rsid w:val="00B37379"/>
    <w:rsid w:val="00B421C1"/>
    <w:rsid w:val="00B45B78"/>
    <w:rsid w:val="00B5498D"/>
    <w:rsid w:val="00B64980"/>
    <w:rsid w:val="00B87CB2"/>
    <w:rsid w:val="00BA7577"/>
    <w:rsid w:val="00BF19C1"/>
    <w:rsid w:val="00BF7169"/>
    <w:rsid w:val="00C0020E"/>
    <w:rsid w:val="00C00457"/>
    <w:rsid w:val="00C13568"/>
    <w:rsid w:val="00C14855"/>
    <w:rsid w:val="00C17344"/>
    <w:rsid w:val="00C267C8"/>
    <w:rsid w:val="00C30DC4"/>
    <w:rsid w:val="00C35913"/>
    <w:rsid w:val="00C35F7D"/>
    <w:rsid w:val="00C420D2"/>
    <w:rsid w:val="00CA67A0"/>
    <w:rsid w:val="00CB28A5"/>
    <w:rsid w:val="00CC14EE"/>
    <w:rsid w:val="00CC1595"/>
    <w:rsid w:val="00CC2A4F"/>
    <w:rsid w:val="00CC355E"/>
    <w:rsid w:val="00CC370F"/>
    <w:rsid w:val="00CC6C6D"/>
    <w:rsid w:val="00CE661E"/>
    <w:rsid w:val="00CF0F04"/>
    <w:rsid w:val="00CF3666"/>
    <w:rsid w:val="00D00FAC"/>
    <w:rsid w:val="00D079D2"/>
    <w:rsid w:val="00D161C7"/>
    <w:rsid w:val="00D20941"/>
    <w:rsid w:val="00D2790A"/>
    <w:rsid w:val="00D34EE2"/>
    <w:rsid w:val="00D4590D"/>
    <w:rsid w:val="00D51A10"/>
    <w:rsid w:val="00D728D9"/>
    <w:rsid w:val="00D72B18"/>
    <w:rsid w:val="00D77377"/>
    <w:rsid w:val="00D832DB"/>
    <w:rsid w:val="00D84A06"/>
    <w:rsid w:val="00D87728"/>
    <w:rsid w:val="00D87B23"/>
    <w:rsid w:val="00DB7AA2"/>
    <w:rsid w:val="00DD648B"/>
    <w:rsid w:val="00DF0473"/>
    <w:rsid w:val="00DF1E91"/>
    <w:rsid w:val="00E04F82"/>
    <w:rsid w:val="00E07664"/>
    <w:rsid w:val="00E2670E"/>
    <w:rsid w:val="00E33779"/>
    <w:rsid w:val="00E34C93"/>
    <w:rsid w:val="00E36C51"/>
    <w:rsid w:val="00E45EA1"/>
    <w:rsid w:val="00E47125"/>
    <w:rsid w:val="00E659EB"/>
    <w:rsid w:val="00E76B8C"/>
    <w:rsid w:val="00E80929"/>
    <w:rsid w:val="00E971C3"/>
    <w:rsid w:val="00EA14CD"/>
    <w:rsid w:val="00EB32BA"/>
    <w:rsid w:val="00EB5F8B"/>
    <w:rsid w:val="00EB68D8"/>
    <w:rsid w:val="00EE7D33"/>
    <w:rsid w:val="00F3100A"/>
    <w:rsid w:val="00F365C4"/>
    <w:rsid w:val="00F47500"/>
    <w:rsid w:val="00F5029D"/>
    <w:rsid w:val="00F74831"/>
    <w:rsid w:val="00FA563F"/>
    <w:rsid w:val="00FC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80AE"/>
  <w15:docId w15:val="{028DA7D1-A216-4BBF-A86E-CDC8607A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ListParagraph">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4969DA"/>
    <w:rPr>
      <w:sz w:val="16"/>
      <w:szCs w:val="16"/>
    </w:rPr>
  </w:style>
  <w:style w:type="paragraph" w:styleId="CommentText">
    <w:name w:val="annotation text"/>
    <w:basedOn w:val="Normal"/>
    <w:link w:val="CommentTextCh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CommentTextChar">
    <w:name w:val="Comment Text Char"/>
    <w:basedOn w:val="DefaultParagraphFont"/>
    <w:link w:val="CommentText"/>
    <w:uiPriority w:val="99"/>
    <w:semiHidden/>
    <w:rsid w:val="004969DA"/>
    <w:rPr>
      <w:rFonts w:ascii="Segoe UI" w:eastAsia="Times New Roman" w:hAnsi="Segoe UI" w:cs="Times New Roman"/>
      <w:color w:val="75787B"/>
      <w:sz w:val="20"/>
      <w:szCs w:val="20"/>
      <w:lang w:val="en-GB"/>
    </w:rPr>
  </w:style>
  <w:style w:type="paragraph" w:styleId="BalloonText">
    <w:name w:val="Balloon Text"/>
    <w:basedOn w:val="Normal"/>
    <w:link w:val="BalloonTextChar"/>
    <w:uiPriority w:val="99"/>
    <w:semiHidden/>
    <w:unhideWhenUsed/>
    <w:rsid w:val="004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A"/>
    <w:rPr>
      <w:rFonts w:ascii="Tahoma" w:hAnsi="Tahoma" w:cs="Tahoma"/>
      <w:sz w:val="16"/>
      <w:szCs w:val="16"/>
    </w:rPr>
  </w:style>
  <w:style w:type="character" w:styleId="Hyperlink">
    <w:name w:val="Hyperlink"/>
    <w:rsid w:val="00851AFB"/>
    <w:rPr>
      <w:color w:val="0000FF"/>
      <w:u w:val="single"/>
    </w:rPr>
  </w:style>
  <w:style w:type="character" w:styleId="Strong">
    <w:name w:val="Strong"/>
    <w:qFormat/>
    <w:rsid w:val="00851AFB"/>
    <w:rPr>
      <w:b/>
      <w:bCs/>
    </w:rPr>
  </w:style>
  <w:style w:type="paragraph" w:styleId="CommentSubject">
    <w:name w:val="annotation subject"/>
    <w:basedOn w:val="CommentText"/>
    <w:next w:val="CommentText"/>
    <w:link w:val="CommentSubjectCh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887451"/>
    <w:rPr>
      <w:rFonts w:ascii="Segoe UI" w:eastAsia="Times New Roman" w:hAnsi="Segoe UI" w:cs="Times New Roman"/>
      <w:b/>
      <w:bCs/>
      <w:color w:val="75787B"/>
      <w:sz w:val="20"/>
      <w:szCs w:val="20"/>
      <w:lang w:val="en-GB"/>
    </w:rPr>
  </w:style>
  <w:style w:type="paragraph" w:styleId="Revision">
    <w:name w:val="Revision"/>
    <w:hidden/>
    <w:uiPriority w:val="99"/>
    <w:semiHidden/>
    <w:rsid w:val="00887451"/>
    <w:pPr>
      <w:spacing w:after="0" w:line="240" w:lineRule="auto"/>
    </w:pPr>
  </w:style>
  <w:style w:type="paragraph" w:styleId="Header">
    <w:name w:val="header"/>
    <w:basedOn w:val="Normal"/>
    <w:link w:val="HeaderChar"/>
    <w:uiPriority w:val="99"/>
    <w:unhideWhenUsed/>
    <w:rsid w:val="00B4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1C1"/>
  </w:style>
  <w:style w:type="paragraph" w:styleId="Footer">
    <w:name w:val="footer"/>
    <w:basedOn w:val="Normal"/>
    <w:link w:val="FooterChar"/>
    <w:uiPriority w:val="99"/>
    <w:unhideWhenUsed/>
    <w:rsid w:val="00B4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1C1"/>
  </w:style>
  <w:style w:type="paragraph" w:styleId="EndnoteText">
    <w:name w:val="endnote text"/>
    <w:basedOn w:val="Normal"/>
    <w:link w:val="EndnoteTextChar"/>
    <w:uiPriority w:val="99"/>
    <w:semiHidden/>
    <w:unhideWhenUsed/>
    <w:rsid w:val="003119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984"/>
    <w:rPr>
      <w:sz w:val="20"/>
      <w:szCs w:val="20"/>
    </w:rPr>
  </w:style>
  <w:style w:type="character" w:styleId="EndnoteReference">
    <w:name w:val="endnote reference"/>
    <w:basedOn w:val="DefaultParagraphFont"/>
    <w:uiPriority w:val="99"/>
    <w:semiHidden/>
    <w:unhideWhenUsed/>
    <w:rsid w:val="00311984"/>
    <w:rPr>
      <w:vertAlign w:val="superscript"/>
    </w:rPr>
  </w:style>
  <w:style w:type="paragraph" w:styleId="FootnoteText">
    <w:name w:val="footnote text"/>
    <w:basedOn w:val="Normal"/>
    <w:link w:val="FootnoteTextChar"/>
    <w:uiPriority w:val="99"/>
    <w:semiHidden/>
    <w:unhideWhenUsed/>
    <w:rsid w:val="00BA7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577"/>
    <w:rPr>
      <w:sz w:val="20"/>
      <w:szCs w:val="20"/>
    </w:rPr>
  </w:style>
  <w:style w:type="character" w:styleId="FootnoteReference">
    <w:name w:val="footnote reference"/>
    <w:basedOn w:val="DefaultParagraphFont"/>
    <w:uiPriority w:val="99"/>
    <w:semiHidden/>
    <w:unhideWhenUsed/>
    <w:rsid w:val="00BA7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lia.craciun@gray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visaeuropenew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visaeurop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saeurope.com" TargetMode="External"/><Relationship Id="rId4" Type="http://schemas.openxmlformats.org/officeDocument/2006/relationships/settings" Target="settings.xml"/><Relationship Id="rId9" Type="http://schemas.openxmlformats.org/officeDocument/2006/relationships/hyperlink" Target="https://usa.visa.com/visa-everywhere/innovation/visa-ibm-changing-digital-payments-and-iot.html" TargetMode="External"/><Relationship Id="rId14" Type="http://schemas.openxmlformats.org/officeDocument/2006/relationships/hyperlink" Target="mailto:alina.lazar@graylin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artner.com/newsroom/id/3165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87EE-ED54-4F3E-BE42-C6039B68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Chieng, Stephanie</dc:creator>
  <cp:lastModifiedBy>Alina Lazar</cp:lastModifiedBy>
  <cp:revision>34</cp:revision>
  <cp:lastPrinted>2017-02-08T15:20:00Z</cp:lastPrinted>
  <dcterms:created xsi:type="dcterms:W3CDTF">2017-02-16T11:24:00Z</dcterms:created>
  <dcterms:modified xsi:type="dcterms:W3CDTF">2017-02-21T13:16:00Z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