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D" w:rsidRPr="00E07EAD" w:rsidRDefault="00E07EAD" w:rsidP="00E07EAD">
      <w:pPr>
        <w:pStyle w:val="Textkrper"/>
        <w:spacing w:line="240" w:lineRule="atLeast"/>
        <w:rPr>
          <w:rFonts w:cs="Arial"/>
          <w:sz w:val="22"/>
          <w:szCs w:val="22"/>
          <w:u w:val="single"/>
        </w:rPr>
      </w:pPr>
      <w:bookmarkStart w:id="0" w:name="_GoBack"/>
      <w:r w:rsidRPr="00E07EAD">
        <w:rPr>
          <w:rFonts w:cs="Arial"/>
          <w:sz w:val="22"/>
          <w:szCs w:val="22"/>
          <w:u w:val="single"/>
        </w:rPr>
        <w:t>Finanzen</w:t>
      </w:r>
    </w:p>
    <w:p w:rsidR="00E07EAD" w:rsidRPr="009B1798" w:rsidRDefault="00E07EAD" w:rsidP="00E07EAD">
      <w:pPr>
        <w:pStyle w:val="Textkrper"/>
        <w:spacing w:line="240" w:lineRule="atLeast"/>
        <w:rPr>
          <w:rFonts w:cs="Arial"/>
          <w:b w:val="0"/>
          <w:sz w:val="22"/>
          <w:szCs w:val="22"/>
        </w:rPr>
      </w:pPr>
      <w:r>
        <w:rPr>
          <w:rFonts w:cs="Arial"/>
          <w:sz w:val="28"/>
          <w:szCs w:val="28"/>
        </w:rPr>
        <w:t xml:space="preserve">Donner &amp; </w:t>
      </w:r>
      <w:proofErr w:type="spellStart"/>
      <w:r>
        <w:rPr>
          <w:rFonts w:cs="Arial"/>
          <w:sz w:val="28"/>
          <w:szCs w:val="28"/>
        </w:rPr>
        <w:t>Reuschel</w:t>
      </w:r>
      <w:proofErr w:type="spellEnd"/>
      <w:r>
        <w:rPr>
          <w:rFonts w:cs="Arial"/>
          <w:sz w:val="28"/>
          <w:szCs w:val="28"/>
        </w:rPr>
        <w:t xml:space="preserve"> überzeugt mit Best-</w:t>
      </w:r>
      <w:proofErr w:type="spellStart"/>
      <w:r>
        <w:rPr>
          <w:rFonts w:cs="Arial"/>
          <w:sz w:val="28"/>
          <w:szCs w:val="28"/>
        </w:rPr>
        <w:t>of</w:t>
      </w:r>
      <w:proofErr w:type="spellEnd"/>
      <w:r>
        <w:rPr>
          <w:rFonts w:cs="Arial"/>
          <w:sz w:val="28"/>
          <w:szCs w:val="28"/>
        </w:rPr>
        <w:t>-</w:t>
      </w:r>
      <w:proofErr w:type="spellStart"/>
      <w:r>
        <w:rPr>
          <w:rFonts w:cs="Arial"/>
          <w:sz w:val="28"/>
          <w:szCs w:val="28"/>
        </w:rPr>
        <w:t>Two</w:t>
      </w:r>
      <w:proofErr w:type="spellEnd"/>
      <w:r>
        <w:rPr>
          <w:rFonts w:cs="Arial"/>
          <w:sz w:val="28"/>
          <w:szCs w:val="28"/>
        </w:rPr>
        <w:t xml:space="preserve">-Strategie </w:t>
      </w:r>
    </w:p>
    <w:p w:rsidR="00E07EAD" w:rsidRPr="00304617" w:rsidRDefault="00E07EAD" w:rsidP="00E07EAD">
      <w:pPr>
        <w:pStyle w:val="berarbeitung"/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</w:p>
    <w:p w:rsidR="00E07EAD" w:rsidRPr="00E07EAD" w:rsidRDefault="00E07EAD" w:rsidP="00E07EAD">
      <w:pPr>
        <w:spacing w:line="240" w:lineRule="atLeast"/>
        <w:rPr>
          <w:rFonts w:cs="Arial"/>
          <w:sz w:val="22"/>
          <w:szCs w:val="22"/>
        </w:rPr>
      </w:pPr>
      <w:r w:rsidRPr="00E07EAD">
        <w:rPr>
          <w:rFonts w:cs="Arial"/>
          <w:sz w:val="22"/>
          <w:szCs w:val="22"/>
        </w:rPr>
        <w:t>(Juli</w:t>
      </w:r>
      <w:r w:rsidR="0015186F">
        <w:rPr>
          <w:rFonts w:cs="Arial"/>
          <w:sz w:val="22"/>
          <w:szCs w:val="22"/>
        </w:rPr>
        <w:t>/August</w:t>
      </w:r>
      <w:r w:rsidRPr="00E07EAD">
        <w:rPr>
          <w:rFonts w:cs="Arial"/>
          <w:sz w:val="22"/>
          <w:szCs w:val="22"/>
        </w:rPr>
        <w:t xml:space="preserve"> 2018) </w:t>
      </w:r>
      <w:r>
        <w:rPr>
          <w:rFonts w:cs="Arial"/>
          <w:sz w:val="22"/>
          <w:szCs w:val="22"/>
        </w:rPr>
        <w:t xml:space="preserve">Das Anlegermagazin </w:t>
      </w:r>
      <w:proofErr w:type="spellStart"/>
      <w:r>
        <w:rPr>
          <w:rFonts w:cs="Arial"/>
          <w:sz w:val="22"/>
          <w:szCs w:val="22"/>
        </w:rPr>
        <w:t>portfolio</w:t>
      </w:r>
      <w:proofErr w:type="spellEnd"/>
      <w:r>
        <w:rPr>
          <w:rFonts w:cs="Arial"/>
          <w:sz w:val="22"/>
          <w:szCs w:val="22"/>
        </w:rPr>
        <w:t xml:space="preserve"> institutionell hat in einer aktuellen Analyse die Best-</w:t>
      </w:r>
      <w:proofErr w:type="spellStart"/>
      <w:r>
        <w:rPr>
          <w:rFonts w:cs="Arial"/>
          <w:sz w:val="22"/>
          <w:szCs w:val="22"/>
        </w:rPr>
        <w:t>of</w:t>
      </w:r>
      <w:proofErr w:type="spellEnd"/>
      <w:r>
        <w:rPr>
          <w:rFonts w:cs="Arial"/>
          <w:sz w:val="22"/>
          <w:szCs w:val="22"/>
        </w:rPr>
        <w:t>-</w:t>
      </w:r>
      <w:proofErr w:type="spellStart"/>
      <w:r>
        <w:rPr>
          <w:rFonts w:cs="Arial"/>
          <w:sz w:val="22"/>
          <w:szCs w:val="22"/>
        </w:rPr>
        <w:t>Two</w:t>
      </w:r>
      <w:proofErr w:type="spellEnd"/>
      <w:r>
        <w:rPr>
          <w:rFonts w:cs="Arial"/>
          <w:sz w:val="22"/>
          <w:szCs w:val="22"/>
        </w:rPr>
        <w:t xml:space="preserve">-Strategie von Donner &amp; </w:t>
      </w:r>
      <w:proofErr w:type="spellStart"/>
      <w:r>
        <w:rPr>
          <w:rFonts w:cs="Arial"/>
          <w:sz w:val="22"/>
          <w:szCs w:val="22"/>
        </w:rPr>
        <w:t>Reuschel</w:t>
      </w:r>
      <w:proofErr w:type="spellEnd"/>
      <w:r>
        <w:rPr>
          <w:rFonts w:cs="Arial"/>
          <w:sz w:val="22"/>
          <w:szCs w:val="22"/>
        </w:rPr>
        <w:t xml:space="preserve"> hervorgehoben, Privatbanktochter der SIGNAL IDUNA Gruppe.</w:t>
      </w:r>
    </w:p>
    <w:p w:rsidR="00E07EAD" w:rsidRPr="00E07EAD" w:rsidRDefault="00E07EAD" w:rsidP="00E07EAD">
      <w:pPr>
        <w:spacing w:line="240" w:lineRule="atLeast"/>
        <w:rPr>
          <w:rFonts w:cs="Arial"/>
          <w:sz w:val="22"/>
          <w:szCs w:val="22"/>
        </w:rPr>
      </w:pPr>
    </w:p>
    <w:p w:rsidR="00E07EAD" w:rsidRPr="00304617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  <w:r w:rsidRPr="00E07EAD">
        <w:rPr>
          <w:rFonts w:cs="Arial"/>
          <w:b w:val="0"/>
          <w:sz w:val="22"/>
          <w:szCs w:val="22"/>
        </w:rPr>
        <w:t>Gerade in Zeiten unberechenbarer Marktphasen suchen Anleger verstärkt nach Möglichkeiten, ihr Portfolio bestmöglich vor Risiken abzusichern und gleichzeitig an Aufwärtstrends zu partizipieren.</w:t>
      </w:r>
      <w:r w:rsidRPr="00E07EAD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Zunehmend gefragt sind deshalb </w:t>
      </w:r>
      <w:r w:rsidRPr="009D3EA0">
        <w:rPr>
          <w:rFonts w:cs="Arial"/>
          <w:b w:val="0"/>
          <w:sz w:val="22"/>
          <w:szCs w:val="22"/>
        </w:rPr>
        <w:t>Investm</w:t>
      </w:r>
      <w:r>
        <w:rPr>
          <w:rFonts w:cs="Arial"/>
          <w:b w:val="0"/>
          <w:sz w:val="22"/>
          <w:szCs w:val="22"/>
        </w:rPr>
        <w:t xml:space="preserve">entlösungen, die über eine überzeugende Chancen- und </w:t>
      </w:r>
      <w:r w:rsidRPr="00304617">
        <w:rPr>
          <w:rFonts w:cs="Arial"/>
          <w:b w:val="0"/>
          <w:sz w:val="22"/>
          <w:szCs w:val="22"/>
        </w:rPr>
        <w:t>Ris</w:t>
      </w:r>
      <w:r>
        <w:rPr>
          <w:rFonts w:cs="Arial"/>
          <w:b w:val="0"/>
          <w:sz w:val="22"/>
          <w:szCs w:val="22"/>
        </w:rPr>
        <w:t>ikomanagement-Systematik verfügen.</w:t>
      </w:r>
      <w:r w:rsidRPr="00836BE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In seiner jährlichen Analyse erstellt </w:t>
      </w:r>
      <w:proofErr w:type="spellStart"/>
      <w:r>
        <w:rPr>
          <w:rFonts w:cs="Arial"/>
          <w:b w:val="0"/>
          <w:sz w:val="22"/>
          <w:szCs w:val="22"/>
        </w:rPr>
        <w:t>portfolio</w:t>
      </w:r>
      <w:proofErr w:type="spellEnd"/>
      <w:r>
        <w:rPr>
          <w:rFonts w:cs="Arial"/>
          <w:b w:val="0"/>
          <w:sz w:val="22"/>
          <w:szCs w:val="22"/>
        </w:rPr>
        <w:t xml:space="preserve"> institutionell eine Auswertung des vergangenen Börsenjahres und hinterfragt Investmentkonzepte mit regelgebundenen Ansätzen und aktiver Risikosteuerung. In der aktuellen Ausgabe</w:t>
      </w:r>
      <w:r>
        <w:rPr>
          <w:rStyle w:val="Funotenzeichen"/>
          <w:rFonts w:cs="Arial"/>
          <w:b w:val="0"/>
          <w:sz w:val="22"/>
          <w:szCs w:val="22"/>
        </w:rPr>
        <w:footnoteReference w:id="1"/>
      </w:r>
      <w:r>
        <w:rPr>
          <w:rFonts w:cs="Arial"/>
          <w:b w:val="0"/>
          <w:sz w:val="22"/>
          <w:szCs w:val="22"/>
        </w:rPr>
        <w:t xml:space="preserve"> hebt das Magazin insbesondere die Donner &amp; </w:t>
      </w:r>
      <w:proofErr w:type="spellStart"/>
      <w:r>
        <w:rPr>
          <w:rFonts w:cs="Arial"/>
          <w:b w:val="0"/>
          <w:sz w:val="22"/>
          <w:szCs w:val="22"/>
        </w:rPr>
        <w:t>Reuschel</w:t>
      </w:r>
      <w:proofErr w:type="spellEnd"/>
      <w:r>
        <w:rPr>
          <w:rFonts w:cs="Arial"/>
          <w:b w:val="0"/>
          <w:sz w:val="22"/>
          <w:szCs w:val="22"/>
        </w:rPr>
        <w:t xml:space="preserve"> Best-</w:t>
      </w:r>
      <w:proofErr w:type="spellStart"/>
      <w:r>
        <w:rPr>
          <w:rFonts w:cs="Arial"/>
          <w:b w:val="0"/>
          <w:sz w:val="22"/>
          <w:szCs w:val="22"/>
        </w:rPr>
        <w:t>of</w:t>
      </w:r>
      <w:proofErr w:type="spellEnd"/>
      <w:r>
        <w:rPr>
          <w:rFonts w:cs="Arial"/>
          <w:b w:val="0"/>
          <w:sz w:val="22"/>
          <w:szCs w:val="22"/>
        </w:rPr>
        <w:t>-</w:t>
      </w:r>
      <w:proofErr w:type="spellStart"/>
      <w:r>
        <w:rPr>
          <w:rFonts w:cs="Arial"/>
          <w:b w:val="0"/>
          <w:sz w:val="22"/>
          <w:szCs w:val="22"/>
        </w:rPr>
        <w:t>Two</w:t>
      </w:r>
      <w:proofErr w:type="spellEnd"/>
      <w:r>
        <w:rPr>
          <w:rFonts w:cs="Arial"/>
          <w:b w:val="0"/>
          <w:sz w:val="22"/>
          <w:szCs w:val="22"/>
        </w:rPr>
        <w:t>-Strategie</w:t>
      </w:r>
      <w:r w:rsidRPr="0030461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hervor: Sie hat sich im direkten Vergleich der besten Wertsicherungskonzepte im volatilen Börsenumfeld am besten entwickelt. </w:t>
      </w: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</w:p>
    <w:p w:rsidR="00E07EAD" w:rsidRPr="00247F68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  <w:r w:rsidRPr="00A3532C">
        <w:rPr>
          <w:b w:val="0"/>
          <w:sz w:val="22"/>
        </w:rPr>
        <w:t xml:space="preserve">Marcus </w:t>
      </w:r>
      <w:proofErr w:type="spellStart"/>
      <w:r w:rsidRPr="00A3532C">
        <w:rPr>
          <w:b w:val="0"/>
          <w:sz w:val="22"/>
        </w:rPr>
        <w:t>Vitt</w:t>
      </w:r>
      <w:proofErr w:type="spellEnd"/>
      <w:r>
        <w:rPr>
          <w:b w:val="0"/>
          <w:sz w:val="22"/>
        </w:rPr>
        <w:t xml:space="preserve">, Vorstandssprecher von Donner &amp; </w:t>
      </w:r>
      <w:proofErr w:type="spellStart"/>
      <w:r>
        <w:rPr>
          <w:rFonts w:cs="Arial"/>
          <w:b w:val="0"/>
          <w:sz w:val="22"/>
          <w:szCs w:val="22"/>
        </w:rPr>
        <w:t>Reuschel</w:t>
      </w:r>
      <w:proofErr w:type="spellEnd"/>
      <w:r>
        <w:rPr>
          <w:rFonts w:cs="Arial"/>
          <w:b w:val="0"/>
          <w:sz w:val="22"/>
          <w:szCs w:val="22"/>
        </w:rPr>
        <w:t>: „</w:t>
      </w:r>
      <w:r w:rsidRPr="00247F68">
        <w:rPr>
          <w:rFonts w:cs="Arial"/>
          <w:b w:val="0"/>
          <w:sz w:val="22"/>
          <w:szCs w:val="22"/>
        </w:rPr>
        <w:t>Robuste Strategien, die insbesondere bei extremen Marktverwerfungen ihre risikoreduzierende Eigenschaft ni</w:t>
      </w:r>
      <w:r>
        <w:rPr>
          <w:rFonts w:cs="Arial"/>
          <w:b w:val="0"/>
          <w:sz w:val="22"/>
          <w:szCs w:val="22"/>
        </w:rPr>
        <w:t xml:space="preserve">cht verlieren, bilden </w:t>
      </w:r>
      <w:r w:rsidRPr="00247F68">
        <w:rPr>
          <w:rFonts w:cs="Arial"/>
          <w:b w:val="0"/>
          <w:sz w:val="22"/>
          <w:szCs w:val="22"/>
        </w:rPr>
        <w:t xml:space="preserve">die Kernexpertise von Donner &amp; </w:t>
      </w:r>
      <w:proofErr w:type="spellStart"/>
      <w:r w:rsidRPr="00247F68">
        <w:rPr>
          <w:rFonts w:cs="Arial"/>
          <w:b w:val="0"/>
          <w:sz w:val="22"/>
          <w:szCs w:val="22"/>
        </w:rPr>
        <w:t>Reuschel</w:t>
      </w:r>
      <w:proofErr w:type="spellEnd"/>
      <w:r w:rsidRPr="00247F68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 xml:space="preserve">Wir haben die </w:t>
      </w:r>
      <w:r w:rsidRPr="00247F68">
        <w:rPr>
          <w:rFonts w:cs="Arial"/>
          <w:b w:val="0"/>
          <w:sz w:val="22"/>
          <w:szCs w:val="22"/>
        </w:rPr>
        <w:t xml:space="preserve">Chancen </w:t>
      </w:r>
      <w:r>
        <w:rPr>
          <w:rFonts w:cs="Arial"/>
          <w:b w:val="0"/>
          <w:sz w:val="22"/>
          <w:szCs w:val="22"/>
        </w:rPr>
        <w:t>der Best-</w:t>
      </w:r>
      <w:proofErr w:type="spellStart"/>
      <w:r>
        <w:rPr>
          <w:rFonts w:cs="Arial"/>
          <w:b w:val="0"/>
          <w:sz w:val="22"/>
          <w:szCs w:val="22"/>
        </w:rPr>
        <w:t>of</w:t>
      </w:r>
      <w:proofErr w:type="spellEnd"/>
      <w:r>
        <w:rPr>
          <w:rFonts w:cs="Arial"/>
          <w:b w:val="0"/>
          <w:sz w:val="22"/>
          <w:szCs w:val="22"/>
        </w:rPr>
        <w:t>-</w:t>
      </w:r>
      <w:proofErr w:type="spellStart"/>
      <w:r>
        <w:rPr>
          <w:rFonts w:cs="Arial"/>
          <w:b w:val="0"/>
          <w:sz w:val="22"/>
          <w:szCs w:val="22"/>
        </w:rPr>
        <w:t>Two</w:t>
      </w:r>
      <w:proofErr w:type="spellEnd"/>
      <w:r>
        <w:rPr>
          <w:rFonts w:cs="Arial"/>
          <w:b w:val="0"/>
          <w:sz w:val="22"/>
          <w:szCs w:val="22"/>
        </w:rPr>
        <w:t>-Strategie bereits vor Jahren erkannt und uns die Namensrechte an dieser gesichert.“</w:t>
      </w: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Best-</w:t>
      </w:r>
      <w:proofErr w:type="spellStart"/>
      <w:r>
        <w:rPr>
          <w:rFonts w:cs="Arial"/>
          <w:b w:val="0"/>
          <w:sz w:val="22"/>
          <w:szCs w:val="22"/>
        </w:rPr>
        <w:t>of</w:t>
      </w:r>
      <w:proofErr w:type="spellEnd"/>
      <w:r>
        <w:rPr>
          <w:rFonts w:cs="Arial"/>
          <w:b w:val="0"/>
          <w:sz w:val="22"/>
          <w:szCs w:val="22"/>
        </w:rPr>
        <w:t>-</w:t>
      </w:r>
      <w:proofErr w:type="spellStart"/>
      <w:r>
        <w:rPr>
          <w:rFonts w:cs="Arial"/>
          <w:b w:val="0"/>
          <w:sz w:val="22"/>
          <w:szCs w:val="22"/>
        </w:rPr>
        <w:t>Two</w:t>
      </w:r>
      <w:proofErr w:type="spellEnd"/>
      <w:r>
        <w:rPr>
          <w:rFonts w:cs="Arial"/>
          <w:b w:val="0"/>
          <w:sz w:val="22"/>
          <w:szCs w:val="22"/>
        </w:rPr>
        <w:t xml:space="preserve"> ist </w:t>
      </w:r>
      <w:r w:rsidRPr="00FB3D45">
        <w:rPr>
          <w:rFonts w:cs="Arial"/>
          <w:b w:val="0"/>
          <w:sz w:val="22"/>
          <w:szCs w:val="22"/>
        </w:rPr>
        <w:t xml:space="preserve">eine dynamische Strategie, die prognosefrei und regelbasiert das optimale Mischverhältnis zwischen Anleihen und Aktien bestimmt. Umschichtungen erfolgen in </w:t>
      </w:r>
      <w:r>
        <w:rPr>
          <w:rFonts w:cs="Arial"/>
          <w:b w:val="0"/>
          <w:sz w:val="22"/>
          <w:szCs w:val="22"/>
        </w:rPr>
        <w:t xml:space="preserve">diejenige der beiden Anlageklassen, </w:t>
      </w:r>
      <w:r w:rsidRPr="00FB3D45">
        <w:rPr>
          <w:rFonts w:cs="Arial"/>
          <w:b w:val="0"/>
          <w:sz w:val="22"/>
          <w:szCs w:val="22"/>
        </w:rPr>
        <w:t xml:space="preserve">die einen stärkeren mittelfristigen Trend aufweist. </w:t>
      </w:r>
      <w:r>
        <w:rPr>
          <w:rFonts w:cs="Arial"/>
          <w:b w:val="0"/>
          <w:sz w:val="22"/>
          <w:szCs w:val="22"/>
        </w:rPr>
        <w:t xml:space="preserve">Große Kurseinbrüche werden deutlich abgemildert und </w:t>
      </w:r>
      <w:r w:rsidRPr="00FB3D45">
        <w:rPr>
          <w:rFonts w:cs="Arial"/>
          <w:b w:val="0"/>
          <w:sz w:val="22"/>
          <w:szCs w:val="22"/>
        </w:rPr>
        <w:t>die Chancen von Aufw</w:t>
      </w:r>
      <w:r>
        <w:rPr>
          <w:rFonts w:cs="Arial"/>
          <w:b w:val="0"/>
          <w:sz w:val="22"/>
          <w:szCs w:val="22"/>
        </w:rPr>
        <w:t>ärtstrends genutzt</w:t>
      </w:r>
      <w:r w:rsidRPr="00FB3D45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 Damit lässt sich r</w:t>
      </w:r>
      <w:r w:rsidRPr="00D70D52">
        <w:rPr>
          <w:rFonts w:cs="Arial"/>
          <w:b w:val="0"/>
          <w:sz w:val="22"/>
          <w:szCs w:val="22"/>
        </w:rPr>
        <w:t>isikosensitiven Anlegern ein dauerhaftes Investment in risikoreicheren Anlageklassen ermöglichen.</w:t>
      </w:r>
      <w:r>
        <w:rPr>
          <w:rFonts w:cs="Arial"/>
          <w:b w:val="0"/>
          <w:sz w:val="22"/>
          <w:szCs w:val="22"/>
        </w:rPr>
        <w:t xml:space="preserve"> </w:t>
      </w: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</w:p>
    <w:p w:rsidR="00E07EAD" w:rsidRPr="00D70D52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  <w:r w:rsidRPr="00304617">
        <w:rPr>
          <w:rFonts w:cs="Arial"/>
          <w:b w:val="0"/>
          <w:sz w:val="22"/>
          <w:szCs w:val="22"/>
        </w:rPr>
        <w:t xml:space="preserve">Bereits im Jahr 2002 hat die Privatbank Donner &amp; </w:t>
      </w:r>
      <w:proofErr w:type="spellStart"/>
      <w:r w:rsidRPr="00304617">
        <w:rPr>
          <w:rFonts w:cs="Arial"/>
          <w:b w:val="0"/>
          <w:sz w:val="22"/>
          <w:szCs w:val="22"/>
        </w:rPr>
        <w:t>Reuschel</w:t>
      </w:r>
      <w:proofErr w:type="spellEnd"/>
      <w:r w:rsidRPr="0030461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mit Best-</w:t>
      </w:r>
      <w:proofErr w:type="spellStart"/>
      <w:r>
        <w:rPr>
          <w:rFonts w:cs="Arial"/>
          <w:b w:val="0"/>
          <w:sz w:val="22"/>
          <w:szCs w:val="22"/>
        </w:rPr>
        <w:t>of</w:t>
      </w:r>
      <w:proofErr w:type="spellEnd"/>
      <w:r>
        <w:rPr>
          <w:rFonts w:cs="Arial"/>
          <w:b w:val="0"/>
          <w:sz w:val="22"/>
          <w:szCs w:val="22"/>
        </w:rPr>
        <w:t>-</w:t>
      </w:r>
      <w:proofErr w:type="spellStart"/>
      <w:r>
        <w:rPr>
          <w:rFonts w:cs="Arial"/>
          <w:b w:val="0"/>
          <w:sz w:val="22"/>
          <w:szCs w:val="22"/>
        </w:rPr>
        <w:t>Two</w:t>
      </w:r>
      <w:proofErr w:type="spellEnd"/>
      <w:r>
        <w:rPr>
          <w:rFonts w:cs="Arial"/>
          <w:b w:val="0"/>
          <w:sz w:val="22"/>
          <w:szCs w:val="22"/>
        </w:rPr>
        <w:t xml:space="preserve"> </w:t>
      </w:r>
      <w:r w:rsidRPr="00304617">
        <w:rPr>
          <w:rFonts w:cs="Arial"/>
          <w:b w:val="0"/>
          <w:sz w:val="22"/>
          <w:szCs w:val="22"/>
        </w:rPr>
        <w:t xml:space="preserve">eine Investmentlösung </w:t>
      </w:r>
      <w:r>
        <w:rPr>
          <w:rFonts w:cs="Arial"/>
          <w:b w:val="0"/>
          <w:sz w:val="22"/>
          <w:szCs w:val="22"/>
        </w:rPr>
        <w:t xml:space="preserve">geschaffen, die die Renditechancen </w:t>
      </w:r>
      <w:r w:rsidRPr="00304617">
        <w:rPr>
          <w:rFonts w:cs="Arial"/>
          <w:b w:val="0"/>
          <w:sz w:val="22"/>
          <w:szCs w:val="22"/>
        </w:rPr>
        <w:t>unterschiedlicher Anlageklassen nutzt</w:t>
      </w:r>
      <w:r>
        <w:rPr>
          <w:rFonts w:cs="Arial"/>
          <w:b w:val="0"/>
          <w:sz w:val="22"/>
          <w:szCs w:val="22"/>
        </w:rPr>
        <w:t>. D</w:t>
      </w:r>
      <w:r w:rsidRPr="00171306">
        <w:rPr>
          <w:rFonts w:cs="Arial"/>
          <w:b w:val="0"/>
          <w:sz w:val="22"/>
          <w:szCs w:val="22"/>
        </w:rPr>
        <w:t xml:space="preserve">er Austausch zwischen zwei Anlageklassen </w:t>
      </w:r>
      <w:r>
        <w:rPr>
          <w:rFonts w:cs="Arial"/>
          <w:b w:val="0"/>
          <w:sz w:val="22"/>
          <w:szCs w:val="22"/>
        </w:rPr>
        <w:t xml:space="preserve">ist hier </w:t>
      </w:r>
      <w:r w:rsidRPr="00171306">
        <w:rPr>
          <w:rFonts w:cs="Arial"/>
          <w:b w:val="0"/>
          <w:sz w:val="22"/>
          <w:szCs w:val="22"/>
        </w:rPr>
        <w:t>nach beiden Seiten möglich</w:t>
      </w:r>
      <w:r>
        <w:rPr>
          <w:rFonts w:cs="Arial"/>
          <w:b w:val="0"/>
          <w:sz w:val="22"/>
          <w:szCs w:val="22"/>
        </w:rPr>
        <w:t xml:space="preserve">. </w:t>
      </w:r>
      <w:r w:rsidRPr="00FB3D45">
        <w:rPr>
          <w:rFonts w:cs="Arial"/>
          <w:b w:val="0"/>
          <w:sz w:val="22"/>
          <w:szCs w:val="22"/>
        </w:rPr>
        <w:t xml:space="preserve">Das Prinzip geht </w:t>
      </w:r>
      <w:r>
        <w:rPr>
          <w:rFonts w:cs="Arial"/>
          <w:b w:val="0"/>
          <w:sz w:val="22"/>
          <w:szCs w:val="22"/>
        </w:rPr>
        <w:t xml:space="preserve">zurück </w:t>
      </w:r>
      <w:r w:rsidRPr="00FB3D45">
        <w:rPr>
          <w:rFonts w:cs="Arial"/>
          <w:b w:val="0"/>
          <w:sz w:val="22"/>
          <w:szCs w:val="22"/>
        </w:rPr>
        <w:t>auf Arbeiten der Nobelpreisträger Fischer Black und Myron Scholes ab 1973 über die Bewertung von Finanzoptionen</w:t>
      </w:r>
      <w:r>
        <w:rPr>
          <w:rFonts w:cs="Arial"/>
          <w:b w:val="0"/>
          <w:sz w:val="22"/>
          <w:szCs w:val="22"/>
        </w:rPr>
        <w:t>.</w:t>
      </w:r>
      <w:r w:rsidRPr="00FB3D45">
        <w:rPr>
          <w:rFonts w:cs="Arial"/>
          <w:b w:val="0"/>
          <w:sz w:val="22"/>
          <w:szCs w:val="22"/>
        </w:rPr>
        <w:t xml:space="preserve"> 1978 entwickelte William </w:t>
      </w:r>
      <w:proofErr w:type="spellStart"/>
      <w:r w:rsidRPr="00FB3D45">
        <w:rPr>
          <w:rFonts w:cs="Arial"/>
          <w:b w:val="0"/>
          <w:sz w:val="22"/>
          <w:szCs w:val="22"/>
        </w:rPr>
        <w:t>Margrabe</w:t>
      </w:r>
      <w:proofErr w:type="spellEnd"/>
      <w:r w:rsidRPr="00FB3D45">
        <w:rPr>
          <w:rFonts w:cs="Arial"/>
          <w:b w:val="0"/>
          <w:sz w:val="22"/>
          <w:szCs w:val="22"/>
        </w:rPr>
        <w:t xml:space="preserve"> diese Gedanken für sogenannte „Austauschoptionen“ weiter. </w:t>
      </w:r>
      <w:r w:rsidRPr="00171306">
        <w:rPr>
          <w:rFonts w:cs="Arial"/>
          <w:b w:val="0"/>
          <w:sz w:val="22"/>
          <w:szCs w:val="22"/>
        </w:rPr>
        <w:t>In der Praxis eignen sich dafür am besten Akt</w:t>
      </w:r>
      <w:r>
        <w:rPr>
          <w:rFonts w:cs="Arial"/>
          <w:b w:val="0"/>
          <w:sz w:val="22"/>
          <w:szCs w:val="22"/>
        </w:rPr>
        <w:t>ien und Anleihen. 2015 hat Donner &amp;</w:t>
      </w:r>
      <w:r w:rsidRPr="00D70D52">
        <w:rPr>
          <w:rFonts w:cs="Arial"/>
          <w:b w:val="0"/>
          <w:sz w:val="22"/>
          <w:szCs w:val="22"/>
        </w:rPr>
        <w:t xml:space="preserve"> </w:t>
      </w:r>
      <w:proofErr w:type="spellStart"/>
      <w:r w:rsidRPr="00D70D52">
        <w:rPr>
          <w:rFonts w:cs="Arial"/>
          <w:b w:val="0"/>
          <w:sz w:val="22"/>
          <w:szCs w:val="22"/>
        </w:rPr>
        <w:t>Reuschel</w:t>
      </w:r>
      <w:proofErr w:type="spellEnd"/>
      <w:r w:rsidRPr="00D70D52">
        <w:rPr>
          <w:rFonts w:cs="Arial"/>
          <w:b w:val="0"/>
          <w:sz w:val="22"/>
          <w:szCs w:val="22"/>
        </w:rPr>
        <w:t xml:space="preserve"> die </w:t>
      </w:r>
      <w:r>
        <w:rPr>
          <w:rFonts w:cs="Arial"/>
          <w:b w:val="0"/>
          <w:sz w:val="22"/>
          <w:szCs w:val="22"/>
        </w:rPr>
        <w:t>Best-</w:t>
      </w:r>
      <w:proofErr w:type="spellStart"/>
      <w:r>
        <w:rPr>
          <w:rFonts w:cs="Arial"/>
          <w:b w:val="0"/>
          <w:sz w:val="22"/>
          <w:szCs w:val="22"/>
        </w:rPr>
        <w:t>of</w:t>
      </w:r>
      <w:proofErr w:type="spellEnd"/>
      <w:r>
        <w:rPr>
          <w:rFonts w:cs="Arial"/>
          <w:b w:val="0"/>
          <w:sz w:val="22"/>
          <w:szCs w:val="22"/>
        </w:rPr>
        <w:t>-</w:t>
      </w:r>
      <w:r w:rsidRPr="00D70D52">
        <w:rPr>
          <w:rFonts w:cs="Arial"/>
          <w:b w:val="0"/>
          <w:sz w:val="22"/>
          <w:szCs w:val="22"/>
        </w:rPr>
        <w:t xml:space="preserve">Strategie </w:t>
      </w:r>
      <w:r>
        <w:rPr>
          <w:rFonts w:cs="Arial"/>
          <w:b w:val="0"/>
          <w:sz w:val="22"/>
          <w:szCs w:val="22"/>
        </w:rPr>
        <w:t>um ein</w:t>
      </w:r>
      <w:r w:rsidRPr="00D70D52">
        <w:rPr>
          <w:rFonts w:cs="Arial"/>
          <w:b w:val="0"/>
          <w:sz w:val="22"/>
          <w:szCs w:val="22"/>
        </w:rPr>
        <w:t xml:space="preserve"> Multi-</w:t>
      </w:r>
      <w:r>
        <w:rPr>
          <w:rFonts w:cs="Arial"/>
          <w:b w:val="0"/>
          <w:sz w:val="22"/>
          <w:szCs w:val="22"/>
        </w:rPr>
        <w:t>Asset-Portfolio ergänzt.</w:t>
      </w: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  <w:r w:rsidRPr="00304617">
        <w:rPr>
          <w:rFonts w:cs="Arial"/>
          <w:b w:val="0"/>
          <w:sz w:val="22"/>
          <w:szCs w:val="22"/>
        </w:rPr>
        <w:t>Weitere Informationen über die regelbasierten Investmentlösungen des Bankhauses</w:t>
      </w:r>
      <w:r>
        <w:rPr>
          <w:rFonts w:cs="Arial"/>
          <w:b w:val="0"/>
          <w:sz w:val="22"/>
          <w:szCs w:val="22"/>
        </w:rPr>
        <w:t xml:space="preserve"> finden Sie unter </w:t>
      </w:r>
      <w:hyperlink r:id="rId7" w:history="1">
        <w:r w:rsidRPr="00E761F0">
          <w:rPr>
            <w:rStyle w:val="Hyperlink"/>
            <w:rFonts w:cs="Arial"/>
            <w:b w:val="0"/>
            <w:sz w:val="22"/>
            <w:szCs w:val="22"/>
          </w:rPr>
          <w:t>www.donner-reuschel.de</w:t>
        </w:r>
      </w:hyperlink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</w:p>
    <w:p w:rsidR="00E07EAD" w:rsidRDefault="00E07EAD" w:rsidP="00E07EAD">
      <w:pPr>
        <w:spacing w:line="240" w:lineRule="atLeas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Wertpapierkennnummern des „D&amp;R Best-</w:t>
      </w:r>
      <w:proofErr w:type="spellStart"/>
      <w:r>
        <w:rPr>
          <w:rFonts w:cs="Arial"/>
          <w:b w:val="0"/>
          <w:sz w:val="22"/>
          <w:szCs w:val="22"/>
        </w:rPr>
        <w:t>of</w:t>
      </w:r>
      <w:proofErr w:type="spellEnd"/>
      <w:r>
        <w:rPr>
          <w:rFonts w:cs="Arial"/>
          <w:b w:val="0"/>
          <w:sz w:val="22"/>
          <w:szCs w:val="22"/>
        </w:rPr>
        <w:t>-</w:t>
      </w:r>
      <w:proofErr w:type="spellStart"/>
      <w:r>
        <w:rPr>
          <w:rFonts w:cs="Arial"/>
          <w:b w:val="0"/>
          <w:sz w:val="22"/>
          <w:szCs w:val="22"/>
        </w:rPr>
        <w:t>Two</w:t>
      </w:r>
      <w:proofErr w:type="spellEnd"/>
      <w:r>
        <w:rPr>
          <w:rFonts w:cs="Arial"/>
          <w:b w:val="0"/>
          <w:sz w:val="22"/>
          <w:szCs w:val="22"/>
        </w:rPr>
        <w:t xml:space="preserve"> Classic“: </w:t>
      </w:r>
    </w:p>
    <w:p w:rsidR="00E07EAD" w:rsidRPr="008568F5" w:rsidRDefault="00E07EAD" w:rsidP="00E07EAD">
      <w:pPr>
        <w:spacing w:line="240" w:lineRule="atLeast"/>
        <w:rPr>
          <w:rFonts w:cs="Arial"/>
          <w:b w:val="0"/>
          <w:sz w:val="22"/>
          <w:szCs w:val="22"/>
          <w:lang w:val="en-US"/>
        </w:rPr>
      </w:pPr>
      <w:r w:rsidRPr="008568F5">
        <w:rPr>
          <w:rFonts w:cs="Arial"/>
          <w:b w:val="0"/>
          <w:sz w:val="22"/>
          <w:szCs w:val="22"/>
          <w:lang w:val="en-US"/>
        </w:rPr>
        <w:t xml:space="preserve">P-Tranche: A1JRQA, I-Tranche: </w:t>
      </w:r>
      <w:r w:rsidRPr="008568F5">
        <w:rPr>
          <w:b w:val="0"/>
          <w:bCs/>
          <w:sz w:val="22"/>
          <w:szCs w:val="22"/>
          <w:lang w:val="en-US"/>
        </w:rPr>
        <w:t>A0M2H5</w:t>
      </w:r>
    </w:p>
    <w:bookmarkEnd w:id="0"/>
    <w:p w:rsidR="00B40726" w:rsidRDefault="00B40726" w:rsidP="00E07EAD">
      <w:pPr>
        <w:spacing w:line="240" w:lineRule="atLeast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AD" w:rsidRDefault="00E07EAD" w:rsidP="00E07EAD">
      <w:r>
        <w:separator/>
      </w:r>
    </w:p>
  </w:endnote>
  <w:endnote w:type="continuationSeparator" w:id="0">
    <w:p w:rsidR="00E07EAD" w:rsidRDefault="00E07EAD" w:rsidP="00E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AD" w:rsidRDefault="00E07EAD" w:rsidP="00E07EAD">
      <w:r>
        <w:separator/>
      </w:r>
    </w:p>
  </w:footnote>
  <w:footnote w:type="continuationSeparator" w:id="0">
    <w:p w:rsidR="00E07EAD" w:rsidRDefault="00E07EAD" w:rsidP="00E07EAD">
      <w:r>
        <w:continuationSeparator/>
      </w:r>
    </w:p>
  </w:footnote>
  <w:footnote w:id="1">
    <w:p w:rsidR="00E07EAD" w:rsidRPr="008568F5" w:rsidRDefault="00E07EAD" w:rsidP="00E07EAD">
      <w:pPr>
        <w:pStyle w:val="Funotentext"/>
        <w:rPr>
          <w:b w:val="0"/>
          <w:sz w:val="16"/>
          <w:szCs w:val="16"/>
        </w:rPr>
      </w:pPr>
      <w:r w:rsidRPr="008568F5">
        <w:rPr>
          <w:rStyle w:val="Funotenzeichen"/>
          <w:sz w:val="16"/>
          <w:szCs w:val="16"/>
        </w:rPr>
        <w:footnoteRef/>
      </w:r>
      <w:r w:rsidRPr="008568F5">
        <w:rPr>
          <w:sz w:val="16"/>
          <w:szCs w:val="16"/>
        </w:rPr>
        <w:t xml:space="preserve"> </w:t>
      </w:r>
      <w:r w:rsidRPr="008568F5">
        <w:rPr>
          <w:b w:val="0"/>
          <w:sz w:val="16"/>
          <w:szCs w:val="16"/>
        </w:rPr>
        <w:t xml:space="preserve">Quelle: </w:t>
      </w:r>
      <w:proofErr w:type="spellStart"/>
      <w:r w:rsidRPr="008568F5">
        <w:rPr>
          <w:b w:val="0"/>
          <w:sz w:val="16"/>
          <w:szCs w:val="16"/>
        </w:rPr>
        <w:t>portfolio</w:t>
      </w:r>
      <w:proofErr w:type="spellEnd"/>
      <w:r w:rsidRPr="008568F5">
        <w:rPr>
          <w:b w:val="0"/>
          <w:sz w:val="16"/>
          <w:szCs w:val="16"/>
        </w:rPr>
        <w:t xml:space="preserve"> institutionell, Ausgabe April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AD"/>
    <w:rsid w:val="0015186F"/>
    <w:rsid w:val="002964BC"/>
    <w:rsid w:val="005B0DE4"/>
    <w:rsid w:val="00972BFB"/>
    <w:rsid w:val="00B40726"/>
    <w:rsid w:val="00E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E433-9D8C-4660-B397-94A675F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EAD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b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b w:val="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b w:val="0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b w:val="0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b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b w:val="0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b w:val="0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b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Cs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b w:val="0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b w:val="0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b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b w:val="0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b w:val="0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krper">
    <w:name w:val="Body Text"/>
    <w:basedOn w:val="Standard"/>
    <w:link w:val="TextkrperZchn"/>
    <w:semiHidden/>
    <w:rsid w:val="00E07EAD"/>
    <w:rPr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E07EAD"/>
    <w:rPr>
      <w:rFonts w:eastAsia="Times New Roman" w:cs="Times New Roman"/>
      <w:b/>
      <w:sz w:val="40"/>
      <w:lang w:eastAsia="de-DE"/>
    </w:rPr>
  </w:style>
  <w:style w:type="character" w:styleId="Hyperlink">
    <w:name w:val="Hyperlink"/>
    <w:semiHidden/>
    <w:rsid w:val="00E07EAD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E07EAD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07EAD"/>
    <w:rPr>
      <w:rFonts w:eastAsia="Times New Roman" w:cs="Times New Roman"/>
      <w:b/>
      <w:lang w:eastAsia="de-DE"/>
    </w:rPr>
  </w:style>
  <w:style w:type="character" w:styleId="Funotenzeichen">
    <w:name w:val="footnote reference"/>
    <w:semiHidden/>
    <w:rsid w:val="00E07EAD"/>
    <w:rPr>
      <w:vertAlign w:val="superscript"/>
    </w:rPr>
  </w:style>
  <w:style w:type="paragraph" w:styleId="berarbeitung">
    <w:name w:val="Revision"/>
    <w:hidden/>
    <w:semiHidden/>
    <w:rsid w:val="00E07EAD"/>
    <w:rPr>
      <w:rFonts w:eastAsia="Times New Roman" w:cs="Times New Roman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ner-reusch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2018-06-13T09:13:00Z</dcterms:created>
  <dcterms:modified xsi:type="dcterms:W3CDTF">2018-07-09T12:57:00Z</dcterms:modified>
</cp:coreProperties>
</file>