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AD" w:rsidRDefault="00FE4DAD" w:rsidP="000C547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-15456</wp:posOffset>
            </wp:positionH>
            <wp:positionV relativeFrom="paragraph">
              <wp:posOffset>-224087</wp:posOffset>
            </wp:positionV>
            <wp:extent cx="1378430" cy="733245"/>
            <wp:effectExtent l="19050" t="0" r="0" b="0"/>
            <wp:wrapNone/>
            <wp:docPr id="5" name="Picture 1" descr="wlng_as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ng_asia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30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2242868</wp:posOffset>
            </wp:positionH>
            <wp:positionV relativeFrom="paragraph">
              <wp:posOffset>-258793</wp:posOffset>
            </wp:positionV>
            <wp:extent cx="1104181" cy="767751"/>
            <wp:effectExtent l="0" t="0" r="719" b="0"/>
            <wp:wrapNone/>
            <wp:docPr id="6" name="Picture 0" descr="CWC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Group_Logo.png"/>
                    <pic:cNvPicPr/>
                  </pic:nvPicPr>
                  <pic:blipFill>
                    <a:blip r:embed="rId9" cstate="print"/>
                    <a:srcRect t="14458" r="1502" b="17470"/>
                    <a:stretch>
                      <a:fillRect/>
                    </a:stretch>
                  </pic:blipFill>
                  <pic:spPr>
                    <a:xfrm>
                      <a:off x="0" y="0"/>
                      <a:ext cx="1104181" cy="767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DAD" w:rsidRDefault="00FE4DAD" w:rsidP="000C5478">
      <w:pPr>
        <w:spacing w:after="0"/>
        <w:jc w:val="center"/>
      </w:pPr>
    </w:p>
    <w:p w:rsidR="00F91543" w:rsidRDefault="007E19A4" w:rsidP="000C5478">
      <w:pPr>
        <w:spacing w:after="0"/>
        <w:jc w:val="center"/>
      </w:pPr>
    </w:p>
    <w:p w:rsidR="000C5478" w:rsidRDefault="000C5478" w:rsidP="000C5478">
      <w:pPr>
        <w:spacing w:after="0"/>
        <w:jc w:val="center"/>
        <w:rPr>
          <w:sz w:val="32"/>
        </w:rPr>
      </w:pPr>
    </w:p>
    <w:p w:rsidR="00FE4DAD" w:rsidRDefault="00FE4DAD" w:rsidP="000C5478">
      <w:pPr>
        <w:spacing w:after="0"/>
        <w:jc w:val="center"/>
        <w:rPr>
          <w:sz w:val="32"/>
        </w:rPr>
      </w:pPr>
      <w:r w:rsidRPr="00FE4DAD">
        <w:rPr>
          <w:sz w:val="32"/>
        </w:rPr>
        <w:t>CWC Group Announces Dates</w:t>
      </w:r>
      <w:r w:rsidR="00A1554C">
        <w:rPr>
          <w:sz w:val="32"/>
        </w:rPr>
        <w:t xml:space="preserve"> and</w:t>
      </w:r>
      <w:r w:rsidRPr="00FE4DAD">
        <w:rPr>
          <w:sz w:val="32"/>
        </w:rPr>
        <w:t xml:space="preserve"> Speakers for the </w:t>
      </w:r>
    </w:p>
    <w:p w:rsidR="00FE4DAD" w:rsidRPr="00FE4DAD" w:rsidRDefault="00FE4DAD" w:rsidP="000C5478">
      <w:pPr>
        <w:spacing w:after="0"/>
        <w:jc w:val="center"/>
        <w:rPr>
          <w:sz w:val="32"/>
        </w:rPr>
      </w:pPr>
      <w:r w:rsidRPr="00FE4DAD">
        <w:rPr>
          <w:sz w:val="32"/>
        </w:rPr>
        <w:t>6</w:t>
      </w:r>
      <w:r w:rsidRPr="00FE4DAD">
        <w:rPr>
          <w:sz w:val="32"/>
          <w:vertAlign w:val="superscript"/>
        </w:rPr>
        <w:t>th</w:t>
      </w:r>
      <w:r w:rsidRPr="00FE4DAD">
        <w:rPr>
          <w:sz w:val="32"/>
        </w:rPr>
        <w:t xml:space="preserve"> World LNG Series</w:t>
      </w:r>
      <w:r w:rsidR="00060FBA">
        <w:rPr>
          <w:sz w:val="32"/>
        </w:rPr>
        <w:t>:</w:t>
      </w:r>
      <w:r w:rsidRPr="00FE4DAD">
        <w:rPr>
          <w:sz w:val="32"/>
        </w:rPr>
        <w:t xml:space="preserve"> Asia Pacific Summit</w:t>
      </w:r>
    </w:p>
    <w:p w:rsidR="00FE4DAD" w:rsidRDefault="00FE4DAD" w:rsidP="000C5478">
      <w:pPr>
        <w:spacing w:after="0"/>
        <w:jc w:val="center"/>
      </w:pPr>
    </w:p>
    <w:p w:rsidR="00FE4DAD" w:rsidRDefault="00FE4DAD" w:rsidP="000C5478">
      <w:pPr>
        <w:spacing w:after="0"/>
      </w:pPr>
    </w:p>
    <w:p w:rsidR="000C5478" w:rsidRDefault="00913851" w:rsidP="000C5478">
      <w:pPr>
        <w:spacing w:after="0"/>
      </w:pPr>
      <w:r>
        <w:t>30</w:t>
      </w:r>
      <w:r w:rsidR="00FE4DAD">
        <w:t xml:space="preserve"> April 2014 – LONDON, UK – The </w:t>
      </w:r>
      <w:hyperlink r:id="rId10" w:history="1">
        <w:r w:rsidR="00FE4DAD" w:rsidRPr="00FE4DAD">
          <w:rPr>
            <w:rStyle w:val="Hyperlink"/>
          </w:rPr>
          <w:t>6th World LNG Series</w:t>
        </w:r>
        <w:r w:rsidR="00060FBA">
          <w:rPr>
            <w:rStyle w:val="Hyperlink"/>
          </w:rPr>
          <w:t>:</w:t>
        </w:r>
        <w:r w:rsidR="00FE4DAD" w:rsidRPr="00FE4DAD">
          <w:rPr>
            <w:rStyle w:val="Hyperlink"/>
          </w:rPr>
          <w:t xml:space="preserve"> Asia Pacific Summit</w:t>
        </w:r>
      </w:hyperlink>
      <w:r w:rsidR="00FE4DAD">
        <w:t xml:space="preserve"> will take place from 23-2</w:t>
      </w:r>
      <w:r w:rsidR="00690931">
        <w:t>6</w:t>
      </w:r>
      <w:r w:rsidR="00FE4DAD">
        <w:t xml:space="preserve"> September 2014 at </w:t>
      </w:r>
      <w:r w:rsidR="00060FBA">
        <w:t>the</w:t>
      </w:r>
      <w:r w:rsidR="009467D5">
        <w:t xml:space="preserve"> newly refurbished</w:t>
      </w:r>
      <w:r w:rsidR="00060FBA">
        <w:t xml:space="preserve"> Grand Hyatt Hotel, Singapore. </w:t>
      </w:r>
      <w:r w:rsidR="000C5478">
        <w:t xml:space="preserve"> </w:t>
      </w:r>
    </w:p>
    <w:p w:rsidR="000C5478" w:rsidRDefault="000C5478" w:rsidP="000C5478">
      <w:pPr>
        <w:spacing w:after="0"/>
      </w:pPr>
    </w:p>
    <w:p w:rsidR="000C5478" w:rsidRDefault="000C5478" w:rsidP="000C5478">
      <w:pPr>
        <w:spacing w:after="0"/>
      </w:pPr>
      <w:r w:rsidRPr="000C5478">
        <w:t>“</w:t>
      </w:r>
      <w:r w:rsidR="00DB45BE">
        <w:t>C</w:t>
      </w:r>
      <w:r>
        <w:t>onference</w:t>
      </w:r>
      <w:r w:rsidR="00DB45BE">
        <w:t xml:space="preserve">s such as these are important to the LNG business in </w:t>
      </w:r>
      <w:r>
        <w:t>Asia</w:t>
      </w:r>
      <w:r w:rsidR="00DB45BE">
        <w:t>,</w:t>
      </w:r>
      <w:r>
        <w:t xml:space="preserve">” said </w:t>
      </w:r>
      <w:r w:rsidRPr="000C5478">
        <w:t>Patricia Roberts, Associate Director, CWC Group Ltd</w:t>
      </w:r>
      <w:r>
        <w:t>.</w:t>
      </w:r>
      <w:r w:rsidRPr="000C5478">
        <w:t xml:space="preserve"> </w:t>
      </w:r>
      <w:r>
        <w:t>She continued, “</w:t>
      </w:r>
      <w:r w:rsidR="00690931">
        <w:rPr>
          <w:rFonts w:ascii="Calibri" w:eastAsia="Times New Roman" w:hAnsi="Calibri" w:cs="Calibri"/>
        </w:rPr>
        <w:t xml:space="preserve">We are seeing several new LNG projects focusing their sales in the Asian market.  LNG agreements committing </w:t>
      </w:r>
      <w:r w:rsidR="00A1554C">
        <w:rPr>
          <w:rFonts w:ascii="Calibri" w:eastAsia="Times New Roman" w:hAnsi="Calibri" w:cs="Calibri"/>
        </w:rPr>
        <w:t>long-</w:t>
      </w:r>
      <w:r w:rsidR="00690931">
        <w:rPr>
          <w:rFonts w:ascii="Calibri" w:eastAsia="Times New Roman" w:hAnsi="Calibri" w:cs="Calibri"/>
        </w:rPr>
        <w:t>term volumes to Asia are being signed by a variety of established players as well as new inter-regional sellers.  The Asian region is expected to grow strongly over the next decade and remain the pace-setter of the global industry</w:t>
      </w:r>
      <w:r w:rsidR="00995668">
        <w:t xml:space="preserve">. That is why </w:t>
      </w:r>
      <w:r w:rsidR="002B1AF7">
        <w:t xml:space="preserve">the </w:t>
      </w:r>
      <w:r w:rsidR="0050292A">
        <w:t xml:space="preserve">inter-personal relationships made </w:t>
      </w:r>
      <w:r w:rsidR="007141A9">
        <w:t>at this S</w:t>
      </w:r>
      <w:r w:rsidR="002B1AF7">
        <w:t>ummit prove critical over the long term</w:t>
      </w:r>
      <w:r w:rsidRPr="000C5478">
        <w:t>”.</w:t>
      </w:r>
    </w:p>
    <w:p w:rsidR="000C5478" w:rsidRDefault="000C5478" w:rsidP="000C5478">
      <w:pPr>
        <w:spacing w:after="0"/>
      </w:pPr>
    </w:p>
    <w:p w:rsidR="00913851" w:rsidRDefault="00913851" w:rsidP="00913851">
      <w:pPr>
        <w:spacing w:after="0"/>
      </w:pPr>
      <w:r>
        <w:t xml:space="preserve">In addition to the conference and networking events, delegates are exclusively invited to tour the Singapore LNG Terminal (SLNG) – the first LNG terminal in Singapore. </w:t>
      </w:r>
      <w:r w:rsidRPr="00EA4C87">
        <w:t>Th</w:t>
      </w:r>
      <w:r>
        <w:t xml:space="preserve">is </w:t>
      </w:r>
      <w:r w:rsidRPr="00EA4C87">
        <w:t xml:space="preserve">S$1.7 billion </w:t>
      </w:r>
      <w:r>
        <w:t xml:space="preserve">facility </w:t>
      </w:r>
      <w:r w:rsidRPr="00EA4C87">
        <w:t xml:space="preserve">commenced operations </w:t>
      </w:r>
      <w:r>
        <w:t xml:space="preserve">in </w:t>
      </w:r>
      <w:r w:rsidRPr="00EA4C87">
        <w:t>May 2013</w:t>
      </w:r>
      <w:r>
        <w:t xml:space="preserve"> and it</w:t>
      </w:r>
      <w:r w:rsidRPr="00EA4C87">
        <w:t xml:space="preserve"> is a critical infrastructure that </w:t>
      </w:r>
      <w:r w:rsidRPr="00A9052E">
        <w:t>ensur</w:t>
      </w:r>
      <w:r>
        <w:t>es</w:t>
      </w:r>
      <w:r w:rsidRPr="00A9052E">
        <w:t xml:space="preserve"> the security of supply sources to meet Singapore’s energy demand.</w:t>
      </w:r>
      <w:r>
        <w:t xml:space="preserve"> </w:t>
      </w:r>
      <w:r w:rsidRPr="00EA4C87">
        <w:t xml:space="preserve">The </w:t>
      </w:r>
      <w:r>
        <w:t>Terminal</w:t>
      </w:r>
      <w:r w:rsidRPr="00EA4C87">
        <w:t xml:space="preserve"> is designed to serve multiple users</w:t>
      </w:r>
      <w:r>
        <w:t xml:space="preserve"> and </w:t>
      </w:r>
      <w:r w:rsidRPr="00EA4C87">
        <w:t>support the development of Singapore as an LNG hub for the region.</w:t>
      </w:r>
      <w:r>
        <w:t xml:space="preserve">  </w:t>
      </w:r>
    </w:p>
    <w:p w:rsidR="00913851" w:rsidRDefault="00913851" w:rsidP="00913851">
      <w:pPr>
        <w:spacing w:after="0"/>
      </w:pPr>
    </w:p>
    <w:p w:rsidR="00690931" w:rsidRDefault="00FE4DAD" w:rsidP="000C5478">
      <w:pPr>
        <w:spacing w:after="0"/>
      </w:pPr>
      <w:r>
        <w:t>Speakers confirmed for the event</w:t>
      </w:r>
      <w:r w:rsidR="000C5478">
        <w:t xml:space="preserve"> </w:t>
      </w:r>
      <w:r w:rsidR="00A1554C">
        <w:t xml:space="preserve">currently </w:t>
      </w:r>
      <w:bookmarkStart w:id="0" w:name="_GoBack"/>
      <w:bookmarkEnd w:id="0"/>
      <w:r w:rsidR="000C5478">
        <w:t>include</w:t>
      </w:r>
      <w:r w:rsidR="000D6540">
        <w:t>:</w:t>
      </w:r>
    </w:p>
    <w:p w:rsidR="00690931" w:rsidRDefault="00690931" w:rsidP="000D654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Jonty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Shepard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COO- LNG</w:t>
      </w:r>
      <w:r>
        <w:rPr>
          <w:b/>
          <w:bCs/>
          <w:sz w:val="22"/>
          <w:szCs w:val="22"/>
        </w:rPr>
        <w:t xml:space="preserve">, BP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Philip Olivier, </w:t>
      </w:r>
      <w:r>
        <w:rPr>
          <w:sz w:val="22"/>
          <w:szCs w:val="22"/>
        </w:rPr>
        <w:t>President</w:t>
      </w:r>
      <w:r>
        <w:rPr>
          <w:b/>
          <w:bCs/>
          <w:sz w:val="22"/>
          <w:szCs w:val="22"/>
        </w:rPr>
        <w:t xml:space="preserve">, GDF Suez LNG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Stephan </w:t>
      </w:r>
      <w:proofErr w:type="spellStart"/>
      <w:proofErr w:type="gramStart"/>
      <w:r>
        <w:rPr>
          <w:b/>
          <w:bCs/>
          <w:sz w:val="22"/>
          <w:szCs w:val="22"/>
        </w:rPr>
        <w:t>Roeper</w:t>
      </w:r>
      <w:proofErr w:type="spellEnd"/>
      <w:r>
        <w:rPr>
          <w:b/>
          <w:bCs/>
          <w:sz w:val="22"/>
          <w:szCs w:val="22"/>
        </w:rPr>
        <w:t xml:space="preserve"> ,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Vice President LNG Marketing</w:t>
      </w:r>
      <w:r>
        <w:rPr>
          <w:b/>
          <w:bCs/>
          <w:sz w:val="22"/>
          <w:szCs w:val="22"/>
        </w:rPr>
        <w:t xml:space="preserve">, ExxonMobil Asia Pacific Pte. Ltd.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Rajeev </w:t>
      </w:r>
      <w:proofErr w:type="spellStart"/>
      <w:r>
        <w:rPr>
          <w:b/>
          <w:bCs/>
          <w:sz w:val="22"/>
          <w:szCs w:val="22"/>
        </w:rPr>
        <w:t>Mathur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Executive Director, </w:t>
      </w:r>
      <w:r>
        <w:rPr>
          <w:b/>
          <w:bCs/>
          <w:sz w:val="22"/>
          <w:szCs w:val="22"/>
        </w:rPr>
        <w:t xml:space="preserve">GAIL (India) Ltd.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Yasushi Sakakibara, </w:t>
      </w:r>
      <w:r>
        <w:rPr>
          <w:sz w:val="22"/>
          <w:szCs w:val="22"/>
        </w:rPr>
        <w:t xml:space="preserve">Chief Representative, Asia Pacific Regional Office, </w:t>
      </w:r>
      <w:r>
        <w:rPr>
          <w:b/>
          <w:bCs/>
          <w:sz w:val="22"/>
          <w:szCs w:val="22"/>
        </w:rPr>
        <w:t xml:space="preserve">Tokyo Gas Co. Ltd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Martin Lambert, </w:t>
      </w:r>
      <w:r>
        <w:rPr>
          <w:sz w:val="22"/>
          <w:szCs w:val="22"/>
        </w:rPr>
        <w:t xml:space="preserve">Senior Vice President, </w:t>
      </w:r>
      <w:r>
        <w:rPr>
          <w:b/>
          <w:bCs/>
          <w:sz w:val="22"/>
          <w:szCs w:val="22"/>
        </w:rPr>
        <w:t xml:space="preserve">NWS Australia LNG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Andrew </w:t>
      </w:r>
      <w:proofErr w:type="spellStart"/>
      <w:r>
        <w:rPr>
          <w:b/>
          <w:bCs/>
          <w:sz w:val="22"/>
          <w:szCs w:val="22"/>
        </w:rPr>
        <w:t>Seck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Assistant Director East of Suez Marketing, </w:t>
      </w:r>
      <w:proofErr w:type="spellStart"/>
      <w:r>
        <w:rPr>
          <w:b/>
          <w:bCs/>
          <w:sz w:val="22"/>
          <w:szCs w:val="22"/>
        </w:rPr>
        <w:t>Qatargas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Masahiro Nakamura</w:t>
      </w:r>
      <w:r>
        <w:rPr>
          <w:sz w:val="22"/>
          <w:szCs w:val="22"/>
        </w:rPr>
        <w:t xml:space="preserve">, Manager of Planning- Fuels Department, </w:t>
      </w:r>
      <w:r>
        <w:rPr>
          <w:b/>
          <w:bCs/>
          <w:sz w:val="22"/>
          <w:szCs w:val="22"/>
        </w:rPr>
        <w:t xml:space="preserve">Chubu Electric Power Co.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 Anthony Barker, </w:t>
      </w:r>
      <w:r>
        <w:rPr>
          <w:sz w:val="22"/>
          <w:szCs w:val="22"/>
        </w:rPr>
        <w:t xml:space="preserve">General Manager, </w:t>
      </w:r>
      <w:r>
        <w:rPr>
          <w:b/>
          <w:bCs/>
          <w:sz w:val="22"/>
          <w:szCs w:val="22"/>
        </w:rPr>
        <w:t xml:space="preserve">BG Singapore Gas Marketing Pte Ltd.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Rod Duke, </w:t>
      </w:r>
      <w:r>
        <w:rPr>
          <w:sz w:val="22"/>
          <w:szCs w:val="22"/>
        </w:rPr>
        <w:t xml:space="preserve">Vice President Gladstone LNG, </w:t>
      </w:r>
      <w:r>
        <w:rPr>
          <w:b/>
          <w:bCs/>
          <w:sz w:val="22"/>
          <w:szCs w:val="22"/>
        </w:rPr>
        <w:t xml:space="preserve">Santos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Joanna </w:t>
      </w:r>
      <w:proofErr w:type="spellStart"/>
      <w:r>
        <w:rPr>
          <w:b/>
          <w:bCs/>
          <w:sz w:val="22"/>
          <w:szCs w:val="22"/>
        </w:rPr>
        <w:t>Hardinge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Director LNG Marketing- Asia</w:t>
      </w:r>
      <w:r>
        <w:rPr>
          <w:b/>
          <w:bCs/>
          <w:sz w:val="22"/>
          <w:szCs w:val="22"/>
        </w:rPr>
        <w:t xml:space="preserve">, Gazprom Marketing &amp; Trading Singapore </w:t>
      </w:r>
    </w:p>
    <w:p w:rsidR="00690931" w:rsidRDefault="00690931" w:rsidP="00690931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Asish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Mohanty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Director</w:t>
      </w:r>
      <w:r>
        <w:rPr>
          <w:b/>
          <w:bCs/>
          <w:sz w:val="22"/>
          <w:szCs w:val="22"/>
        </w:rPr>
        <w:t xml:space="preserve">, Galway Group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Sid Bambawale, </w:t>
      </w:r>
      <w:r>
        <w:rPr>
          <w:sz w:val="22"/>
          <w:szCs w:val="22"/>
        </w:rPr>
        <w:t xml:space="preserve">Director LNG, </w:t>
      </w:r>
      <w:r>
        <w:rPr>
          <w:b/>
          <w:bCs/>
          <w:sz w:val="22"/>
          <w:szCs w:val="22"/>
        </w:rPr>
        <w:t xml:space="preserve">Citi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 </w:t>
      </w:r>
      <w:proofErr w:type="spellStart"/>
      <w:r>
        <w:rPr>
          <w:b/>
          <w:bCs/>
          <w:sz w:val="22"/>
          <w:szCs w:val="22"/>
        </w:rPr>
        <w:t>da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Roza</w:t>
      </w:r>
      <w:proofErr w:type="spellEnd"/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Manager, LNG Trading &amp; Origination, </w:t>
      </w:r>
      <w:r>
        <w:rPr>
          <w:b/>
          <w:bCs/>
          <w:sz w:val="22"/>
          <w:szCs w:val="22"/>
        </w:rPr>
        <w:t xml:space="preserve">ConocoPhillips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Debbie Turner</w:t>
      </w:r>
      <w:r>
        <w:rPr>
          <w:sz w:val="22"/>
          <w:szCs w:val="22"/>
        </w:rPr>
        <w:t xml:space="preserve">, Director- Senior Shipping Advisor, </w:t>
      </w:r>
      <w:r>
        <w:rPr>
          <w:b/>
          <w:bCs/>
          <w:sz w:val="22"/>
          <w:szCs w:val="22"/>
        </w:rPr>
        <w:t xml:space="preserve">SSY Gas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Dan Rogers, </w:t>
      </w:r>
      <w:r>
        <w:rPr>
          <w:sz w:val="22"/>
          <w:szCs w:val="22"/>
        </w:rPr>
        <w:t xml:space="preserve">Partner, </w:t>
      </w:r>
      <w:r>
        <w:rPr>
          <w:b/>
          <w:bCs/>
          <w:sz w:val="22"/>
          <w:szCs w:val="22"/>
        </w:rPr>
        <w:t xml:space="preserve">King &amp; Spalding (Singapore) LLP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Raj Goswami, </w:t>
      </w:r>
      <w:r>
        <w:rPr>
          <w:sz w:val="22"/>
          <w:szCs w:val="22"/>
        </w:rPr>
        <w:t xml:space="preserve">Head of Gas &amp; Consulting for Asia &amp; Middle East, </w:t>
      </w:r>
      <w:r>
        <w:rPr>
          <w:b/>
          <w:bCs/>
          <w:sz w:val="22"/>
          <w:szCs w:val="22"/>
        </w:rPr>
        <w:t xml:space="preserve">Wood Mackenzie </w:t>
      </w:r>
    </w:p>
    <w:p w:rsidR="00690931" w:rsidRDefault="00690931" w:rsidP="006909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 Roberts, </w:t>
      </w:r>
      <w:r>
        <w:rPr>
          <w:sz w:val="22"/>
          <w:szCs w:val="22"/>
        </w:rPr>
        <w:t xml:space="preserve">Associate Director – Gas, </w:t>
      </w:r>
      <w:r>
        <w:rPr>
          <w:b/>
          <w:bCs/>
          <w:sz w:val="22"/>
          <w:szCs w:val="22"/>
        </w:rPr>
        <w:t xml:space="preserve">CWC Group Ltd. </w:t>
      </w:r>
    </w:p>
    <w:p w:rsidR="00690931" w:rsidRDefault="00690931" w:rsidP="00690931">
      <w:pPr>
        <w:spacing w:after="0"/>
      </w:pPr>
      <w:r>
        <w:rPr>
          <w:b/>
          <w:bCs/>
        </w:rPr>
        <w:t xml:space="preserve">Merrick White, </w:t>
      </w:r>
      <w:r>
        <w:t xml:space="preserve">Partner, </w:t>
      </w:r>
      <w:r>
        <w:rPr>
          <w:b/>
          <w:bCs/>
        </w:rPr>
        <w:t>King &amp; Spalding (Singapore) LLP</w:t>
      </w:r>
    </w:p>
    <w:p w:rsidR="00690931" w:rsidRDefault="00690931" w:rsidP="000C5478">
      <w:pPr>
        <w:spacing w:after="0"/>
      </w:pPr>
    </w:p>
    <w:p w:rsidR="00EB2B71" w:rsidRPr="00EB2B71" w:rsidRDefault="009E67D8" w:rsidP="00EB2B71">
      <w:pPr>
        <w:spacing w:after="0"/>
      </w:pPr>
      <w:r w:rsidRPr="00EB2B71">
        <w:lastRenderedPageBreak/>
        <w:t>I</w:t>
      </w:r>
      <w:r w:rsidR="00D50F95" w:rsidRPr="00EB2B71">
        <w:t>n 2013</w:t>
      </w:r>
      <w:r w:rsidRPr="00EB2B71">
        <w:t xml:space="preserve">, some </w:t>
      </w:r>
      <w:r w:rsidR="0086042E" w:rsidRPr="00EB2B71">
        <w:t>35</w:t>
      </w:r>
      <w:r w:rsidRPr="00EB2B71">
        <w:t>0 delegates attend</w:t>
      </w:r>
      <w:r w:rsidR="00D50F95" w:rsidRPr="00EB2B71">
        <w:t>ed</w:t>
      </w:r>
      <w:r w:rsidRPr="00EB2B71">
        <w:t xml:space="preserve"> the Summit. A</w:t>
      </w:r>
      <w:r w:rsidR="00913851">
        <w:t xml:space="preserve"> larger</w:t>
      </w:r>
      <w:r w:rsidRPr="00EB2B71">
        <w:t xml:space="preserve"> number, representing at least </w:t>
      </w:r>
      <w:r w:rsidR="0086042E" w:rsidRPr="00EB2B71">
        <w:t>30</w:t>
      </w:r>
      <w:r w:rsidRPr="00EB2B71">
        <w:t xml:space="preserve"> countries are expected this year.  </w:t>
      </w:r>
      <w:r w:rsidR="00EB28CA">
        <w:t>S</w:t>
      </w:r>
      <w:r w:rsidR="009467D5">
        <w:t>ponsors of the event currently include</w:t>
      </w:r>
      <w:r w:rsidRPr="00EB2B71">
        <w:t xml:space="preserve"> </w:t>
      </w:r>
      <w:proofErr w:type="spellStart"/>
      <w:r w:rsidR="00EB2B71" w:rsidRPr="00EB2B71">
        <w:t>Trafigura</w:t>
      </w:r>
      <w:proofErr w:type="spellEnd"/>
      <w:r w:rsidR="00EB2B71" w:rsidRPr="00EB2B71">
        <w:t xml:space="preserve">, </w:t>
      </w:r>
      <w:proofErr w:type="spellStart"/>
      <w:r w:rsidR="00EB2B71" w:rsidRPr="00EB2B71">
        <w:t>Cheniere</w:t>
      </w:r>
      <w:proofErr w:type="spellEnd"/>
      <w:r w:rsidR="00EB2B71" w:rsidRPr="00EB2B71">
        <w:t xml:space="preserve">, Oman LNG, ABS, Exxon Mobil, BP, </w:t>
      </w:r>
      <w:proofErr w:type="spellStart"/>
      <w:r w:rsidR="00EB2B71" w:rsidRPr="00EB2B71">
        <w:t>ConocoPhilips</w:t>
      </w:r>
      <w:proofErr w:type="spellEnd"/>
      <w:r w:rsidR="00EB2B71" w:rsidRPr="00EB2B71">
        <w:t xml:space="preserve">, </w:t>
      </w:r>
      <w:proofErr w:type="spellStart"/>
      <w:r w:rsidR="00EB2B71" w:rsidRPr="00EB2B71">
        <w:t>Gazprom</w:t>
      </w:r>
      <w:proofErr w:type="spellEnd"/>
      <w:r w:rsidR="00EB2B71" w:rsidRPr="00EB2B71">
        <w:t xml:space="preserve">, Galway Group, </w:t>
      </w:r>
      <w:proofErr w:type="gramStart"/>
      <w:r w:rsidR="00EB2B71" w:rsidRPr="00EB2B71">
        <w:t>King &amp;</w:t>
      </w:r>
      <w:proofErr w:type="gramEnd"/>
      <w:r w:rsidR="00EB2B71" w:rsidRPr="00EB2B71">
        <w:t xml:space="preserve"> Spalding and GTT.</w:t>
      </w:r>
    </w:p>
    <w:p w:rsidR="00EB2B71" w:rsidRPr="00EB2B71" w:rsidRDefault="00EB2B71" w:rsidP="00EB2B71">
      <w:pPr>
        <w:spacing w:after="0"/>
      </w:pPr>
    </w:p>
    <w:p w:rsidR="009C024C" w:rsidRDefault="009C024C" w:rsidP="00EB2B71">
      <w:pPr>
        <w:spacing w:after="0"/>
      </w:pPr>
      <w:r w:rsidRPr="00EB2B71">
        <w:t>- ENDS -</w:t>
      </w:r>
    </w:p>
    <w:p w:rsidR="009E67D8" w:rsidRDefault="009E67D8" w:rsidP="000C5478">
      <w:pPr>
        <w:spacing w:after="0"/>
      </w:pPr>
    </w:p>
    <w:p w:rsidR="009E67D8" w:rsidRDefault="009E67D8" w:rsidP="000C5478">
      <w:pPr>
        <w:spacing w:after="0"/>
      </w:pPr>
    </w:p>
    <w:sectPr w:rsidR="009E67D8" w:rsidSect="00C02C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A4" w:rsidRDefault="007E19A4" w:rsidP="00FE4DAD">
      <w:pPr>
        <w:spacing w:after="0" w:line="240" w:lineRule="auto"/>
      </w:pPr>
      <w:r>
        <w:separator/>
      </w:r>
    </w:p>
  </w:endnote>
  <w:endnote w:type="continuationSeparator" w:id="0">
    <w:p w:rsidR="007E19A4" w:rsidRDefault="007E19A4" w:rsidP="00FE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A4" w:rsidRDefault="007E19A4" w:rsidP="00FE4DAD">
      <w:pPr>
        <w:spacing w:after="0" w:line="240" w:lineRule="auto"/>
      </w:pPr>
      <w:r>
        <w:separator/>
      </w:r>
    </w:p>
  </w:footnote>
  <w:footnote w:type="continuationSeparator" w:id="0">
    <w:p w:rsidR="007E19A4" w:rsidRDefault="007E19A4" w:rsidP="00FE4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5B4"/>
    <w:multiLevelType w:val="hybridMultilevel"/>
    <w:tmpl w:val="7E9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E09F5"/>
    <w:multiLevelType w:val="hybridMultilevel"/>
    <w:tmpl w:val="708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2C55"/>
    <w:rsid w:val="00060FBA"/>
    <w:rsid w:val="000C5478"/>
    <w:rsid w:val="000D58AF"/>
    <w:rsid w:val="000D6540"/>
    <w:rsid w:val="001156E4"/>
    <w:rsid w:val="00206837"/>
    <w:rsid w:val="00280C72"/>
    <w:rsid w:val="002B1AF7"/>
    <w:rsid w:val="00483307"/>
    <w:rsid w:val="0050292A"/>
    <w:rsid w:val="00510E88"/>
    <w:rsid w:val="00535CBE"/>
    <w:rsid w:val="005F47F5"/>
    <w:rsid w:val="00690931"/>
    <w:rsid w:val="006B2779"/>
    <w:rsid w:val="007141A9"/>
    <w:rsid w:val="007E19A4"/>
    <w:rsid w:val="0086042E"/>
    <w:rsid w:val="00913851"/>
    <w:rsid w:val="009467D5"/>
    <w:rsid w:val="00995668"/>
    <w:rsid w:val="009C024C"/>
    <w:rsid w:val="009E0300"/>
    <w:rsid w:val="009E67D8"/>
    <w:rsid w:val="00A1554C"/>
    <w:rsid w:val="00B25F5F"/>
    <w:rsid w:val="00B506C8"/>
    <w:rsid w:val="00C02C55"/>
    <w:rsid w:val="00C2637B"/>
    <w:rsid w:val="00CC15F0"/>
    <w:rsid w:val="00D16A55"/>
    <w:rsid w:val="00D50F95"/>
    <w:rsid w:val="00DA5308"/>
    <w:rsid w:val="00DB45BE"/>
    <w:rsid w:val="00DD1736"/>
    <w:rsid w:val="00E44B49"/>
    <w:rsid w:val="00EB28CA"/>
    <w:rsid w:val="00EB2B71"/>
    <w:rsid w:val="00F53F04"/>
    <w:rsid w:val="00FA00E1"/>
    <w:rsid w:val="00FA1DCC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AD"/>
  </w:style>
  <w:style w:type="paragraph" w:styleId="Footer">
    <w:name w:val="footer"/>
    <w:basedOn w:val="Normal"/>
    <w:link w:val="FooterChar"/>
    <w:uiPriority w:val="99"/>
    <w:semiHidden/>
    <w:unhideWhenUsed/>
    <w:rsid w:val="00F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DAD"/>
  </w:style>
  <w:style w:type="character" w:styleId="Hyperlink">
    <w:name w:val="Hyperlink"/>
    <w:basedOn w:val="DefaultParagraphFont"/>
    <w:uiPriority w:val="99"/>
    <w:unhideWhenUsed/>
    <w:rsid w:val="00FE4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68"/>
    <w:rPr>
      <w:b/>
      <w:bCs/>
      <w:sz w:val="20"/>
      <w:szCs w:val="20"/>
    </w:rPr>
  </w:style>
  <w:style w:type="paragraph" w:customStyle="1" w:styleId="Default">
    <w:name w:val="Default"/>
    <w:rsid w:val="0069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DAD"/>
  </w:style>
  <w:style w:type="paragraph" w:styleId="Footer">
    <w:name w:val="footer"/>
    <w:basedOn w:val="Normal"/>
    <w:link w:val="FooterChar"/>
    <w:uiPriority w:val="99"/>
    <w:semiHidden/>
    <w:unhideWhenUsed/>
    <w:rsid w:val="00FE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DAD"/>
  </w:style>
  <w:style w:type="character" w:styleId="Hyperlink">
    <w:name w:val="Hyperlink"/>
    <w:basedOn w:val="DefaultParagraphFont"/>
    <w:uiPriority w:val="99"/>
    <w:unhideWhenUsed/>
    <w:rsid w:val="00FE4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68"/>
    <w:rPr>
      <w:b/>
      <w:bCs/>
      <w:sz w:val="20"/>
      <w:szCs w:val="20"/>
    </w:rPr>
  </w:style>
  <w:style w:type="paragraph" w:customStyle="1" w:styleId="Default">
    <w:name w:val="Default"/>
    <w:rsid w:val="0069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siapacific.cwclng.com/summit/2014-speak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527F-F50D-454A-936D-D8FC7F22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2</cp:revision>
  <dcterms:created xsi:type="dcterms:W3CDTF">2014-04-30T02:06:00Z</dcterms:created>
  <dcterms:modified xsi:type="dcterms:W3CDTF">2014-04-30T02:06:00Z</dcterms:modified>
</cp:coreProperties>
</file>