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lang w:val="en-US" w:eastAsia="en-US"/>
        </w:rPr>
        <w:drawing>
          <wp:inline distT="0" distB="0" distL="0" distR="0" wp14:anchorId="19B015DC" wp14:editId="1343473B">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9"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DC49A3">
        <w:rPr>
          <w:rFonts w:ascii="Arial" w:hAnsi="Arial" w:cs="Arial"/>
        </w:rPr>
        <w:t>2014-</w:t>
      </w:r>
      <w:r w:rsidR="00B17F29">
        <w:rPr>
          <w:rFonts w:ascii="Arial" w:hAnsi="Arial" w:cs="Arial"/>
        </w:rPr>
        <w:t>08-27</w:t>
      </w:r>
      <w:r w:rsidR="00C50057">
        <w:rPr>
          <w:position w:val="-54"/>
        </w:rPr>
        <w:tab/>
      </w:r>
      <w:r w:rsidR="00C50057">
        <w:rPr>
          <w:b/>
          <w:bCs/>
        </w:rPr>
        <w:tab/>
      </w:r>
      <w:r w:rsidR="00C50057">
        <w:rPr>
          <w:b/>
          <w:bCs/>
        </w:rPr>
        <w:tab/>
      </w:r>
      <w:r w:rsidR="00C50057">
        <w:rPr>
          <w:rFonts w:ascii="Arial" w:hAnsi="Arial" w:cs="Arial"/>
          <w:b/>
          <w:bCs/>
          <w:position w:val="36"/>
          <w:sz w:val="22"/>
        </w:rPr>
        <w:t xml:space="preserve">       </w:t>
      </w:r>
    </w:p>
    <w:p w:rsidR="00BD7E6E" w:rsidRDefault="00BD7E6E" w:rsidP="001859B9">
      <w:pPr>
        <w:rPr>
          <w:rFonts w:ascii="Arial" w:hAnsi="Arial" w:cs="Arial"/>
          <w:b/>
          <w:color w:val="000000"/>
          <w:sz w:val="22"/>
          <w:szCs w:val="22"/>
        </w:rPr>
      </w:pPr>
    </w:p>
    <w:p w:rsidR="00BD7E6E" w:rsidRDefault="00BD7E6E" w:rsidP="001859B9">
      <w:pPr>
        <w:rPr>
          <w:rFonts w:ascii="Arial" w:hAnsi="Arial" w:cs="Arial"/>
          <w:b/>
          <w:color w:val="000000"/>
          <w:sz w:val="22"/>
          <w:szCs w:val="22"/>
        </w:rPr>
      </w:pPr>
    </w:p>
    <w:p w:rsidR="001859B9" w:rsidRPr="00F22A9F" w:rsidRDefault="00441F40" w:rsidP="001859B9">
      <w:pPr>
        <w:rPr>
          <w:rFonts w:ascii="Arial" w:hAnsi="Arial" w:cs="Arial"/>
          <w:b/>
          <w:color w:val="000000"/>
          <w:sz w:val="28"/>
          <w:szCs w:val="28"/>
        </w:rPr>
      </w:pPr>
      <w:r w:rsidRPr="00F22A9F">
        <w:rPr>
          <w:rFonts w:ascii="Arial" w:hAnsi="Arial" w:cs="Arial"/>
          <w:b/>
          <w:color w:val="000000"/>
          <w:sz w:val="28"/>
          <w:szCs w:val="28"/>
        </w:rPr>
        <w:t>FTI:s å</w:t>
      </w:r>
      <w:r w:rsidR="001859B9" w:rsidRPr="00F22A9F">
        <w:rPr>
          <w:rFonts w:ascii="Arial" w:hAnsi="Arial" w:cs="Arial"/>
          <w:b/>
          <w:color w:val="000000"/>
          <w:sz w:val="28"/>
          <w:szCs w:val="28"/>
        </w:rPr>
        <w:t>tervinningsresultat för 201</w:t>
      </w:r>
      <w:r w:rsidR="00DC49A3" w:rsidRPr="00F22A9F">
        <w:rPr>
          <w:rFonts w:ascii="Arial" w:hAnsi="Arial" w:cs="Arial"/>
          <w:b/>
          <w:color w:val="000000"/>
          <w:sz w:val="28"/>
          <w:szCs w:val="28"/>
        </w:rPr>
        <w:t>3</w:t>
      </w:r>
      <w:r w:rsidRPr="00F22A9F">
        <w:rPr>
          <w:rFonts w:ascii="Arial" w:hAnsi="Arial" w:cs="Arial"/>
          <w:b/>
          <w:color w:val="000000"/>
          <w:sz w:val="28"/>
          <w:szCs w:val="28"/>
        </w:rPr>
        <w:t xml:space="preserve"> överträffar </w:t>
      </w:r>
      <w:r w:rsidR="00F22A9F" w:rsidRPr="00F22A9F">
        <w:rPr>
          <w:rFonts w:ascii="Arial" w:hAnsi="Arial" w:cs="Arial"/>
          <w:b/>
          <w:color w:val="000000"/>
          <w:sz w:val="28"/>
          <w:szCs w:val="28"/>
        </w:rPr>
        <w:t>regeringens</w:t>
      </w:r>
      <w:r w:rsidRPr="00F22A9F">
        <w:rPr>
          <w:rFonts w:ascii="Arial" w:hAnsi="Arial" w:cs="Arial"/>
          <w:b/>
          <w:color w:val="000000"/>
          <w:sz w:val="28"/>
          <w:szCs w:val="28"/>
        </w:rPr>
        <w:t xml:space="preserve"> alla mål</w:t>
      </w:r>
    </w:p>
    <w:p w:rsidR="00AC029B" w:rsidRPr="00EC63F8" w:rsidRDefault="00AC029B" w:rsidP="001859B9">
      <w:pPr>
        <w:rPr>
          <w:rFonts w:ascii="Arial" w:hAnsi="Arial" w:cs="Arial"/>
          <w:b/>
          <w:color w:val="000000"/>
          <w:sz w:val="22"/>
          <w:szCs w:val="22"/>
        </w:rPr>
      </w:pPr>
    </w:p>
    <w:p w:rsidR="00AC029B" w:rsidRDefault="00441F40" w:rsidP="001859B9">
      <w:pPr>
        <w:rPr>
          <w:rFonts w:ascii="Arial" w:hAnsi="Arial" w:cs="Arial"/>
          <w:color w:val="000000"/>
          <w:sz w:val="22"/>
          <w:szCs w:val="22"/>
        </w:rPr>
      </w:pPr>
      <w:r>
        <w:rPr>
          <w:rFonts w:ascii="Arial" w:hAnsi="Arial" w:cs="Arial"/>
          <w:color w:val="000000"/>
          <w:sz w:val="22"/>
          <w:szCs w:val="22"/>
        </w:rPr>
        <w:t>Resultatet för återvinning av förpackningar och tidningar under</w:t>
      </w:r>
      <w:r w:rsidRPr="00441F40">
        <w:rPr>
          <w:rFonts w:ascii="Arial" w:hAnsi="Arial" w:cs="Arial"/>
          <w:color w:val="000000"/>
          <w:sz w:val="22"/>
          <w:szCs w:val="22"/>
        </w:rPr>
        <w:t xml:space="preserve"> 2013</w:t>
      </w:r>
      <w:r>
        <w:rPr>
          <w:rFonts w:ascii="Arial" w:hAnsi="Arial" w:cs="Arial"/>
          <w:color w:val="000000"/>
          <w:sz w:val="22"/>
          <w:szCs w:val="22"/>
        </w:rPr>
        <w:t>,</w:t>
      </w:r>
      <w:r w:rsidRPr="00441F40">
        <w:rPr>
          <w:rFonts w:ascii="Arial" w:hAnsi="Arial" w:cs="Arial"/>
          <w:color w:val="000000"/>
          <w:sz w:val="22"/>
          <w:szCs w:val="22"/>
        </w:rPr>
        <w:t xml:space="preserve"> </w:t>
      </w:r>
      <w:r w:rsidR="00536EAF" w:rsidRPr="00441F40">
        <w:rPr>
          <w:rFonts w:ascii="Arial" w:hAnsi="Arial" w:cs="Arial"/>
          <w:color w:val="000000"/>
          <w:sz w:val="22"/>
          <w:szCs w:val="22"/>
        </w:rPr>
        <w:t>för producenter anslutna till</w:t>
      </w:r>
      <w:r w:rsidR="000677C1" w:rsidRPr="00441F40">
        <w:rPr>
          <w:rFonts w:ascii="Arial" w:hAnsi="Arial" w:cs="Arial"/>
          <w:color w:val="000000"/>
          <w:sz w:val="22"/>
          <w:szCs w:val="22"/>
        </w:rPr>
        <w:t xml:space="preserve"> Förpacknings- och Tidningsinsamlingens (FTI) </w:t>
      </w:r>
      <w:r>
        <w:rPr>
          <w:rFonts w:ascii="Arial" w:hAnsi="Arial" w:cs="Arial"/>
          <w:color w:val="000000"/>
          <w:sz w:val="22"/>
          <w:szCs w:val="22"/>
        </w:rPr>
        <w:t>redovisades för</w:t>
      </w:r>
      <w:r w:rsidR="00536EAF" w:rsidRPr="00441F40">
        <w:rPr>
          <w:rFonts w:ascii="Arial" w:hAnsi="Arial" w:cs="Arial"/>
          <w:color w:val="000000"/>
          <w:sz w:val="22"/>
          <w:szCs w:val="22"/>
        </w:rPr>
        <w:t xml:space="preserve"> Naturvårds</w:t>
      </w:r>
      <w:r w:rsidR="00AC029B" w:rsidRPr="00441F40">
        <w:rPr>
          <w:rFonts w:ascii="Arial" w:hAnsi="Arial" w:cs="Arial"/>
          <w:color w:val="000000"/>
          <w:sz w:val="22"/>
          <w:szCs w:val="22"/>
        </w:rPr>
        <w:softHyphen/>
      </w:r>
      <w:r w:rsidR="00536EAF" w:rsidRPr="00441F40">
        <w:rPr>
          <w:rFonts w:ascii="Arial" w:hAnsi="Arial" w:cs="Arial"/>
          <w:color w:val="000000"/>
          <w:sz w:val="22"/>
          <w:szCs w:val="22"/>
        </w:rPr>
        <w:t>verket</w:t>
      </w:r>
      <w:r>
        <w:rPr>
          <w:rFonts w:ascii="Arial" w:hAnsi="Arial" w:cs="Arial"/>
          <w:color w:val="000000"/>
          <w:sz w:val="22"/>
          <w:szCs w:val="22"/>
        </w:rPr>
        <w:t xml:space="preserve"> i juni. </w:t>
      </w:r>
    </w:p>
    <w:p w:rsidR="00441F40" w:rsidRPr="00EC63F8" w:rsidRDefault="00441F40" w:rsidP="001859B9">
      <w:pPr>
        <w:rPr>
          <w:rFonts w:ascii="Arial" w:hAnsi="Arial" w:cs="Arial"/>
          <w:color w:val="000000"/>
          <w:sz w:val="22"/>
          <w:szCs w:val="22"/>
        </w:rPr>
      </w:pPr>
    </w:p>
    <w:p w:rsidR="00441F40" w:rsidRDefault="00441F40" w:rsidP="001859B9">
      <w:pPr>
        <w:rPr>
          <w:rFonts w:ascii="Arial" w:hAnsi="Arial" w:cs="Arial"/>
          <w:bCs/>
          <w:i/>
          <w:color w:val="000000"/>
          <w:sz w:val="22"/>
          <w:szCs w:val="22"/>
        </w:rPr>
      </w:pPr>
      <w:r w:rsidRPr="00441F40">
        <w:rPr>
          <w:rFonts w:ascii="Arial" w:hAnsi="Arial" w:cs="Arial"/>
          <w:bCs/>
          <w:i/>
          <w:color w:val="000000"/>
          <w:sz w:val="22"/>
          <w:szCs w:val="22"/>
        </w:rPr>
        <w:t xml:space="preserve">– Vi överträffar alla mål som </w:t>
      </w:r>
      <w:r w:rsidR="001367A3">
        <w:rPr>
          <w:rFonts w:ascii="Arial" w:hAnsi="Arial" w:cs="Arial"/>
          <w:bCs/>
          <w:i/>
          <w:color w:val="000000"/>
          <w:sz w:val="22"/>
          <w:szCs w:val="22"/>
        </w:rPr>
        <w:t>samhället satt upp</w:t>
      </w:r>
      <w:r w:rsidRPr="00441F40">
        <w:rPr>
          <w:rFonts w:ascii="Arial" w:hAnsi="Arial" w:cs="Arial"/>
          <w:bCs/>
          <w:i/>
          <w:color w:val="000000"/>
          <w:sz w:val="22"/>
          <w:szCs w:val="22"/>
        </w:rPr>
        <w:t xml:space="preserve"> och det är speciellt </w:t>
      </w:r>
      <w:r>
        <w:rPr>
          <w:rFonts w:ascii="Arial" w:hAnsi="Arial" w:cs="Arial"/>
          <w:bCs/>
          <w:i/>
          <w:color w:val="000000"/>
          <w:sz w:val="22"/>
          <w:szCs w:val="22"/>
        </w:rPr>
        <w:t xml:space="preserve">glädjande att så många fler plastförpackningar </w:t>
      </w:r>
      <w:r w:rsidR="00515897">
        <w:rPr>
          <w:rFonts w:ascii="Arial" w:hAnsi="Arial" w:cs="Arial"/>
          <w:bCs/>
          <w:i/>
          <w:color w:val="000000"/>
          <w:sz w:val="22"/>
          <w:szCs w:val="22"/>
        </w:rPr>
        <w:t xml:space="preserve">nu </w:t>
      </w:r>
      <w:r w:rsidR="00A561C1">
        <w:rPr>
          <w:rFonts w:ascii="Arial" w:hAnsi="Arial" w:cs="Arial"/>
          <w:bCs/>
          <w:i/>
          <w:color w:val="000000"/>
          <w:sz w:val="22"/>
          <w:szCs w:val="22"/>
        </w:rPr>
        <w:t xml:space="preserve">används till </w:t>
      </w:r>
      <w:r>
        <w:rPr>
          <w:rFonts w:ascii="Arial" w:hAnsi="Arial" w:cs="Arial"/>
          <w:bCs/>
          <w:i/>
          <w:color w:val="000000"/>
          <w:sz w:val="22"/>
          <w:szCs w:val="22"/>
        </w:rPr>
        <w:t xml:space="preserve">nytt material </w:t>
      </w:r>
      <w:r w:rsidR="001367A3">
        <w:rPr>
          <w:rFonts w:ascii="Arial" w:hAnsi="Arial" w:cs="Arial"/>
          <w:bCs/>
          <w:i/>
          <w:color w:val="000000"/>
          <w:sz w:val="22"/>
          <w:szCs w:val="22"/>
        </w:rPr>
        <w:t>i stället för</w:t>
      </w:r>
      <w:r w:rsidR="00DE39A6">
        <w:rPr>
          <w:rFonts w:ascii="Arial" w:hAnsi="Arial" w:cs="Arial"/>
          <w:bCs/>
          <w:i/>
          <w:color w:val="000000"/>
          <w:sz w:val="22"/>
          <w:szCs w:val="22"/>
        </w:rPr>
        <w:t xml:space="preserve"> </w:t>
      </w:r>
      <w:r w:rsidR="00A561C1">
        <w:rPr>
          <w:rFonts w:ascii="Arial" w:hAnsi="Arial" w:cs="Arial"/>
          <w:bCs/>
          <w:i/>
          <w:color w:val="000000"/>
          <w:sz w:val="22"/>
          <w:szCs w:val="22"/>
        </w:rPr>
        <w:t xml:space="preserve">att använda </w:t>
      </w:r>
      <w:r w:rsidR="00DE39A6">
        <w:rPr>
          <w:rFonts w:ascii="Arial" w:hAnsi="Arial" w:cs="Arial"/>
          <w:bCs/>
          <w:i/>
          <w:color w:val="000000"/>
          <w:sz w:val="22"/>
          <w:szCs w:val="22"/>
        </w:rPr>
        <w:t>olja</w:t>
      </w:r>
      <w:r w:rsidRPr="00EC63F8">
        <w:rPr>
          <w:rFonts w:ascii="Arial" w:hAnsi="Arial" w:cs="Arial"/>
          <w:bCs/>
          <w:color w:val="000000"/>
          <w:sz w:val="22"/>
          <w:szCs w:val="22"/>
        </w:rPr>
        <w:t xml:space="preserve">, säger Kent Carlsson, vd vid FTI. </w:t>
      </w:r>
      <w:r>
        <w:rPr>
          <w:rFonts w:ascii="Arial" w:hAnsi="Arial" w:cs="Arial"/>
          <w:bCs/>
          <w:i/>
          <w:color w:val="000000"/>
          <w:sz w:val="22"/>
          <w:szCs w:val="22"/>
        </w:rPr>
        <w:t xml:space="preserve">Ökningen </w:t>
      </w:r>
      <w:r w:rsidR="00397DB0">
        <w:rPr>
          <w:rFonts w:ascii="Arial" w:hAnsi="Arial" w:cs="Arial"/>
          <w:bCs/>
          <w:i/>
          <w:color w:val="000000"/>
          <w:sz w:val="22"/>
          <w:szCs w:val="22"/>
        </w:rPr>
        <w:t>på</w:t>
      </w:r>
      <w:r w:rsidR="00253D17">
        <w:rPr>
          <w:rFonts w:ascii="Arial" w:hAnsi="Arial" w:cs="Arial"/>
          <w:bCs/>
          <w:i/>
          <w:color w:val="000000"/>
          <w:sz w:val="22"/>
          <w:szCs w:val="22"/>
        </w:rPr>
        <w:t xml:space="preserve"> </w:t>
      </w:r>
      <w:r w:rsidR="00337B36">
        <w:rPr>
          <w:rFonts w:ascii="Arial" w:hAnsi="Arial" w:cs="Arial"/>
          <w:bCs/>
          <w:i/>
          <w:color w:val="000000"/>
          <w:sz w:val="22"/>
          <w:szCs w:val="22"/>
        </w:rPr>
        <w:t>plastförpackningar</w:t>
      </w:r>
      <w:r>
        <w:rPr>
          <w:rFonts w:ascii="Arial" w:hAnsi="Arial" w:cs="Arial"/>
          <w:bCs/>
          <w:i/>
          <w:color w:val="000000"/>
          <w:sz w:val="22"/>
          <w:szCs w:val="22"/>
        </w:rPr>
        <w:t xml:space="preserve"> </w:t>
      </w:r>
      <w:r w:rsidR="00253D17">
        <w:rPr>
          <w:rFonts w:ascii="Arial" w:hAnsi="Arial" w:cs="Arial"/>
          <w:bCs/>
          <w:i/>
          <w:color w:val="000000"/>
          <w:sz w:val="22"/>
          <w:szCs w:val="22"/>
        </w:rPr>
        <w:t>med</w:t>
      </w:r>
      <w:r>
        <w:rPr>
          <w:rFonts w:ascii="Arial" w:hAnsi="Arial" w:cs="Arial"/>
          <w:bCs/>
          <w:i/>
          <w:color w:val="000000"/>
          <w:sz w:val="22"/>
          <w:szCs w:val="22"/>
        </w:rPr>
        <w:t xml:space="preserve"> över 9,5</w:t>
      </w:r>
      <w:r w:rsidRPr="00903B04">
        <w:rPr>
          <w:rFonts w:ascii="Arial" w:hAnsi="Arial" w:cs="Arial"/>
          <w:bCs/>
          <w:i/>
          <w:color w:val="000000"/>
          <w:sz w:val="22"/>
          <w:szCs w:val="22"/>
        </w:rPr>
        <w:t xml:space="preserve"> % </w:t>
      </w:r>
      <w:r>
        <w:rPr>
          <w:rFonts w:ascii="Arial" w:hAnsi="Arial" w:cs="Arial"/>
          <w:bCs/>
          <w:i/>
          <w:color w:val="000000"/>
          <w:sz w:val="22"/>
          <w:szCs w:val="22"/>
        </w:rPr>
        <w:t xml:space="preserve">är </w:t>
      </w:r>
      <w:r w:rsidRPr="00903B04">
        <w:rPr>
          <w:rFonts w:ascii="Arial" w:hAnsi="Arial" w:cs="Arial"/>
          <w:bCs/>
          <w:i/>
          <w:color w:val="000000"/>
          <w:sz w:val="22"/>
          <w:szCs w:val="22"/>
        </w:rPr>
        <w:t xml:space="preserve">sensationellt bra. </w:t>
      </w:r>
    </w:p>
    <w:p w:rsidR="00253D17" w:rsidRDefault="00253D17" w:rsidP="001859B9">
      <w:pPr>
        <w:rPr>
          <w:rFonts w:ascii="Arial" w:hAnsi="Arial" w:cs="Arial"/>
          <w:bCs/>
          <w:i/>
          <w:color w:val="000000"/>
          <w:sz w:val="22"/>
          <w:szCs w:val="22"/>
        </w:rPr>
      </w:pPr>
    </w:p>
    <w:p w:rsidR="004B61AB" w:rsidRPr="00EC63F8" w:rsidRDefault="00C4333F" w:rsidP="001859B9">
      <w:pPr>
        <w:rPr>
          <w:rFonts w:ascii="Arial" w:hAnsi="Arial" w:cs="Arial"/>
          <w:color w:val="000000"/>
          <w:sz w:val="22"/>
          <w:szCs w:val="22"/>
        </w:rPr>
      </w:pPr>
      <w:r>
        <w:rPr>
          <w:rFonts w:ascii="Arial" w:hAnsi="Arial" w:cs="Arial"/>
          <w:color w:val="000000"/>
          <w:sz w:val="22"/>
          <w:szCs w:val="22"/>
        </w:rPr>
        <w:t xml:space="preserve">Den statistik </w:t>
      </w:r>
      <w:r w:rsidR="00E02ADC" w:rsidRPr="00EC63F8">
        <w:rPr>
          <w:rFonts w:ascii="Arial" w:hAnsi="Arial" w:cs="Arial"/>
          <w:color w:val="000000"/>
          <w:sz w:val="22"/>
          <w:szCs w:val="22"/>
        </w:rPr>
        <w:t xml:space="preserve">i ton för materialåtervinning under 2013 jämfört med 2012 </w:t>
      </w:r>
      <w:r>
        <w:rPr>
          <w:rFonts w:ascii="Arial" w:hAnsi="Arial" w:cs="Arial"/>
          <w:color w:val="000000"/>
          <w:sz w:val="22"/>
          <w:szCs w:val="22"/>
        </w:rPr>
        <w:t xml:space="preserve">FTI i juni </w:t>
      </w:r>
      <w:r w:rsidRPr="00EC63F8">
        <w:rPr>
          <w:rFonts w:ascii="Arial" w:hAnsi="Arial" w:cs="Arial"/>
          <w:color w:val="000000"/>
          <w:sz w:val="22"/>
          <w:szCs w:val="22"/>
        </w:rPr>
        <w:t xml:space="preserve">rapporterade </w:t>
      </w:r>
      <w:r w:rsidR="00E02ADC" w:rsidRPr="00EC63F8">
        <w:rPr>
          <w:rFonts w:ascii="Arial" w:hAnsi="Arial" w:cs="Arial"/>
          <w:color w:val="000000"/>
          <w:sz w:val="22"/>
          <w:szCs w:val="22"/>
        </w:rPr>
        <w:t xml:space="preserve">till Naturvårdsverket som ansvarar för </w:t>
      </w:r>
      <w:r>
        <w:rPr>
          <w:rFonts w:ascii="Arial" w:hAnsi="Arial" w:cs="Arial"/>
          <w:color w:val="000000"/>
          <w:sz w:val="22"/>
          <w:szCs w:val="22"/>
        </w:rPr>
        <w:t xml:space="preserve">den nationella </w:t>
      </w:r>
      <w:r w:rsidR="00E02ADC" w:rsidRPr="00EC63F8">
        <w:rPr>
          <w:rFonts w:ascii="Arial" w:hAnsi="Arial" w:cs="Arial"/>
          <w:color w:val="000000"/>
          <w:sz w:val="22"/>
          <w:szCs w:val="22"/>
        </w:rPr>
        <w:t>samm</w:t>
      </w:r>
      <w:r>
        <w:rPr>
          <w:rFonts w:ascii="Arial" w:hAnsi="Arial" w:cs="Arial"/>
          <w:color w:val="000000"/>
          <w:sz w:val="22"/>
          <w:szCs w:val="22"/>
        </w:rPr>
        <w:t xml:space="preserve">anställningen av </w:t>
      </w:r>
      <w:r w:rsidR="00E02ADC" w:rsidRPr="00EC63F8">
        <w:rPr>
          <w:rFonts w:ascii="Arial" w:hAnsi="Arial" w:cs="Arial"/>
          <w:color w:val="000000"/>
          <w:sz w:val="22"/>
          <w:szCs w:val="22"/>
        </w:rPr>
        <w:t xml:space="preserve">resultatet </w:t>
      </w:r>
      <w:r w:rsidR="00A84FD8" w:rsidRPr="00EC63F8">
        <w:rPr>
          <w:rFonts w:ascii="Arial" w:hAnsi="Arial" w:cs="Arial"/>
          <w:color w:val="000000"/>
          <w:sz w:val="22"/>
          <w:szCs w:val="22"/>
        </w:rPr>
        <w:t>är</w:t>
      </w:r>
      <w:r w:rsidR="00536EAF" w:rsidRPr="00EC63F8">
        <w:rPr>
          <w:rFonts w:ascii="Arial" w:hAnsi="Arial" w:cs="Arial"/>
          <w:color w:val="000000"/>
          <w:sz w:val="22"/>
          <w:szCs w:val="22"/>
        </w:rPr>
        <w:t>:</w:t>
      </w:r>
    </w:p>
    <w:p w:rsidR="00D4470A" w:rsidRPr="00D4470A" w:rsidRDefault="00D4470A" w:rsidP="001859B9">
      <w:pPr>
        <w:rPr>
          <w:rFonts w:ascii="Arial" w:hAnsi="Arial" w:cs="Arial"/>
          <w:color w:val="000000"/>
          <w:sz w:val="18"/>
          <w:szCs w:val="18"/>
        </w:rPr>
      </w:pPr>
    </w:p>
    <w:tbl>
      <w:tblPr>
        <w:tblStyle w:val="Tabellrutnt"/>
        <w:tblW w:w="10139" w:type="dxa"/>
        <w:tblLayout w:type="fixed"/>
        <w:tblLook w:val="04A0" w:firstRow="1" w:lastRow="0" w:firstColumn="1" w:lastColumn="0" w:noHBand="0" w:noVBand="1"/>
      </w:tblPr>
      <w:tblGrid>
        <w:gridCol w:w="2552"/>
        <w:gridCol w:w="1384"/>
        <w:gridCol w:w="1100"/>
        <w:gridCol w:w="1984"/>
        <w:gridCol w:w="1135"/>
        <w:gridCol w:w="1984"/>
      </w:tblGrid>
      <w:tr w:rsidR="0036665C" w:rsidRPr="00EC63F8" w:rsidTr="0036665C">
        <w:tc>
          <w:tcPr>
            <w:tcW w:w="2552" w:type="dxa"/>
            <w:vMerge w:val="restart"/>
          </w:tcPr>
          <w:p w:rsidR="0036665C" w:rsidRPr="00EC63F8" w:rsidRDefault="0036665C" w:rsidP="001859B9">
            <w:pPr>
              <w:rPr>
                <w:rFonts w:ascii="Arial" w:hAnsi="Arial" w:cs="Arial"/>
                <w:color w:val="000000"/>
                <w:sz w:val="22"/>
                <w:szCs w:val="22"/>
              </w:rPr>
            </w:pPr>
          </w:p>
        </w:tc>
        <w:tc>
          <w:tcPr>
            <w:tcW w:w="1384" w:type="dxa"/>
          </w:tcPr>
          <w:p w:rsidR="0036665C" w:rsidRPr="00EC63F8" w:rsidRDefault="0036665C" w:rsidP="0036665C">
            <w:pPr>
              <w:jc w:val="center"/>
              <w:rPr>
                <w:rFonts w:ascii="Arial" w:hAnsi="Arial" w:cs="Arial"/>
                <w:b/>
                <w:color w:val="000000"/>
                <w:sz w:val="22"/>
                <w:szCs w:val="22"/>
              </w:rPr>
            </w:pPr>
            <w:r w:rsidRPr="00EC63F8">
              <w:rPr>
                <w:rFonts w:ascii="Arial" w:hAnsi="Arial" w:cs="Arial"/>
                <w:b/>
                <w:color w:val="000000"/>
                <w:sz w:val="22"/>
                <w:szCs w:val="22"/>
              </w:rPr>
              <w:t>Nationella mål</w:t>
            </w:r>
          </w:p>
        </w:tc>
        <w:tc>
          <w:tcPr>
            <w:tcW w:w="3084" w:type="dxa"/>
            <w:gridSpan w:val="2"/>
          </w:tcPr>
          <w:p w:rsidR="0036665C" w:rsidRPr="00EC63F8" w:rsidRDefault="0036665C" w:rsidP="0036665C">
            <w:pPr>
              <w:jc w:val="center"/>
              <w:rPr>
                <w:rFonts w:ascii="Arial" w:hAnsi="Arial" w:cs="Arial"/>
                <w:b/>
                <w:i/>
                <w:color w:val="000000"/>
                <w:sz w:val="22"/>
                <w:szCs w:val="22"/>
              </w:rPr>
            </w:pPr>
            <w:r w:rsidRPr="00EC63F8">
              <w:rPr>
                <w:rFonts w:ascii="Arial" w:hAnsi="Arial" w:cs="Arial"/>
                <w:b/>
                <w:i/>
                <w:color w:val="000000"/>
                <w:sz w:val="22"/>
                <w:szCs w:val="22"/>
              </w:rPr>
              <w:t>2013</w:t>
            </w:r>
          </w:p>
        </w:tc>
        <w:tc>
          <w:tcPr>
            <w:tcW w:w="3119" w:type="dxa"/>
            <w:gridSpan w:val="2"/>
          </w:tcPr>
          <w:p w:rsidR="0036665C" w:rsidRPr="00EC63F8" w:rsidRDefault="0036665C" w:rsidP="0036665C">
            <w:pPr>
              <w:jc w:val="center"/>
              <w:rPr>
                <w:rFonts w:ascii="Arial" w:hAnsi="Arial" w:cs="Arial"/>
                <w:b/>
                <w:color w:val="000000"/>
                <w:sz w:val="22"/>
                <w:szCs w:val="22"/>
              </w:rPr>
            </w:pPr>
            <w:r w:rsidRPr="00EC63F8">
              <w:rPr>
                <w:rFonts w:ascii="Arial" w:hAnsi="Arial" w:cs="Arial"/>
                <w:b/>
                <w:color w:val="000000"/>
                <w:sz w:val="22"/>
                <w:szCs w:val="22"/>
              </w:rPr>
              <w:t>2012</w:t>
            </w:r>
          </w:p>
        </w:tc>
      </w:tr>
      <w:tr w:rsidR="0036665C" w:rsidRPr="00EC63F8" w:rsidTr="0036665C">
        <w:tc>
          <w:tcPr>
            <w:tcW w:w="2552" w:type="dxa"/>
            <w:vMerge/>
          </w:tcPr>
          <w:p w:rsidR="0036665C" w:rsidRPr="00EC63F8" w:rsidRDefault="0036665C" w:rsidP="001859B9">
            <w:pPr>
              <w:rPr>
                <w:rFonts w:ascii="Arial" w:hAnsi="Arial" w:cs="Arial"/>
                <w:color w:val="000000"/>
                <w:sz w:val="22"/>
                <w:szCs w:val="22"/>
              </w:rPr>
            </w:pPr>
          </w:p>
        </w:tc>
        <w:tc>
          <w:tcPr>
            <w:tcW w:w="1384" w:type="dxa"/>
          </w:tcPr>
          <w:p w:rsidR="0036665C" w:rsidRPr="00EC63F8" w:rsidRDefault="0036665C" w:rsidP="0036665C">
            <w:pPr>
              <w:jc w:val="center"/>
              <w:rPr>
                <w:rFonts w:ascii="Arial" w:hAnsi="Arial" w:cs="Arial"/>
                <w:color w:val="000000"/>
                <w:sz w:val="22"/>
                <w:szCs w:val="22"/>
              </w:rPr>
            </w:pPr>
          </w:p>
        </w:tc>
        <w:tc>
          <w:tcPr>
            <w:tcW w:w="3084" w:type="dxa"/>
            <w:gridSpan w:val="2"/>
          </w:tcPr>
          <w:p w:rsidR="0036665C" w:rsidRPr="00EC63F8" w:rsidRDefault="0036665C" w:rsidP="00432614">
            <w:pPr>
              <w:rPr>
                <w:rFonts w:ascii="Arial" w:hAnsi="Arial" w:cs="Arial"/>
                <w:i/>
                <w:color w:val="000000"/>
                <w:sz w:val="22"/>
                <w:szCs w:val="22"/>
              </w:rPr>
            </w:pPr>
            <w:proofErr w:type="gramStart"/>
            <w:r w:rsidRPr="00EC63F8">
              <w:rPr>
                <w:rFonts w:ascii="Arial" w:hAnsi="Arial" w:cs="Arial"/>
                <w:i/>
                <w:color w:val="000000"/>
                <w:sz w:val="22"/>
                <w:szCs w:val="22"/>
              </w:rPr>
              <w:t>Redovisat / Materialutnyttjat</w:t>
            </w:r>
            <w:proofErr w:type="gramEnd"/>
          </w:p>
        </w:tc>
        <w:tc>
          <w:tcPr>
            <w:tcW w:w="3119" w:type="dxa"/>
            <w:gridSpan w:val="2"/>
          </w:tcPr>
          <w:p w:rsidR="0036665C" w:rsidRPr="00EC63F8" w:rsidRDefault="0036665C" w:rsidP="00432614">
            <w:pPr>
              <w:rPr>
                <w:rFonts w:ascii="Arial" w:hAnsi="Arial" w:cs="Arial"/>
                <w:color w:val="000000"/>
                <w:sz w:val="22"/>
                <w:szCs w:val="22"/>
              </w:rPr>
            </w:pPr>
            <w:proofErr w:type="gramStart"/>
            <w:r w:rsidRPr="00EC63F8">
              <w:rPr>
                <w:rFonts w:ascii="Arial" w:hAnsi="Arial" w:cs="Arial"/>
                <w:color w:val="000000"/>
                <w:sz w:val="22"/>
                <w:szCs w:val="22"/>
              </w:rPr>
              <w:t>Redovisat / Materialutnyttjat</w:t>
            </w:r>
            <w:proofErr w:type="gramEnd"/>
          </w:p>
        </w:tc>
      </w:tr>
      <w:tr w:rsidR="0036665C" w:rsidRPr="00EC63F8" w:rsidTr="0036665C">
        <w:tc>
          <w:tcPr>
            <w:tcW w:w="2552" w:type="dxa"/>
          </w:tcPr>
          <w:p w:rsidR="0036665C" w:rsidRPr="00EC63F8" w:rsidRDefault="0036665C" w:rsidP="001859B9">
            <w:pPr>
              <w:rPr>
                <w:rFonts w:ascii="Arial" w:hAnsi="Arial" w:cs="Arial"/>
                <w:b/>
                <w:color w:val="000000"/>
                <w:sz w:val="22"/>
                <w:szCs w:val="22"/>
              </w:rPr>
            </w:pPr>
            <w:r w:rsidRPr="00EC63F8">
              <w:rPr>
                <w:rFonts w:ascii="Arial" w:hAnsi="Arial" w:cs="Arial"/>
                <w:b/>
                <w:color w:val="000000"/>
                <w:sz w:val="22"/>
                <w:szCs w:val="22"/>
              </w:rPr>
              <w:t>Papper</w:t>
            </w:r>
            <w:r>
              <w:rPr>
                <w:rFonts w:ascii="Arial" w:hAnsi="Arial" w:cs="Arial"/>
                <w:b/>
                <w:color w:val="000000"/>
                <w:sz w:val="22"/>
                <w:szCs w:val="22"/>
              </w:rPr>
              <w:t>sförpackningar</w:t>
            </w:r>
          </w:p>
        </w:tc>
        <w:tc>
          <w:tcPr>
            <w:tcW w:w="1384" w:type="dxa"/>
          </w:tcPr>
          <w:p w:rsidR="0036665C" w:rsidRPr="00EC63F8" w:rsidRDefault="0036665C" w:rsidP="0036665C">
            <w:pPr>
              <w:jc w:val="center"/>
              <w:rPr>
                <w:rFonts w:ascii="Arial" w:hAnsi="Arial" w:cs="Arial"/>
                <w:color w:val="000000"/>
                <w:sz w:val="22"/>
                <w:szCs w:val="22"/>
              </w:rPr>
            </w:pPr>
            <w:r w:rsidRPr="00EC63F8">
              <w:rPr>
                <w:rFonts w:ascii="Arial" w:hAnsi="Arial" w:cs="Arial"/>
                <w:color w:val="000000"/>
                <w:sz w:val="22"/>
                <w:szCs w:val="22"/>
              </w:rPr>
              <w:t>65 %</w:t>
            </w:r>
          </w:p>
        </w:tc>
        <w:tc>
          <w:tcPr>
            <w:tcW w:w="1100" w:type="dxa"/>
          </w:tcPr>
          <w:p w:rsidR="0036665C" w:rsidRPr="00565AC5" w:rsidRDefault="0036665C" w:rsidP="001859B9">
            <w:pPr>
              <w:rPr>
                <w:rFonts w:ascii="Arial" w:hAnsi="Arial" w:cs="Arial"/>
                <w:color w:val="000000"/>
                <w:sz w:val="22"/>
                <w:szCs w:val="22"/>
              </w:rPr>
            </w:pPr>
            <w:r w:rsidRPr="00565AC5">
              <w:rPr>
                <w:rFonts w:ascii="Arial" w:hAnsi="Arial" w:cs="Arial"/>
                <w:color w:val="000000"/>
                <w:sz w:val="22"/>
                <w:szCs w:val="22"/>
              </w:rPr>
              <w:t>509 137</w:t>
            </w:r>
          </w:p>
        </w:tc>
        <w:tc>
          <w:tcPr>
            <w:tcW w:w="1984" w:type="dxa"/>
          </w:tcPr>
          <w:p w:rsidR="0036665C" w:rsidRPr="00565AC5" w:rsidRDefault="0036665C" w:rsidP="008655EE">
            <w:pPr>
              <w:rPr>
                <w:rFonts w:ascii="Arial" w:hAnsi="Arial" w:cs="Arial"/>
                <w:color w:val="000000"/>
                <w:sz w:val="22"/>
                <w:szCs w:val="22"/>
              </w:rPr>
            </w:pPr>
            <w:r w:rsidRPr="00565AC5">
              <w:rPr>
                <w:rFonts w:ascii="Arial" w:hAnsi="Arial" w:cs="Arial"/>
                <w:color w:val="000000"/>
                <w:sz w:val="22"/>
                <w:szCs w:val="22"/>
              </w:rPr>
              <w:t>393 239 (77,2 %)</w:t>
            </w:r>
          </w:p>
        </w:tc>
        <w:tc>
          <w:tcPr>
            <w:tcW w:w="1135" w:type="dxa"/>
          </w:tcPr>
          <w:p w:rsidR="0036665C" w:rsidRPr="00565AC5" w:rsidRDefault="0036665C" w:rsidP="001859B9">
            <w:pPr>
              <w:rPr>
                <w:rFonts w:ascii="Arial" w:hAnsi="Arial" w:cs="Arial"/>
                <w:i/>
                <w:color w:val="000000"/>
                <w:sz w:val="22"/>
                <w:szCs w:val="22"/>
              </w:rPr>
            </w:pPr>
            <w:r w:rsidRPr="00565AC5">
              <w:rPr>
                <w:rFonts w:ascii="Arial" w:hAnsi="Arial" w:cs="Arial"/>
                <w:i/>
                <w:sz w:val="22"/>
                <w:szCs w:val="22"/>
              </w:rPr>
              <w:t>506 323</w:t>
            </w:r>
          </w:p>
        </w:tc>
        <w:tc>
          <w:tcPr>
            <w:tcW w:w="1984" w:type="dxa"/>
          </w:tcPr>
          <w:p w:rsidR="0036665C" w:rsidRPr="00565AC5" w:rsidRDefault="0036665C" w:rsidP="001859B9">
            <w:pPr>
              <w:rPr>
                <w:rFonts w:ascii="Arial" w:hAnsi="Arial" w:cs="Arial"/>
                <w:i/>
                <w:color w:val="000000"/>
                <w:sz w:val="22"/>
                <w:szCs w:val="22"/>
              </w:rPr>
            </w:pPr>
            <w:r w:rsidRPr="00565AC5">
              <w:rPr>
                <w:rFonts w:ascii="Arial" w:hAnsi="Arial" w:cs="Arial"/>
                <w:i/>
                <w:color w:val="000000"/>
                <w:sz w:val="22"/>
                <w:szCs w:val="22"/>
              </w:rPr>
              <w:t>382 716 (75,6 %)</w:t>
            </w:r>
          </w:p>
        </w:tc>
      </w:tr>
      <w:tr w:rsidR="0036665C" w:rsidRPr="00EC63F8" w:rsidTr="0036665C">
        <w:tc>
          <w:tcPr>
            <w:tcW w:w="2552" w:type="dxa"/>
          </w:tcPr>
          <w:p w:rsidR="0036665C" w:rsidRDefault="0036665C" w:rsidP="001859B9">
            <w:pPr>
              <w:rPr>
                <w:rFonts w:ascii="Arial" w:hAnsi="Arial" w:cs="Arial"/>
                <w:b/>
                <w:color w:val="000000"/>
                <w:sz w:val="22"/>
                <w:szCs w:val="22"/>
              </w:rPr>
            </w:pPr>
            <w:r w:rsidRPr="00EC63F8">
              <w:rPr>
                <w:rFonts w:ascii="Arial" w:hAnsi="Arial" w:cs="Arial"/>
                <w:b/>
                <w:color w:val="000000"/>
                <w:sz w:val="22"/>
                <w:szCs w:val="22"/>
              </w:rPr>
              <w:t>Plast</w:t>
            </w:r>
            <w:r>
              <w:rPr>
                <w:rFonts w:ascii="Arial" w:hAnsi="Arial" w:cs="Arial"/>
                <w:b/>
                <w:color w:val="000000"/>
                <w:sz w:val="22"/>
                <w:szCs w:val="22"/>
              </w:rPr>
              <w:t>förpackningar</w:t>
            </w:r>
          </w:p>
          <w:p w:rsidR="0036665C" w:rsidRPr="00B45CEB" w:rsidRDefault="0036665C" w:rsidP="00535A0B">
            <w:pPr>
              <w:jc w:val="right"/>
              <w:rPr>
                <w:rFonts w:ascii="Arial" w:hAnsi="Arial" w:cs="Arial"/>
                <w:color w:val="000000"/>
                <w:sz w:val="20"/>
                <w:szCs w:val="20"/>
              </w:rPr>
            </w:pPr>
            <w:r w:rsidRPr="00B45CEB">
              <w:rPr>
                <w:rFonts w:ascii="Arial" w:hAnsi="Arial" w:cs="Arial"/>
                <w:color w:val="000000"/>
                <w:sz w:val="20"/>
                <w:szCs w:val="20"/>
              </w:rPr>
              <w:t xml:space="preserve">Ny </w:t>
            </w:r>
            <w:r w:rsidR="00B45CEB" w:rsidRPr="00B45CEB">
              <w:rPr>
                <w:rFonts w:ascii="Arial" w:hAnsi="Arial" w:cs="Arial"/>
                <w:color w:val="000000"/>
                <w:sz w:val="20"/>
                <w:szCs w:val="20"/>
              </w:rPr>
              <w:t>beräknings</w:t>
            </w:r>
            <w:r w:rsidRPr="00B45CEB">
              <w:rPr>
                <w:rFonts w:ascii="Arial" w:hAnsi="Arial" w:cs="Arial"/>
                <w:color w:val="000000"/>
                <w:sz w:val="20"/>
                <w:szCs w:val="20"/>
              </w:rPr>
              <w:t>metod</w:t>
            </w:r>
          </w:p>
        </w:tc>
        <w:tc>
          <w:tcPr>
            <w:tcW w:w="1384" w:type="dxa"/>
          </w:tcPr>
          <w:p w:rsidR="0036665C" w:rsidRPr="00EC63F8" w:rsidRDefault="0036665C" w:rsidP="0036665C">
            <w:pPr>
              <w:jc w:val="center"/>
              <w:rPr>
                <w:rFonts w:ascii="Arial" w:hAnsi="Arial" w:cs="Arial"/>
                <w:color w:val="000000"/>
                <w:sz w:val="22"/>
                <w:szCs w:val="22"/>
              </w:rPr>
            </w:pPr>
            <w:r w:rsidRPr="00EC63F8">
              <w:rPr>
                <w:rFonts w:ascii="Arial" w:hAnsi="Arial" w:cs="Arial"/>
                <w:color w:val="000000"/>
                <w:sz w:val="22"/>
                <w:szCs w:val="22"/>
              </w:rPr>
              <w:t>30 %</w:t>
            </w:r>
          </w:p>
        </w:tc>
        <w:tc>
          <w:tcPr>
            <w:tcW w:w="1100" w:type="dxa"/>
          </w:tcPr>
          <w:p w:rsidR="0036665C" w:rsidRPr="00565AC5" w:rsidRDefault="0036665C" w:rsidP="001859B9">
            <w:pPr>
              <w:rPr>
                <w:rFonts w:ascii="Arial" w:hAnsi="Arial" w:cs="Arial"/>
                <w:color w:val="000000"/>
                <w:sz w:val="22"/>
                <w:szCs w:val="22"/>
              </w:rPr>
            </w:pPr>
            <w:r w:rsidRPr="00565AC5">
              <w:rPr>
                <w:rFonts w:ascii="Arial" w:hAnsi="Arial" w:cs="Arial"/>
                <w:color w:val="000000"/>
                <w:sz w:val="22"/>
                <w:szCs w:val="22"/>
              </w:rPr>
              <w:t>186 344</w:t>
            </w:r>
          </w:p>
        </w:tc>
        <w:tc>
          <w:tcPr>
            <w:tcW w:w="1984" w:type="dxa"/>
          </w:tcPr>
          <w:p w:rsidR="0036665C" w:rsidRPr="00565AC5" w:rsidRDefault="0036665C" w:rsidP="00903B04">
            <w:pPr>
              <w:rPr>
                <w:rFonts w:ascii="Arial" w:hAnsi="Arial" w:cs="Arial"/>
                <w:color w:val="000000"/>
                <w:sz w:val="22"/>
                <w:szCs w:val="22"/>
              </w:rPr>
            </w:pPr>
            <w:r w:rsidRPr="00565AC5">
              <w:rPr>
                <w:rFonts w:ascii="Arial" w:hAnsi="Arial" w:cs="Arial"/>
                <w:color w:val="000000"/>
                <w:sz w:val="22"/>
                <w:szCs w:val="22"/>
              </w:rPr>
              <w:t>54 577 (29,3 %)</w:t>
            </w:r>
          </w:p>
          <w:p w:rsidR="0036665C" w:rsidRPr="00565AC5" w:rsidRDefault="0036665C" w:rsidP="00903B04">
            <w:pPr>
              <w:rPr>
                <w:rFonts w:ascii="Arial" w:hAnsi="Arial" w:cs="Arial"/>
                <w:color w:val="000000"/>
                <w:sz w:val="22"/>
                <w:szCs w:val="22"/>
              </w:rPr>
            </w:pPr>
            <w:r w:rsidRPr="00565AC5">
              <w:rPr>
                <w:rFonts w:ascii="Arial" w:hAnsi="Arial" w:cs="Arial"/>
                <w:color w:val="000000"/>
                <w:sz w:val="22"/>
                <w:szCs w:val="22"/>
              </w:rPr>
              <w:t>68 419 (36,7 %)</w:t>
            </w:r>
          </w:p>
        </w:tc>
        <w:tc>
          <w:tcPr>
            <w:tcW w:w="1135" w:type="dxa"/>
          </w:tcPr>
          <w:p w:rsidR="0036665C" w:rsidRPr="00565AC5" w:rsidRDefault="0036665C" w:rsidP="001859B9">
            <w:pPr>
              <w:rPr>
                <w:rFonts w:ascii="Arial" w:hAnsi="Arial" w:cs="Arial"/>
                <w:i/>
                <w:color w:val="000000"/>
                <w:sz w:val="22"/>
                <w:szCs w:val="22"/>
              </w:rPr>
            </w:pPr>
            <w:r w:rsidRPr="00565AC5">
              <w:rPr>
                <w:rFonts w:ascii="Arial" w:hAnsi="Arial" w:cs="Arial"/>
                <w:i/>
                <w:color w:val="000000"/>
                <w:sz w:val="22"/>
                <w:szCs w:val="22"/>
              </w:rPr>
              <w:t>185 153</w:t>
            </w:r>
          </w:p>
        </w:tc>
        <w:tc>
          <w:tcPr>
            <w:tcW w:w="1984" w:type="dxa"/>
          </w:tcPr>
          <w:p w:rsidR="0036665C" w:rsidRPr="00565AC5" w:rsidRDefault="0036665C" w:rsidP="001859B9">
            <w:pPr>
              <w:rPr>
                <w:rFonts w:ascii="Arial" w:hAnsi="Arial" w:cs="Arial"/>
                <w:i/>
                <w:color w:val="000000"/>
                <w:sz w:val="22"/>
                <w:szCs w:val="22"/>
              </w:rPr>
            </w:pPr>
            <w:r w:rsidRPr="00565AC5">
              <w:rPr>
                <w:rFonts w:ascii="Arial" w:hAnsi="Arial" w:cs="Arial"/>
                <w:i/>
                <w:color w:val="000000"/>
                <w:sz w:val="22"/>
                <w:szCs w:val="22"/>
              </w:rPr>
              <w:t>49 816 (26,9 %)</w:t>
            </w:r>
          </w:p>
          <w:p w:rsidR="0036665C" w:rsidRPr="00565AC5" w:rsidRDefault="0036665C" w:rsidP="001859B9">
            <w:pPr>
              <w:rPr>
                <w:rFonts w:ascii="Arial" w:hAnsi="Arial" w:cs="Arial"/>
                <w:i/>
                <w:color w:val="000000"/>
                <w:sz w:val="22"/>
                <w:szCs w:val="22"/>
              </w:rPr>
            </w:pPr>
            <w:r w:rsidRPr="00565AC5">
              <w:rPr>
                <w:rFonts w:ascii="Arial" w:hAnsi="Arial" w:cs="Arial"/>
                <w:i/>
                <w:color w:val="000000"/>
                <w:sz w:val="22"/>
                <w:szCs w:val="22"/>
              </w:rPr>
              <w:t>63 109 (34,1 %)</w:t>
            </w:r>
          </w:p>
        </w:tc>
      </w:tr>
      <w:tr w:rsidR="0036665C" w:rsidRPr="00EC63F8" w:rsidTr="0036665C">
        <w:tc>
          <w:tcPr>
            <w:tcW w:w="2552" w:type="dxa"/>
          </w:tcPr>
          <w:p w:rsidR="0036665C" w:rsidRPr="00EC63F8" w:rsidRDefault="0036665C" w:rsidP="001859B9">
            <w:pPr>
              <w:rPr>
                <w:rFonts w:ascii="Arial" w:hAnsi="Arial" w:cs="Arial"/>
                <w:b/>
                <w:color w:val="000000"/>
                <w:sz w:val="22"/>
                <w:szCs w:val="22"/>
              </w:rPr>
            </w:pPr>
            <w:r w:rsidRPr="00EC63F8">
              <w:rPr>
                <w:rFonts w:ascii="Arial" w:hAnsi="Arial" w:cs="Arial"/>
                <w:b/>
                <w:color w:val="000000"/>
                <w:sz w:val="22"/>
                <w:szCs w:val="22"/>
              </w:rPr>
              <w:t>Metall</w:t>
            </w:r>
            <w:r>
              <w:rPr>
                <w:rFonts w:ascii="Arial" w:hAnsi="Arial" w:cs="Arial"/>
                <w:b/>
                <w:color w:val="000000"/>
                <w:sz w:val="22"/>
                <w:szCs w:val="22"/>
              </w:rPr>
              <w:t>förpackningar</w:t>
            </w:r>
          </w:p>
        </w:tc>
        <w:tc>
          <w:tcPr>
            <w:tcW w:w="1384" w:type="dxa"/>
          </w:tcPr>
          <w:p w:rsidR="0036665C" w:rsidRPr="00EC63F8" w:rsidRDefault="0036665C" w:rsidP="0036665C">
            <w:pPr>
              <w:jc w:val="center"/>
              <w:rPr>
                <w:rFonts w:ascii="Arial" w:hAnsi="Arial" w:cs="Arial"/>
                <w:color w:val="000000"/>
                <w:sz w:val="22"/>
                <w:szCs w:val="22"/>
              </w:rPr>
            </w:pPr>
            <w:r w:rsidRPr="00EC63F8">
              <w:rPr>
                <w:rFonts w:ascii="Arial" w:hAnsi="Arial" w:cs="Arial"/>
                <w:color w:val="000000"/>
                <w:sz w:val="22"/>
                <w:szCs w:val="22"/>
              </w:rPr>
              <w:t>70 %</w:t>
            </w:r>
          </w:p>
        </w:tc>
        <w:tc>
          <w:tcPr>
            <w:tcW w:w="1100" w:type="dxa"/>
          </w:tcPr>
          <w:p w:rsidR="0036665C" w:rsidRPr="00565AC5" w:rsidRDefault="0036665C" w:rsidP="001859B9">
            <w:pPr>
              <w:rPr>
                <w:rFonts w:ascii="Arial" w:hAnsi="Arial" w:cs="Arial"/>
                <w:color w:val="000000"/>
                <w:sz w:val="22"/>
                <w:szCs w:val="22"/>
              </w:rPr>
            </w:pPr>
            <w:r w:rsidRPr="00565AC5">
              <w:rPr>
                <w:rFonts w:ascii="Arial" w:hAnsi="Arial" w:cs="Arial"/>
                <w:color w:val="000000"/>
                <w:sz w:val="22"/>
                <w:szCs w:val="22"/>
              </w:rPr>
              <w:t>38 588</w:t>
            </w:r>
          </w:p>
        </w:tc>
        <w:tc>
          <w:tcPr>
            <w:tcW w:w="1984" w:type="dxa"/>
          </w:tcPr>
          <w:p w:rsidR="0036665C" w:rsidRPr="00565AC5" w:rsidRDefault="0036665C" w:rsidP="00731C12">
            <w:pPr>
              <w:rPr>
                <w:rFonts w:ascii="Arial" w:hAnsi="Arial" w:cs="Arial"/>
                <w:color w:val="000000"/>
                <w:sz w:val="22"/>
                <w:szCs w:val="22"/>
              </w:rPr>
            </w:pPr>
            <w:r w:rsidRPr="00565AC5">
              <w:rPr>
                <w:rFonts w:ascii="Arial" w:hAnsi="Arial" w:cs="Arial"/>
                <w:color w:val="000000"/>
                <w:sz w:val="22"/>
                <w:szCs w:val="22"/>
              </w:rPr>
              <w:t>28 223 (73,1 %)</w:t>
            </w:r>
          </w:p>
        </w:tc>
        <w:tc>
          <w:tcPr>
            <w:tcW w:w="1135" w:type="dxa"/>
          </w:tcPr>
          <w:p w:rsidR="0036665C" w:rsidRPr="00565AC5" w:rsidRDefault="0036665C" w:rsidP="001859B9">
            <w:pPr>
              <w:rPr>
                <w:rFonts w:ascii="Arial" w:hAnsi="Arial" w:cs="Arial"/>
                <w:i/>
                <w:color w:val="000000"/>
                <w:sz w:val="22"/>
                <w:szCs w:val="22"/>
              </w:rPr>
            </w:pPr>
            <w:r w:rsidRPr="00565AC5">
              <w:rPr>
                <w:rFonts w:ascii="Arial" w:hAnsi="Arial" w:cs="Arial"/>
                <w:i/>
                <w:color w:val="000000"/>
                <w:sz w:val="22"/>
                <w:szCs w:val="22"/>
              </w:rPr>
              <w:t>41 365</w:t>
            </w:r>
          </w:p>
        </w:tc>
        <w:tc>
          <w:tcPr>
            <w:tcW w:w="1984" w:type="dxa"/>
          </w:tcPr>
          <w:p w:rsidR="0036665C" w:rsidRPr="00565AC5" w:rsidRDefault="0036665C" w:rsidP="001859B9">
            <w:pPr>
              <w:rPr>
                <w:rFonts w:ascii="Arial" w:hAnsi="Arial" w:cs="Arial"/>
                <w:i/>
                <w:color w:val="000000"/>
                <w:sz w:val="22"/>
                <w:szCs w:val="22"/>
              </w:rPr>
            </w:pPr>
            <w:r w:rsidRPr="00565AC5">
              <w:rPr>
                <w:rFonts w:ascii="Arial" w:hAnsi="Arial" w:cs="Arial"/>
                <w:i/>
                <w:color w:val="000000"/>
                <w:sz w:val="22"/>
                <w:szCs w:val="22"/>
              </w:rPr>
              <w:t>28 524 (69 %)</w:t>
            </w:r>
          </w:p>
        </w:tc>
      </w:tr>
      <w:tr w:rsidR="0036665C" w:rsidRPr="00EC63F8" w:rsidTr="0036665C">
        <w:tc>
          <w:tcPr>
            <w:tcW w:w="2552" w:type="dxa"/>
          </w:tcPr>
          <w:p w:rsidR="0036665C" w:rsidRPr="00EC63F8" w:rsidRDefault="0036665C" w:rsidP="001859B9">
            <w:pPr>
              <w:rPr>
                <w:rFonts w:ascii="Arial" w:hAnsi="Arial" w:cs="Arial"/>
                <w:b/>
                <w:color w:val="000000"/>
                <w:sz w:val="22"/>
                <w:szCs w:val="22"/>
              </w:rPr>
            </w:pPr>
            <w:r w:rsidRPr="00EC63F8">
              <w:rPr>
                <w:rFonts w:ascii="Arial" w:hAnsi="Arial" w:cs="Arial"/>
                <w:b/>
                <w:color w:val="000000"/>
                <w:sz w:val="22"/>
                <w:szCs w:val="22"/>
              </w:rPr>
              <w:t>Glas</w:t>
            </w:r>
            <w:r>
              <w:rPr>
                <w:rFonts w:ascii="Arial" w:hAnsi="Arial" w:cs="Arial"/>
                <w:b/>
                <w:color w:val="000000"/>
                <w:sz w:val="22"/>
                <w:szCs w:val="22"/>
              </w:rPr>
              <w:t>förpackningar</w:t>
            </w:r>
          </w:p>
        </w:tc>
        <w:tc>
          <w:tcPr>
            <w:tcW w:w="1384" w:type="dxa"/>
          </w:tcPr>
          <w:p w:rsidR="0036665C" w:rsidRPr="00EC63F8" w:rsidRDefault="0036665C" w:rsidP="0036665C">
            <w:pPr>
              <w:jc w:val="center"/>
              <w:rPr>
                <w:rFonts w:ascii="Arial" w:hAnsi="Arial" w:cs="Arial"/>
                <w:color w:val="000000"/>
                <w:sz w:val="22"/>
                <w:szCs w:val="22"/>
              </w:rPr>
            </w:pPr>
            <w:r w:rsidRPr="00EC63F8">
              <w:rPr>
                <w:rFonts w:ascii="Arial" w:hAnsi="Arial" w:cs="Arial"/>
                <w:color w:val="000000"/>
                <w:sz w:val="22"/>
                <w:szCs w:val="22"/>
              </w:rPr>
              <w:t>70 %</w:t>
            </w:r>
          </w:p>
        </w:tc>
        <w:tc>
          <w:tcPr>
            <w:tcW w:w="1100" w:type="dxa"/>
          </w:tcPr>
          <w:p w:rsidR="0036665C" w:rsidRPr="00565AC5" w:rsidRDefault="0036665C" w:rsidP="001859B9">
            <w:pPr>
              <w:rPr>
                <w:rFonts w:ascii="Arial" w:hAnsi="Arial" w:cs="Arial"/>
                <w:color w:val="000000"/>
                <w:sz w:val="22"/>
                <w:szCs w:val="22"/>
              </w:rPr>
            </w:pPr>
            <w:r w:rsidRPr="00565AC5">
              <w:rPr>
                <w:rFonts w:ascii="Arial" w:hAnsi="Arial" w:cs="Arial"/>
                <w:color w:val="000000"/>
                <w:sz w:val="22"/>
                <w:szCs w:val="22"/>
              </w:rPr>
              <w:t>197 768</w:t>
            </w:r>
          </w:p>
        </w:tc>
        <w:tc>
          <w:tcPr>
            <w:tcW w:w="1984" w:type="dxa"/>
          </w:tcPr>
          <w:p w:rsidR="0036665C" w:rsidRPr="00565AC5" w:rsidRDefault="0036665C" w:rsidP="000F26AF">
            <w:pPr>
              <w:rPr>
                <w:rFonts w:ascii="Arial" w:hAnsi="Arial" w:cs="Arial"/>
                <w:color w:val="000000"/>
                <w:sz w:val="22"/>
                <w:szCs w:val="22"/>
              </w:rPr>
            </w:pPr>
            <w:r w:rsidRPr="00565AC5">
              <w:rPr>
                <w:rFonts w:ascii="Arial" w:hAnsi="Arial" w:cs="Arial"/>
                <w:sz w:val="22"/>
                <w:szCs w:val="22"/>
              </w:rPr>
              <w:t xml:space="preserve">176 014 </w:t>
            </w:r>
            <w:r w:rsidRPr="00565AC5">
              <w:rPr>
                <w:rFonts w:ascii="Arial" w:hAnsi="Arial" w:cs="Arial"/>
                <w:color w:val="000000"/>
                <w:sz w:val="22"/>
                <w:szCs w:val="22"/>
              </w:rPr>
              <w:t>(89 %)</w:t>
            </w:r>
          </w:p>
        </w:tc>
        <w:tc>
          <w:tcPr>
            <w:tcW w:w="1135" w:type="dxa"/>
          </w:tcPr>
          <w:p w:rsidR="0036665C" w:rsidRPr="00565AC5" w:rsidRDefault="0036665C" w:rsidP="000F26AF">
            <w:pPr>
              <w:rPr>
                <w:rFonts w:ascii="Arial" w:hAnsi="Arial" w:cs="Arial"/>
                <w:i/>
                <w:color w:val="000000"/>
                <w:sz w:val="22"/>
                <w:szCs w:val="22"/>
              </w:rPr>
            </w:pPr>
            <w:r w:rsidRPr="00565AC5">
              <w:rPr>
                <w:rFonts w:ascii="Arial" w:hAnsi="Arial" w:cs="Arial"/>
                <w:i/>
                <w:color w:val="000000"/>
                <w:sz w:val="22"/>
                <w:szCs w:val="22"/>
              </w:rPr>
              <w:t>199 158</w:t>
            </w:r>
          </w:p>
        </w:tc>
        <w:tc>
          <w:tcPr>
            <w:tcW w:w="1984" w:type="dxa"/>
          </w:tcPr>
          <w:p w:rsidR="0036665C" w:rsidRPr="00565AC5" w:rsidRDefault="0036665C" w:rsidP="001859B9">
            <w:pPr>
              <w:rPr>
                <w:rFonts w:ascii="Arial" w:hAnsi="Arial" w:cs="Arial"/>
                <w:i/>
                <w:color w:val="000000"/>
                <w:sz w:val="22"/>
                <w:szCs w:val="22"/>
              </w:rPr>
            </w:pPr>
            <w:r w:rsidRPr="00565AC5">
              <w:rPr>
                <w:rFonts w:ascii="Arial" w:hAnsi="Arial" w:cs="Arial"/>
                <w:i/>
                <w:sz w:val="22"/>
                <w:szCs w:val="22"/>
              </w:rPr>
              <w:t xml:space="preserve">175 500 </w:t>
            </w:r>
            <w:r w:rsidRPr="00565AC5">
              <w:rPr>
                <w:rFonts w:ascii="Arial" w:hAnsi="Arial" w:cs="Arial"/>
                <w:i/>
                <w:color w:val="000000"/>
                <w:sz w:val="22"/>
                <w:szCs w:val="22"/>
              </w:rPr>
              <w:t>(88,2 %)</w:t>
            </w:r>
          </w:p>
        </w:tc>
      </w:tr>
      <w:tr w:rsidR="0036665C" w:rsidRPr="00EC63F8" w:rsidTr="0036665C">
        <w:tc>
          <w:tcPr>
            <w:tcW w:w="2552" w:type="dxa"/>
          </w:tcPr>
          <w:p w:rsidR="0036665C" w:rsidRPr="00EC63F8" w:rsidRDefault="0036665C" w:rsidP="001859B9">
            <w:pPr>
              <w:rPr>
                <w:rFonts w:ascii="Arial" w:hAnsi="Arial" w:cs="Arial"/>
                <w:b/>
                <w:color w:val="000000"/>
                <w:sz w:val="22"/>
                <w:szCs w:val="22"/>
              </w:rPr>
            </w:pPr>
            <w:r w:rsidRPr="00EC63F8">
              <w:rPr>
                <w:rFonts w:ascii="Arial" w:hAnsi="Arial" w:cs="Arial"/>
                <w:b/>
                <w:color w:val="000000"/>
                <w:sz w:val="22"/>
                <w:szCs w:val="22"/>
              </w:rPr>
              <w:t>Tidningar</w:t>
            </w:r>
          </w:p>
        </w:tc>
        <w:tc>
          <w:tcPr>
            <w:tcW w:w="1384" w:type="dxa"/>
          </w:tcPr>
          <w:p w:rsidR="0036665C" w:rsidRPr="00EC63F8" w:rsidRDefault="0036665C" w:rsidP="0036665C">
            <w:pPr>
              <w:jc w:val="center"/>
              <w:rPr>
                <w:rFonts w:ascii="Arial" w:hAnsi="Arial" w:cs="Arial"/>
                <w:color w:val="000000"/>
                <w:sz w:val="22"/>
                <w:szCs w:val="22"/>
              </w:rPr>
            </w:pPr>
            <w:r w:rsidRPr="00EC63F8">
              <w:rPr>
                <w:rFonts w:ascii="Arial" w:hAnsi="Arial" w:cs="Arial"/>
                <w:color w:val="000000"/>
                <w:sz w:val="22"/>
                <w:szCs w:val="22"/>
              </w:rPr>
              <w:t>75 %</w:t>
            </w:r>
          </w:p>
        </w:tc>
        <w:tc>
          <w:tcPr>
            <w:tcW w:w="1100" w:type="dxa"/>
          </w:tcPr>
          <w:p w:rsidR="0036665C" w:rsidRPr="00565AC5" w:rsidRDefault="0036665C" w:rsidP="001859B9">
            <w:pPr>
              <w:rPr>
                <w:rFonts w:ascii="Arial" w:hAnsi="Arial" w:cs="Arial"/>
                <w:color w:val="000000"/>
                <w:sz w:val="22"/>
                <w:szCs w:val="22"/>
              </w:rPr>
            </w:pPr>
            <w:r w:rsidRPr="00565AC5">
              <w:rPr>
                <w:rFonts w:ascii="Arial" w:hAnsi="Arial" w:cs="Arial"/>
                <w:color w:val="000000"/>
                <w:sz w:val="22"/>
                <w:szCs w:val="22"/>
              </w:rPr>
              <w:t>Ingen uppgift</w:t>
            </w:r>
          </w:p>
        </w:tc>
        <w:tc>
          <w:tcPr>
            <w:tcW w:w="1984" w:type="dxa"/>
          </w:tcPr>
          <w:p w:rsidR="0036665C" w:rsidRPr="00565AC5" w:rsidRDefault="0036665C" w:rsidP="002D417F">
            <w:pPr>
              <w:rPr>
                <w:rFonts w:ascii="Arial" w:hAnsi="Arial" w:cs="Arial"/>
                <w:color w:val="000000"/>
                <w:sz w:val="22"/>
                <w:szCs w:val="22"/>
              </w:rPr>
            </w:pPr>
            <w:r w:rsidRPr="00565AC5">
              <w:rPr>
                <w:rFonts w:ascii="Arial" w:hAnsi="Arial" w:cs="Arial"/>
                <w:sz w:val="22"/>
                <w:szCs w:val="22"/>
              </w:rPr>
              <w:t xml:space="preserve">299 000 </w:t>
            </w:r>
          </w:p>
        </w:tc>
        <w:tc>
          <w:tcPr>
            <w:tcW w:w="1135" w:type="dxa"/>
          </w:tcPr>
          <w:p w:rsidR="0036665C" w:rsidRPr="00565AC5" w:rsidRDefault="0036665C" w:rsidP="001859B9">
            <w:pPr>
              <w:rPr>
                <w:rFonts w:ascii="Arial" w:hAnsi="Arial" w:cs="Arial"/>
                <w:i/>
                <w:color w:val="000000"/>
                <w:sz w:val="22"/>
                <w:szCs w:val="22"/>
              </w:rPr>
            </w:pPr>
            <w:r w:rsidRPr="00565AC5">
              <w:rPr>
                <w:rFonts w:ascii="Arial" w:hAnsi="Arial" w:cs="Arial"/>
                <w:i/>
                <w:color w:val="000000"/>
                <w:sz w:val="22"/>
                <w:szCs w:val="22"/>
              </w:rPr>
              <w:t>Ingen uppgift</w:t>
            </w:r>
          </w:p>
        </w:tc>
        <w:tc>
          <w:tcPr>
            <w:tcW w:w="1984" w:type="dxa"/>
          </w:tcPr>
          <w:p w:rsidR="0036665C" w:rsidRPr="00565AC5" w:rsidRDefault="0036665C" w:rsidP="00CB61D3">
            <w:pPr>
              <w:rPr>
                <w:rFonts w:ascii="Arial" w:hAnsi="Arial" w:cs="Arial"/>
                <w:i/>
                <w:color w:val="000000"/>
                <w:sz w:val="22"/>
                <w:szCs w:val="22"/>
              </w:rPr>
            </w:pPr>
            <w:r w:rsidRPr="00565AC5">
              <w:rPr>
                <w:rFonts w:ascii="Arial" w:hAnsi="Arial" w:cs="Arial"/>
                <w:i/>
                <w:color w:val="000000"/>
                <w:sz w:val="22"/>
                <w:szCs w:val="22"/>
              </w:rPr>
              <w:t>320 000</w:t>
            </w:r>
          </w:p>
        </w:tc>
      </w:tr>
    </w:tbl>
    <w:p w:rsidR="00441F40" w:rsidRPr="00EC63F8" w:rsidRDefault="001859B9" w:rsidP="00441F40">
      <w:pPr>
        <w:rPr>
          <w:rFonts w:ascii="Arial" w:hAnsi="Arial" w:cs="Arial"/>
          <w:color w:val="000000"/>
          <w:sz w:val="22"/>
          <w:szCs w:val="22"/>
        </w:rPr>
      </w:pPr>
      <w:r w:rsidRPr="00D4470A">
        <w:rPr>
          <w:rFonts w:ascii="Arial" w:hAnsi="Arial" w:cs="Arial"/>
          <w:color w:val="000000"/>
          <w:sz w:val="18"/>
          <w:szCs w:val="18"/>
        </w:rPr>
        <w:br/>
      </w:r>
      <w:r w:rsidR="003B6E9D">
        <w:rPr>
          <w:rFonts w:ascii="Arial" w:hAnsi="Arial" w:cs="Arial"/>
          <w:color w:val="000000"/>
          <w:sz w:val="22"/>
          <w:szCs w:val="22"/>
        </w:rPr>
        <w:t>Redovisningen visar d</w:t>
      </w:r>
      <w:r w:rsidR="00441F40" w:rsidRPr="00EC63F8">
        <w:rPr>
          <w:rFonts w:ascii="Arial" w:hAnsi="Arial" w:cs="Arial"/>
          <w:color w:val="000000"/>
          <w:sz w:val="22"/>
          <w:szCs w:val="22"/>
        </w:rPr>
        <w:t xml:space="preserve">en totala vikten av använda förpackningar som hushåll och verksamheter lämnat och som återvunnits till nytt material under förra året </w:t>
      </w:r>
      <w:r w:rsidR="003B6E9D">
        <w:rPr>
          <w:rFonts w:ascii="Arial" w:hAnsi="Arial" w:cs="Arial"/>
          <w:color w:val="000000"/>
          <w:sz w:val="22"/>
          <w:szCs w:val="22"/>
        </w:rPr>
        <w:t>vilket sedan</w:t>
      </w:r>
      <w:r w:rsidR="00441F40" w:rsidRPr="00EC63F8">
        <w:rPr>
          <w:rFonts w:ascii="Arial" w:hAnsi="Arial" w:cs="Arial"/>
          <w:color w:val="000000"/>
          <w:sz w:val="22"/>
          <w:szCs w:val="22"/>
        </w:rPr>
        <w:t xml:space="preserve"> dividerats med vikten av den totala mängd som anslutna</w:t>
      </w:r>
      <w:r w:rsidR="00575C27">
        <w:rPr>
          <w:rFonts w:ascii="Arial" w:hAnsi="Arial" w:cs="Arial"/>
          <w:color w:val="000000"/>
          <w:sz w:val="22"/>
          <w:szCs w:val="22"/>
        </w:rPr>
        <w:t xml:space="preserve"> producenter redovisat för den s</w:t>
      </w:r>
      <w:r w:rsidR="00441F40" w:rsidRPr="00EC63F8">
        <w:rPr>
          <w:rFonts w:ascii="Arial" w:hAnsi="Arial" w:cs="Arial"/>
          <w:color w:val="000000"/>
          <w:sz w:val="22"/>
          <w:szCs w:val="22"/>
        </w:rPr>
        <w:t>venska mark</w:t>
      </w:r>
      <w:r w:rsidR="00441F40" w:rsidRPr="00EC63F8">
        <w:rPr>
          <w:rFonts w:ascii="Arial" w:hAnsi="Arial" w:cs="Arial"/>
          <w:color w:val="000000"/>
          <w:sz w:val="22"/>
          <w:szCs w:val="22"/>
        </w:rPr>
        <w:softHyphen/>
        <w:t>na</w:t>
      </w:r>
      <w:r w:rsidR="00441F40" w:rsidRPr="00EC63F8">
        <w:rPr>
          <w:rFonts w:ascii="Arial" w:hAnsi="Arial" w:cs="Arial"/>
          <w:color w:val="000000"/>
          <w:sz w:val="22"/>
          <w:szCs w:val="22"/>
        </w:rPr>
        <w:softHyphen/>
        <w:t xml:space="preserve">den. </w:t>
      </w:r>
      <w:r w:rsidR="003B6E9D">
        <w:rPr>
          <w:rFonts w:ascii="Arial" w:hAnsi="Arial" w:cs="Arial"/>
          <w:color w:val="000000"/>
          <w:sz w:val="22"/>
          <w:szCs w:val="22"/>
        </w:rPr>
        <w:t xml:space="preserve">För plastförpackningar </w:t>
      </w:r>
      <w:r w:rsidR="00575C27">
        <w:rPr>
          <w:rFonts w:ascii="Arial" w:hAnsi="Arial" w:cs="Arial"/>
          <w:color w:val="000000"/>
          <w:sz w:val="22"/>
          <w:szCs w:val="22"/>
        </w:rPr>
        <w:t>används nu</w:t>
      </w:r>
      <w:bookmarkStart w:id="2" w:name="_GoBack"/>
      <w:bookmarkEnd w:id="2"/>
      <w:r w:rsidR="003B6E9D">
        <w:rPr>
          <w:rFonts w:ascii="Arial" w:hAnsi="Arial" w:cs="Arial"/>
          <w:color w:val="000000"/>
          <w:sz w:val="22"/>
          <w:szCs w:val="22"/>
        </w:rPr>
        <w:t xml:space="preserve"> en ny beräkningsmetod parallellt med den tidigare metoden.</w:t>
      </w:r>
    </w:p>
    <w:p w:rsidR="00441F40" w:rsidRPr="00EC63F8" w:rsidRDefault="00441F40" w:rsidP="00441F40">
      <w:pPr>
        <w:rPr>
          <w:rFonts w:ascii="Arial" w:hAnsi="Arial" w:cs="Arial"/>
          <w:color w:val="000000"/>
          <w:sz w:val="22"/>
          <w:szCs w:val="22"/>
        </w:rPr>
      </w:pPr>
    </w:p>
    <w:p w:rsidR="006A268C" w:rsidRPr="00903B04" w:rsidRDefault="00903B04" w:rsidP="0053362D">
      <w:pPr>
        <w:rPr>
          <w:rFonts w:ascii="Arial" w:hAnsi="Arial" w:cs="Arial"/>
          <w:bCs/>
          <w:i/>
          <w:color w:val="000000"/>
          <w:sz w:val="22"/>
          <w:szCs w:val="22"/>
        </w:rPr>
      </w:pPr>
      <w:r w:rsidRPr="00903B04">
        <w:rPr>
          <w:rFonts w:ascii="Arial" w:hAnsi="Arial" w:cs="Arial"/>
          <w:i/>
          <w:color w:val="000000"/>
          <w:sz w:val="22"/>
          <w:szCs w:val="22"/>
        </w:rPr>
        <w:t xml:space="preserve">– </w:t>
      </w:r>
      <w:r>
        <w:rPr>
          <w:rFonts w:ascii="Arial" w:hAnsi="Arial" w:cs="Arial"/>
          <w:i/>
          <w:color w:val="000000"/>
          <w:sz w:val="22"/>
          <w:szCs w:val="22"/>
        </w:rPr>
        <w:t>Under</w:t>
      </w:r>
      <w:r w:rsidRPr="00903B04">
        <w:rPr>
          <w:rFonts w:ascii="Arial" w:hAnsi="Arial" w:cs="Arial"/>
          <w:i/>
          <w:color w:val="000000"/>
          <w:sz w:val="22"/>
          <w:szCs w:val="22"/>
        </w:rPr>
        <w:t xml:space="preserve"> året har </w:t>
      </w:r>
      <w:r>
        <w:rPr>
          <w:rFonts w:ascii="Arial" w:hAnsi="Arial" w:cs="Arial"/>
          <w:i/>
          <w:color w:val="000000"/>
          <w:sz w:val="22"/>
          <w:szCs w:val="22"/>
        </w:rPr>
        <w:t xml:space="preserve">vi lagt </w:t>
      </w:r>
      <w:r w:rsidRPr="00903B04">
        <w:rPr>
          <w:rFonts w:ascii="Arial" w:hAnsi="Arial" w:cs="Arial"/>
          <w:i/>
          <w:color w:val="000000"/>
          <w:sz w:val="22"/>
          <w:szCs w:val="22"/>
        </w:rPr>
        <w:t xml:space="preserve">kraft på </w:t>
      </w:r>
      <w:r>
        <w:rPr>
          <w:rFonts w:ascii="Arial" w:hAnsi="Arial" w:cs="Arial"/>
          <w:i/>
          <w:color w:val="000000"/>
          <w:sz w:val="22"/>
          <w:szCs w:val="22"/>
        </w:rPr>
        <w:t xml:space="preserve">att </w:t>
      </w:r>
      <w:r w:rsidR="006D5772">
        <w:rPr>
          <w:rFonts w:ascii="Arial" w:hAnsi="Arial" w:cs="Arial"/>
          <w:i/>
          <w:color w:val="000000"/>
          <w:sz w:val="22"/>
          <w:szCs w:val="22"/>
        </w:rPr>
        <w:t>kontrollera</w:t>
      </w:r>
      <w:r w:rsidRPr="00903B04">
        <w:rPr>
          <w:rFonts w:ascii="Arial" w:hAnsi="Arial" w:cs="Arial"/>
          <w:i/>
          <w:color w:val="000000"/>
          <w:sz w:val="22"/>
          <w:szCs w:val="22"/>
        </w:rPr>
        <w:t xml:space="preserve"> </w:t>
      </w:r>
      <w:r w:rsidR="006D5772">
        <w:rPr>
          <w:rFonts w:ascii="Arial" w:hAnsi="Arial" w:cs="Arial"/>
          <w:i/>
          <w:color w:val="000000"/>
          <w:sz w:val="22"/>
          <w:szCs w:val="22"/>
        </w:rPr>
        <w:t xml:space="preserve">hur de </w:t>
      </w:r>
      <w:r w:rsidRPr="00903B04">
        <w:rPr>
          <w:rFonts w:ascii="Arial" w:hAnsi="Arial" w:cs="Arial"/>
          <w:i/>
          <w:color w:val="000000"/>
          <w:sz w:val="22"/>
          <w:szCs w:val="22"/>
        </w:rPr>
        <w:t xml:space="preserve">förpackningar av plast </w:t>
      </w:r>
      <w:r w:rsidR="006D5772">
        <w:rPr>
          <w:rFonts w:ascii="Arial" w:hAnsi="Arial" w:cs="Arial"/>
          <w:i/>
          <w:color w:val="000000"/>
          <w:sz w:val="22"/>
          <w:szCs w:val="22"/>
        </w:rPr>
        <w:t>som verksamheter använder återvinns</w:t>
      </w:r>
      <w:r w:rsidRPr="00903B04">
        <w:rPr>
          <w:rFonts w:ascii="Arial" w:hAnsi="Arial" w:cs="Arial"/>
          <w:i/>
          <w:color w:val="000000"/>
          <w:sz w:val="22"/>
          <w:szCs w:val="22"/>
        </w:rPr>
        <w:t>, från att de nått företag</w:t>
      </w:r>
      <w:r w:rsidR="006D5772">
        <w:rPr>
          <w:rFonts w:ascii="Arial" w:hAnsi="Arial" w:cs="Arial"/>
          <w:i/>
          <w:color w:val="000000"/>
          <w:sz w:val="22"/>
          <w:szCs w:val="22"/>
        </w:rPr>
        <w:t>et</w:t>
      </w:r>
      <w:r w:rsidRPr="00903B04">
        <w:rPr>
          <w:rFonts w:ascii="Arial" w:hAnsi="Arial" w:cs="Arial"/>
          <w:i/>
          <w:color w:val="000000"/>
          <w:sz w:val="22"/>
          <w:szCs w:val="22"/>
        </w:rPr>
        <w:t xml:space="preserve"> till dess att det återbördats för att bli till nytt material som ersät</w:t>
      </w:r>
      <w:r>
        <w:rPr>
          <w:rFonts w:ascii="Arial" w:hAnsi="Arial" w:cs="Arial"/>
          <w:i/>
          <w:color w:val="000000"/>
          <w:sz w:val="22"/>
          <w:szCs w:val="22"/>
        </w:rPr>
        <w:t xml:space="preserve">tning för </w:t>
      </w:r>
      <w:r w:rsidR="00A520AA">
        <w:rPr>
          <w:rFonts w:ascii="Arial" w:hAnsi="Arial" w:cs="Arial"/>
          <w:i/>
          <w:color w:val="000000"/>
          <w:sz w:val="22"/>
          <w:szCs w:val="22"/>
        </w:rPr>
        <w:t xml:space="preserve">olja i tillverkningen. Vi har </w:t>
      </w:r>
      <w:r>
        <w:rPr>
          <w:rFonts w:ascii="Arial" w:hAnsi="Arial" w:cs="Arial"/>
          <w:i/>
          <w:color w:val="000000"/>
          <w:sz w:val="22"/>
          <w:szCs w:val="22"/>
        </w:rPr>
        <w:t>konstatera</w:t>
      </w:r>
      <w:r w:rsidR="00A520AA">
        <w:rPr>
          <w:rFonts w:ascii="Arial" w:hAnsi="Arial" w:cs="Arial"/>
          <w:i/>
          <w:color w:val="000000"/>
          <w:sz w:val="22"/>
          <w:szCs w:val="22"/>
        </w:rPr>
        <w:t>t</w:t>
      </w:r>
      <w:r>
        <w:rPr>
          <w:rFonts w:ascii="Arial" w:hAnsi="Arial" w:cs="Arial"/>
          <w:i/>
          <w:color w:val="000000"/>
          <w:sz w:val="22"/>
          <w:szCs w:val="22"/>
        </w:rPr>
        <w:t xml:space="preserve"> att </w:t>
      </w:r>
      <w:r w:rsidR="006D5772">
        <w:rPr>
          <w:rFonts w:ascii="Arial" w:hAnsi="Arial" w:cs="Arial"/>
          <w:i/>
          <w:color w:val="000000"/>
          <w:sz w:val="22"/>
          <w:szCs w:val="22"/>
        </w:rPr>
        <w:t>deras återvinning</w:t>
      </w:r>
      <w:r>
        <w:rPr>
          <w:rFonts w:ascii="Arial" w:hAnsi="Arial" w:cs="Arial"/>
          <w:i/>
          <w:color w:val="000000"/>
          <w:sz w:val="22"/>
          <w:szCs w:val="22"/>
        </w:rPr>
        <w:t xml:space="preserve"> är mycket bättre än vi tidigare re</w:t>
      </w:r>
      <w:r w:rsidR="00535A0B">
        <w:rPr>
          <w:rFonts w:ascii="Arial" w:hAnsi="Arial" w:cs="Arial"/>
          <w:i/>
          <w:color w:val="000000"/>
          <w:sz w:val="22"/>
          <w:szCs w:val="22"/>
        </w:rPr>
        <w:t xml:space="preserve">dovisat. Analysen leder till att vi </w:t>
      </w:r>
      <w:r w:rsidR="006D5772">
        <w:rPr>
          <w:rFonts w:ascii="Arial" w:hAnsi="Arial" w:cs="Arial"/>
          <w:i/>
          <w:color w:val="000000"/>
          <w:sz w:val="22"/>
          <w:szCs w:val="22"/>
        </w:rPr>
        <w:t xml:space="preserve">– </w:t>
      </w:r>
      <w:r w:rsidR="00535A0B">
        <w:rPr>
          <w:rFonts w:ascii="Arial" w:hAnsi="Arial" w:cs="Arial"/>
          <w:i/>
          <w:color w:val="000000"/>
          <w:sz w:val="22"/>
          <w:szCs w:val="22"/>
        </w:rPr>
        <w:t>med den nya beräknings</w:t>
      </w:r>
      <w:r w:rsidR="006D5772">
        <w:rPr>
          <w:rFonts w:ascii="Arial" w:hAnsi="Arial" w:cs="Arial"/>
          <w:i/>
          <w:color w:val="000000"/>
          <w:sz w:val="22"/>
          <w:szCs w:val="22"/>
        </w:rPr>
        <w:softHyphen/>
      </w:r>
      <w:r w:rsidR="00535A0B">
        <w:rPr>
          <w:rFonts w:ascii="Arial" w:hAnsi="Arial" w:cs="Arial"/>
          <w:i/>
          <w:color w:val="000000"/>
          <w:sz w:val="22"/>
          <w:szCs w:val="22"/>
        </w:rPr>
        <w:t xml:space="preserve">metoden </w:t>
      </w:r>
      <w:r w:rsidR="006D5772">
        <w:rPr>
          <w:rFonts w:ascii="Arial" w:hAnsi="Arial" w:cs="Arial"/>
          <w:i/>
          <w:color w:val="000000"/>
          <w:sz w:val="22"/>
          <w:szCs w:val="22"/>
        </w:rPr>
        <w:t xml:space="preserve">– </w:t>
      </w:r>
      <w:r>
        <w:rPr>
          <w:rFonts w:ascii="Arial" w:hAnsi="Arial" w:cs="Arial"/>
          <w:i/>
          <w:color w:val="000000"/>
          <w:sz w:val="22"/>
          <w:szCs w:val="22"/>
        </w:rPr>
        <w:t xml:space="preserve">materialutnyttjat hela </w:t>
      </w:r>
      <w:r w:rsidR="00535A0B">
        <w:rPr>
          <w:rFonts w:ascii="Arial" w:hAnsi="Arial" w:cs="Arial"/>
          <w:i/>
          <w:color w:val="000000"/>
          <w:sz w:val="22"/>
          <w:szCs w:val="22"/>
        </w:rPr>
        <w:t>68 419 ton det vill säga 36,7 %, väl över målet på 30 %</w:t>
      </w:r>
    </w:p>
    <w:p w:rsidR="00903B04" w:rsidRDefault="00903B04" w:rsidP="00903B04">
      <w:pPr>
        <w:rPr>
          <w:rFonts w:ascii="Arial" w:hAnsi="Arial" w:cs="Arial"/>
          <w:color w:val="000000"/>
          <w:sz w:val="22"/>
          <w:szCs w:val="22"/>
        </w:rPr>
      </w:pPr>
    </w:p>
    <w:p w:rsidR="00903B04" w:rsidRPr="00EC63F8" w:rsidRDefault="00903B04" w:rsidP="00903B04">
      <w:pPr>
        <w:rPr>
          <w:rFonts w:ascii="Arial" w:hAnsi="Arial" w:cs="Arial"/>
          <w:color w:val="000000"/>
          <w:sz w:val="22"/>
          <w:szCs w:val="22"/>
        </w:rPr>
      </w:pPr>
      <w:r w:rsidRPr="00EC63F8">
        <w:rPr>
          <w:rFonts w:ascii="Arial" w:hAnsi="Arial" w:cs="Arial"/>
          <w:color w:val="000000"/>
          <w:sz w:val="22"/>
          <w:szCs w:val="22"/>
        </w:rPr>
        <w:t xml:space="preserve">Tidigare bedömningar av den mängd som verksamheter lämnat till återvinning har grundats på analyser från </w:t>
      </w:r>
      <w:r w:rsidR="00EF4D8E">
        <w:rPr>
          <w:rFonts w:ascii="Arial" w:hAnsi="Arial" w:cs="Arial"/>
          <w:color w:val="000000"/>
          <w:sz w:val="22"/>
          <w:szCs w:val="22"/>
        </w:rPr>
        <w:t>seklets början</w:t>
      </w:r>
      <w:r w:rsidRPr="00EC63F8">
        <w:rPr>
          <w:rFonts w:ascii="Arial" w:hAnsi="Arial" w:cs="Arial"/>
          <w:color w:val="000000"/>
          <w:sz w:val="22"/>
          <w:szCs w:val="22"/>
        </w:rPr>
        <w:t>. I den nya analysen konstateras att det är främst mer av den plastfilm som används inom handeln som återvinns till nytt material och som nu</w:t>
      </w:r>
      <w:r w:rsidR="00A520AA">
        <w:rPr>
          <w:rFonts w:ascii="Arial" w:hAnsi="Arial" w:cs="Arial"/>
          <w:color w:val="000000"/>
          <w:sz w:val="22"/>
          <w:szCs w:val="22"/>
        </w:rPr>
        <w:t xml:space="preserve"> </w:t>
      </w:r>
      <w:r w:rsidRPr="00EC63F8">
        <w:rPr>
          <w:rFonts w:ascii="Arial" w:hAnsi="Arial" w:cs="Arial"/>
          <w:color w:val="000000"/>
          <w:sz w:val="22"/>
          <w:szCs w:val="22"/>
        </w:rPr>
        <w:t>mer ingår i det som redovisas både i täljare och i nämnare. Det</w:t>
      </w:r>
      <w:r w:rsidR="00131B7D">
        <w:rPr>
          <w:rFonts w:ascii="Arial" w:hAnsi="Arial" w:cs="Arial"/>
          <w:color w:val="000000"/>
          <w:sz w:val="22"/>
          <w:szCs w:val="22"/>
        </w:rPr>
        <w:t>ta</w:t>
      </w:r>
      <w:r w:rsidRPr="00EC63F8">
        <w:rPr>
          <w:rFonts w:ascii="Arial" w:hAnsi="Arial" w:cs="Arial"/>
          <w:color w:val="000000"/>
          <w:sz w:val="22"/>
          <w:szCs w:val="22"/>
        </w:rPr>
        <w:t xml:space="preserve"> ger en mer rätt</w:t>
      </w:r>
      <w:r w:rsidR="0088541B">
        <w:rPr>
          <w:rFonts w:ascii="Arial" w:hAnsi="Arial" w:cs="Arial"/>
          <w:color w:val="000000"/>
          <w:sz w:val="22"/>
          <w:szCs w:val="22"/>
        </w:rPr>
        <w:t>visande</w:t>
      </w:r>
      <w:r w:rsidRPr="00EC63F8">
        <w:rPr>
          <w:rFonts w:ascii="Arial" w:hAnsi="Arial" w:cs="Arial"/>
          <w:color w:val="000000"/>
          <w:sz w:val="22"/>
          <w:szCs w:val="22"/>
        </w:rPr>
        <w:t xml:space="preserve"> bild av material</w:t>
      </w:r>
      <w:r w:rsidR="00EF4D8E">
        <w:rPr>
          <w:rFonts w:ascii="Arial" w:hAnsi="Arial" w:cs="Arial"/>
          <w:color w:val="000000"/>
          <w:sz w:val="22"/>
          <w:szCs w:val="22"/>
        </w:rPr>
        <w:softHyphen/>
      </w:r>
      <w:r w:rsidRPr="00EC63F8">
        <w:rPr>
          <w:rFonts w:ascii="Arial" w:hAnsi="Arial" w:cs="Arial"/>
          <w:color w:val="000000"/>
          <w:sz w:val="22"/>
          <w:szCs w:val="22"/>
        </w:rPr>
        <w:t>åter</w:t>
      </w:r>
      <w:r w:rsidR="00EF4D8E">
        <w:rPr>
          <w:rFonts w:ascii="Arial" w:hAnsi="Arial" w:cs="Arial"/>
          <w:color w:val="000000"/>
          <w:sz w:val="22"/>
          <w:szCs w:val="22"/>
        </w:rPr>
        <w:softHyphen/>
      </w:r>
      <w:r w:rsidRPr="00EC63F8">
        <w:rPr>
          <w:rFonts w:ascii="Arial" w:hAnsi="Arial" w:cs="Arial"/>
          <w:color w:val="000000"/>
          <w:sz w:val="22"/>
          <w:szCs w:val="22"/>
        </w:rPr>
        <w:t>vin</w:t>
      </w:r>
      <w:r w:rsidRPr="00EC63F8">
        <w:rPr>
          <w:rFonts w:ascii="Arial" w:hAnsi="Arial" w:cs="Arial"/>
          <w:color w:val="000000"/>
          <w:sz w:val="22"/>
          <w:szCs w:val="22"/>
        </w:rPr>
        <w:softHyphen/>
        <w:t xml:space="preserve">ningen av plastförpackningar i Sverige som </w:t>
      </w:r>
      <w:r w:rsidR="0088541B">
        <w:rPr>
          <w:rFonts w:ascii="Arial" w:hAnsi="Arial" w:cs="Arial"/>
          <w:color w:val="000000"/>
          <w:sz w:val="22"/>
          <w:szCs w:val="22"/>
        </w:rPr>
        <w:t xml:space="preserve">även </w:t>
      </w:r>
      <w:r w:rsidRPr="00EC63F8">
        <w:rPr>
          <w:rFonts w:ascii="Arial" w:hAnsi="Arial" w:cs="Arial"/>
          <w:color w:val="000000"/>
          <w:sz w:val="22"/>
          <w:szCs w:val="22"/>
        </w:rPr>
        <w:t>blir mer jämförbar med andra länders.</w:t>
      </w:r>
    </w:p>
    <w:p w:rsidR="00851859" w:rsidRPr="00EC63F8" w:rsidRDefault="00851859" w:rsidP="0053362D">
      <w:pPr>
        <w:rPr>
          <w:rFonts w:ascii="Arial" w:hAnsi="Arial" w:cs="Arial"/>
          <w:bCs/>
          <w:i/>
          <w:color w:val="000000"/>
          <w:sz w:val="22"/>
          <w:szCs w:val="22"/>
        </w:rPr>
      </w:pPr>
    </w:p>
    <w:p w:rsidR="007B2E98" w:rsidRPr="00EC63F8" w:rsidRDefault="0068402B" w:rsidP="0053362D">
      <w:pPr>
        <w:rPr>
          <w:rFonts w:ascii="Arial" w:hAnsi="Arial" w:cs="Arial"/>
          <w:bCs/>
          <w:color w:val="000000"/>
          <w:sz w:val="22"/>
          <w:szCs w:val="22"/>
        </w:rPr>
      </w:pPr>
      <w:r w:rsidRPr="00EC63F8">
        <w:rPr>
          <w:rFonts w:ascii="Arial" w:hAnsi="Arial" w:cs="Arial"/>
          <w:bCs/>
          <w:color w:val="000000"/>
          <w:sz w:val="22"/>
          <w:szCs w:val="22"/>
        </w:rPr>
        <w:t xml:space="preserve">– </w:t>
      </w:r>
      <w:r w:rsidR="00B72E64" w:rsidRPr="00B72E64">
        <w:rPr>
          <w:rFonts w:ascii="Arial" w:hAnsi="Arial" w:cs="Arial"/>
          <w:bCs/>
          <w:i/>
          <w:color w:val="000000"/>
          <w:sz w:val="22"/>
          <w:szCs w:val="22"/>
        </w:rPr>
        <w:t>Då det gäller tidningar har v</w:t>
      </w:r>
      <w:r w:rsidR="00B37FEF" w:rsidRPr="00B72E64">
        <w:rPr>
          <w:rFonts w:ascii="Arial" w:hAnsi="Arial" w:cs="Arial"/>
          <w:bCs/>
          <w:i/>
          <w:color w:val="000000"/>
          <w:sz w:val="22"/>
          <w:szCs w:val="22"/>
        </w:rPr>
        <w:t>i</w:t>
      </w:r>
      <w:r w:rsidR="00B37FEF" w:rsidRPr="00EC63F8">
        <w:rPr>
          <w:rFonts w:ascii="Arial" w:hAnsi="Arial" w:cs="Arial"/>
          <w:bCs/>
          <w:i/>
          <w:color w:val="000000"/>
          <w:sz w:val="22"/>
          <w:szCs w:val="22"/>
        </w:rPr>
        <w:t xml:space="preserve"> har sedan 2010 valt att endast redovisa </w:t>
      </w:r>
      <w:r w:rsidR="00020422">
        <w:rPr>
          <w:rFonts w:ascii="Arial" w:hAnsi="Arial" w:cs="Arial"/>
          <w:bCs/>
          <w:i/>
          <w:color w:val="000000"/>
          <w:sz w:val="22"/>
          <w:szCs w:val="22"/>
        </w:rPr>
        <w:t xml:space="preserve">den </w:t>
      </w:r>
      <w:r w:rsidR="00B37FEF" w:rsidRPr="00EC63F8">
        <w:rPr>
          <w:rFonts w:ascii="Arial" w:hAnsi="Arial" w:cs="Arial"/>
          <w:bCs/>
          <w:i/>
          <w:color w:val="000000"/>
          <w:sz w:val="22"/>
          <w:szCs w:val="22"/>
        </w:rPr>
        <w:t>av oss insamlad</w:t>
      </w:r>
      <w:r w:rsidR="00020422">
        <w:rPr>
          <w:rFonts w:ascii="Arial" w:hAnsi="Arial" w:cs="Arial"/>
          <w:bCs/>
          <w:i/>
          <w:color w:val="000000"/>
          <w:sz w:val="22"/>
          <w:szCs w:val="22"/>
        </w:rPr>
        <w:t>e</w:t>
      </w:r>
      <w:r w:rsidR="00B37FEF" w:rsidRPr="00EC63F8">
        <w:rPr>
          <w:rFonts w:ascii="Arial" w:hAnsi="Arial" w:cs="Arial"/>
          <w:bCs/>
          <w:i/>
          <w:color w:val="000000"/>
          <w:sz w:val="22"/>
          <w:szCs w:val="22"/>
        </w:rPr>
        <w:t xml:space="preserve"> volym</w:t>
      </w:r>
      <w:r w:rsidR="00020422">
        <w:rPr>
          <w:rFonts w:ascii="Arial" w:hAnsi="Arial" w:cs="Arial"/>
          <w:bCs/>
          <w:i/>
          <w:color w:val="000000"/>
          <w:sz w:val="22"/>
          <w:szCs w:val="22"/>
        </w:rPr>
        <w:t>en</w:t>
      </w:r>
      <w:r w:rsidR="00B72E64">
        <w:rPr>
          <w:rFonts w:ascii="Arial" w:hAnsi="Arial" w:cs="Arial"/>
          <w:bCs/>
          <w:i/>
          <w:color w:val="000000"/>
          <w:sz w:val="22"/>
          <w:szCs w:val="22"/>
        </w:rPr>
        <w:t xml:space="preserve"> som en konsekvens</w:t>
      </w:r>
      <w:r w:rsidR="00B37FEF" w:rsidRPr="00EC63F8">
        <w:rPr>
          <w:rFonts w:ascii="Arial" w:hAnsi="Arial" w:cs="Arial"/>
          <w:bCs/>
          <w:i/>
          <w:color w:val="000000"/>
          <w:sz w:val="22"/>
          <w:szCs w:val="22"/>
        </w:rPr>
        <w:t xml:space="preserve"> av att en handfull kommuner inte</w:t>
      </w:r>
      <w:r w:rsidR="00B72E64">
        <w:rPr>
          <w:rFonts w:ascii="Arial" w:hAnsi="Arial" w:cs="Arial"/>
          <w:bCs/>
          <w:i/>
          <w:color w:val="000000"/>
          <w:sz w:val="22"/>
          <w:szCs w:val="22"/>
        </w:rPr>
        <w:t xml:space="preserve"> respekterar producentansvaret. Tyvärr </w:t>
      </w:r>
      <w:r w:rsidR="00B37FEF" w:rsidRPr="00EC63F8">
        <w:rPr>
          <w:rFonts w:ascii="Arial" w:hAnsi="Arial" w:cs="Arial"/>
          <w:bCs/>
          <w:i/>
          <w:color w:val="000000"/>
          <w:sz w:val="22"/>
          <w:szCs w:val="22"/>
        </w:rPr>
        <w:t xml:space="preserve">gör </w:t>
      </w:r>
      <w:r w:rsidR="00B72E64">
        <w:rPr>
          <w:rFonts w:ascii="Arial" w:hAnsi="Arial" w:cs="Arial"/>
          <w:bCs/>
          <w:i/>
          <w:color w:val="000000"/>
          <w:sz w:val="22"/>
          <w:szCs w:val="22"/>
        </w:rPr>
        <w:t xml:space="preserve">det </w:t>
      </w:r>
      <w:r w:rsidR="00B37FEF" w:rsidRPr="00EC63F8">
        <w:rPr>
          <w:rFonts w:ascii="Arial" w:hAnsi="Arial" w:cs="Arial"/>
          <w:bCs/>
          <w:i/>
          <w:color w:val="000000"/>
          <w:sz w:val="22"/>
          <w:szCs w:val="22"/>
        </w:rPr>
        <w:t>att mängden redovisat returpapper på marknaden liksom jämförelsen med det nationella målet är helt omöjlig för oss att göra</w:t>
      </w:r>
      <w:r w:rsidR="0036103F" w:rsidRPr="00EC63F8">
        <w:rPr>
          <w:rFonts w:ascii="Arial" w:hAnsi="Arial" w:cs="Arial"/>
          <w:bCs/>
          <w:i/>
          <w:color w:val="000000"/>
          <w:sz w:val="22"/>
          <w:szCs w:val="22"/>
        </w:rPr>
        <w:t>,</w:t>
      </w:r>
      <w:r w:rsidR="0029745E" w:rsidRPr="00EC63F8">
        <w:rPr>
          <w:rFonts w:ascii="Arial" w:hAnsi="Arial" w:cs="Arial"/>
          <w:bCs/>
          <w:color w:val="000000"/>
          <w:sz w:val="22"/>
          <w:szCs w:val="22"/>
        </w:rPr>
        <w:t xml:space="preserve"> avslutar K</w:t>
      </w:r>
      <w:r w:rsidR="00876383" w:rsidRPr="00EC63F8">
        <w:rPr>
          <w:rFonts w:ascii="Arial" w:hAnsi="Arial" w:cs="Arial"/>
          <w:bCs/>
          <w:color w:val="000000"/>
          <w:sz w:val="22"/>
          <w:szCs w:val="22"/>
        </w:rPr>
        <w:t>e</w:t>
      </w:r>
      <w:r w:rsidR="0029745E" w:rsidRPr="00EC63F8">
        <w:rPr>
          <w:rFonts w:ascii="Arial" w:hAnsi="Arial" w:cs="Arial"/>
          <w:bCs/>
          <w:color w:val="000000"/>
          <w:sz w:val="22"/>
          <w:szCs w:val="22"/>
        </w:rPr>
        <w:t>nt Carlsson</w:t>
      </w:r>
      <w:r w:rsidR="00AC4107" w:rsidRPr="00EC63F8">
        <w:rPr>
          <w:rFonts w:ascii="Arial" w:hAnsi="Arial" w:cs="Arial"/>
          <w:bCs/>
          <w:color w:val="000000"/>
          <w:sz w:val="22"/>
          <w:szCs w:val="22"/>
        </w:rPr>
        <w:t>.</w:t>
      </w:r>
    </w:p>
    <w:p w:rsidR="00B106C6" w:rsidRPr="00EC63F8" w:rsidRDefault="00B106C6" w:rsidP="00523350">
      <w:pPr>
        <w:rPr>
          <w:rFonts w:ascii="Arial" w:hAnsi="Arial" w:cs="Arial"/>
          <w:i/>
          <w:iCs/>
          <w:sz w:val="22"/>
          <w:szCs w:val="22"/>
        </w:rPr>
      </w:pPr>
    </w:p>
    <w:p w:rsidR="00523350" w:rsidRPr="00EC63F8" w:rsidRDefault="00523350" w:rsidP="00523350">
      <w:pPr>
        <w:rPr>
          <w:rFonts w:ascii="Arial" w:hAnsi="Arial" w:cs="Arial"/>
          <w:i/>
          <w:iCs/>
          <w:sz w:val="22"/>
          <w:szCs w:val="22"/>
        </w:rPr>
      </w:pPr>
      <w:r w:rsidRPr="00EC63F8">
        <w:rPr>
          <w:rFonts w:ascii="Arial" w:hAnsi="Arial" w:cs="Arial"/>
          <w:i/>
          <w:iCs/>
          <w:sz w:val="22"/>
          <w:szCs w:val="22"/>
        </w:rPr>
        <w:t xml:space="preserve">För ytterligare information: </w:t>
      </w:r>
    </w:p>
    <w:p w:rsidR="00523350" w:rsidRPr="00EC63F8" w:rsidRDefault="00241521" w:rsidP="00523350">
      <w:pPr>
        <w:rPr>
          <w:rFonts w:ascii="Arial" w:hAnsi="Arial" w:cs="Arial"/>
          <w:sz w:val="22"/>
          <w:szCs w:val="22"/>
        </w:rPr>
      </w:pPr>
      <w:r w:rsidRPr="00EC63F8">
        <w:rPr>
          <w:rFonts w:ascii="Arial" w:hAnsi="Arial" w:cs="Arial"/>
          <w:sz w:val="22"/>
          <w:szCs w:val="22"/>
        </w:rPr>
        <w:t>Annica Dahlberg</w:t>
      </w:r>
      <w:r w:rsidR="00DD552C" w:rsidRPr="00EC63F8">
        <w:rPr>
          <w:rFonts w:ascii="Arial" w:hAnsi="Arial" w:cs="Arial"/>
          <w:sz w:val="22"/>
          <w:szCs w:val="22"/>
        </w:rPr>
        <w:t xml:space="preserve">, </w:t>
      </w:r>
      <w:r w:rsidRPr="00EC63F8">
        <w:rPr>
          <w:rFonts w:ascii="Arial" w:hAnsi="Arial" w:cs="Arial"/>
          <w:sz w:val="22"/>
          <w:szCs w:val="22"/>
        </w:rPr>
        <w:t>Informationschef</w:t>
      </w:r>
      <w:r w:rsidR="00A003B6" w:rsidRPr="00EC63F8">
        <w:rPr>
          <w:rFonts w:ascii="Arial" w:hAnsi="Arial" w:cs="Arial"/>
          <w:sz w:val="22"/>
          <w:szCs w:val="22"/>
        </w:rPr>
        <w:t xml:space="preserve">, </w:t>
      </w:r>
      <w:r w:rsidR="00523350" w:rsidRPr="00EC63F8">
        <w:rPr>
          <w:rFonts w:ascii="Arial" w:hAnsi="Arial" w:cs="Arial"/>
          <w:sz w:val="22"/>
          <w:szCs w:val="22"/>
        </w:rPr>
        <w:t xml:space="preserve">Förpacknings- och Tidningsinsamlingen </w:t>
      </w:r>
    </w:p>
    <w:p w:rsidR="00280B5E" w:rsidRPr="0029745E" w:rsidRDefault="00A003B6" w:rsidP="00D4470A">
      <w:pPr>
        <w:tabs>
          <w:tab w:val="left" w:pos="8370"/>
        </w:tabs>
        <w:rPr>
          <w:rFonts w:ascii="Arial" w:hAnsi="Arial" w:cs="Arial"/>
          <w:lang w:val="de-DE"/>
        </w:rPr>
      </w:pPr>
      <w:r w:rsidRPr="00EC63F8">
        <w:rPr>
          <w:rFonts w:ascii="Arial" w:hAnsi="Arial" w:cs="Arial"/>
          <w:sz w:val="22"/>
          <w:szCs w:val="22"/>
          <w:lang w:val="de-DE"/>
        </w:rPr>
        <w:t>T</w:t>
      </w:r>
      <w:r w:rsidR="00523350" w:rsidRPr="00EC63F8">
        <w:rPr>
          <w:rFonts w:ascii="Arial" w:hAnsi="Arial" w:cs="Arial"/>
          <w:sz w:val="22"/>
          <w:szCs w:val="22"/>
          <w:lang w:val="de-DE"/>
        </w:rPr>
        <w:t xml:space="preserve">el: </w:t>
      </w:r>
      <w:r w:rsidR="00241521" w:rsidRPr="00EC63F8">
        <w:rPr>
          <w:rFonts w:ascii="Arial" w:hAnsi="Arial" w:cs="Arial"/>
          <w:sz w:val="22"/>
          <w:szCs w:val="22"/>
          <w:lang w:val="de-DE"/>
        </w:rPr>
        <w:t xml:space="preserve">0705-86 44 20, </w:t>
      </w:r>
      <w:hyperlink r:id="rId10" w:history="1">
        <w:r w:rsidR="00241521" w:rsidRPr="00EC63F8">
          <w:rPr>
            <w:rStyle w:val="Hyperlnk"/>
            <w:rFonts w:ascii="Arial" w:hAnsi="Arial" w:cs="Arial"/>
            <w:sz w:val="22"/>
            <w:szCs w:val="22"/>
            <w:lang w:val="de-DE"/>
          </w:rPr>
          <w:t>annica.dahlberg@ftiab.se</w:t>
        </w:r>
      </w:hyperlink>
      <w:r w:rsidR="00241521" w:rsidRPr="00EC63F8">
        <w:rPr>
          <w:rFonts w:ascii="Arial" w:hAnsi="Arial" w:cs="Arial"/>
          <w:sz w:val="22"/>
          <w:szCs w:val="22"/>
          <w:lang w:val="de-DE"/>
        </w:rPr>
        <w:t xml:space="preserve"> </w:t>
      </w:r>
      <w:r w:rsidR="00D4470A" w:rsidRPr="00EC63F8">
        <w:rPr>
          <w:rFonts w:ascii="Arial" w:hAnsi="Arial" w:cs="Arial"/>
          <w:sz w:val="22"/>
          <w:szCs w:val="22"/>
          <w:lang w:val="de-DE"/>
        </w:rPr>
        <w:tab/>
      </w:r>
      <w:bookmarkEnd w:id="0"/>
      <w:bookmarkEnd w:id="1"/>
    </w:p>
    <w:sectPr w:rsidR="00280B5E" w:rsidRPr="0029745E" w:rsidSect="000A162A">
      <w:footerReference w:type="default" r:id="rId11"/>
      <w:pgSz w:w="11907" w:h="16839" w:code="9"/>
      <w:pgMar w:top="284" w:right="1134"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CC" w:rsidRDefault="00F604CC" w:rsidP="00455E94">
      <w:r>
        <w:separator/>
      </w:r>
    </w:p>
  </w:endnote>
  <w:endnote w:type="continuationSeparator" w:id="0">
    <w:p w:rsidR="00F604CC" w:rsidRDefault="00F604C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CC" w:rsidRDefault="00F604CC" w:rsidP="00455E94">
      <w:r>
        <w:separator/>
      </w:r>
    </w:p>
  </w:footnote>
  <w:footnote w:type="continuationSeparator" w:id="0">
    <w:p w:rsidR="00F604CC" w:rsidRDefault="00F604C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20422"/>
    <w:rsid w:val="000559AC"/>
    <w:rsid w:val="000677C1"/>
    <w:rsid w:val="000725A5"/>
    <w:rsid w:val="00093E96"/>
    <w:rsid w:val="00094849"/>
    <w:rsid w:val="000A162A"/>
    <w:rsid w:val="000A1996"/>
    <w:rsid w:val="000C300E"/>
    <w:rsid w:val="000C3D7C"/>
    <w:rsid w:val="000D0851"/>
    <w:rsid w:val="000E028E"/>
    <w:rsid w:val="000E30DE"/>
    <w:rsid w:val="000F0B45"/>
    <w:rsid w:val="000F26AF"/>
    <w:rsid w:val="00102B21"/>
    <w:rsid w:val="00104491"/>
    <w:rsid w:val="00106D2E"/>
    <w:rsid w:val="00111E7D"/>
    <w:rsid w:val="00114BD4"/>
    <w:rsid w:val="00116C12"/>
    <w:rsid w:val="00121A6C"/>
    <w:rsid w:val="00126A8D"/>
    <w:rsid w:val="00130A23"/>
    <w:rsid w:val="00131B7D"/>
    <w:rsid w:val="001327F9"/>
    <w:rsid w:val="001367A3"/>
    <w:rsid w:val="001403D7"/>
    <w:rsid w:val="00173B10"/>
    <w:rsid w:val="001859B9"/>
    <w:rsid w:val="001875C0"/>
    <w:rsid w:val="00197148"/>
    <w:rsid w:val="001A02ED"/>
    <w:rsid w:val="001A13B9"/>
    <w:rsid w:val="001B0E9C"/>
    <w:rsid w:val="001E5F86"/>
    <w:rsid w:val="001F7638"/>
    <w:rsid w:val="00210434"/>
    <w:rsid w:val="00210DA9"/>
    <w:rsid w:val="00211D91"/>
    <w:rsid w:val="002143B1"/>
    <w:rsid w:val="00215037"/>
    <w:rsid w:val="002325D1"/>
    <w:rsid w:val="00240A97"/>
    <w:rsid w:val="00241521"/>
    <w:rsid w:val="00253D17"/>
    <w:rsid w:val="00254C93"/>
    <w:rsid w:val="00256953"/>
    <w:rsid w:val="0026645C"/>
    <w:rsid w:val="00280B5E"/>
    <w:rsid w:val="00283A16"/>
    <w:rsid w:val="00284B26"/>
    <w:rsid w:val="00294BCD"/>
    <w:rsid w:val="00295C22"/>
    <w:rsid w:val="0029745E"/>
    <w:rsid w:val="002A2E20"/>
    <w:rsid w:val="002B39CF"/>
    <w:rsid w:val="002D417F"/>
    <w:rsid w:val="002D4B29"/>
    <w:rsid w:val="003235D7"/>
    <w:rsid w:val="00324500"/>
    <w:rsid w:val="00330C00"/>
    <w:rsid w:val="00337B36"/>
    <w:rsid w:val="00351C8D"/>
    <w:rsid w:val="00352F6F"/>
    <w:rsid w:val="0036103F"/>
    <w:rsid w:val="0036665C"/>
    <w:rsid w:val="00383DA3"/>
    <w:rsid w:val="003864FD"/>
    <w:rsid w:val="00386F31"/>
    <w:rsid w:val="00397DB0"/>
    <w:rsid w:val="003A67FD"/>
    <w:rsid w:val="003B3232"/>
    <w:rsid w:val="003B6E9D"/>
    <w:rsid w:val="003C0065"/>
    <w:rsid w:val="003D66CB"/>
    <w:rsid w:val="003E4903"/>
    <w:rsid w:val="003E5DC0"/>
    <w:rsid w:val="003F76BB"/>
    <w:rsid w:val="00414663"/>
    <w:rsid w:val="00424A15"/>
    <w:rsid w:val="004322B1"/>
    <w:rsid w:val="00432614"/>
    <w:rsid w:val="004414B1"/>
    <w:rsid w:val="00441F40"/>
    <w:rsid w:val="00447B22"/>
    <w:rsid w:val="00455E94"/>
    <w:rsid w:val="004749BE"/>
    <w:rsid w:val="004805C7"/>
    <w:rsid w:val="0049487A"/>
    <w:rsid w:val="00496287"/>
    <w:rsid w:val="004A2DCD"/>
    <w:rsid w:val="004B61AB"/>
    <w:rsid w:val="004B6A92"/>
    <w:rsid w:val="004C1342"/>
    <w:rsid w:val="004C1566"/>
    <w:rsid w:val="004C3ABC"/>
    <w:rsid w:val="004D7901"/>
    <w:rsid w:val="004E0510"/>
    <w:rsid w:val="004E1839"/>
    <w:rsid w:val="004E2D95"/>
    <w:rsid w:val="004E429C"/>
    <w:rsid w:val="00506636"/>
    <w:rsid w:val="00515897"/>
    <w:rsid w:val="005210A0"/>
    <w:rsid w:val="00523350"/>
    <w:rsid w:val="00525F99"/>
    <w:rsid w:val="005312FC"/>
    <w:rsid w:val="0053362D"/>
    <w:rsid w:val="00535A0B"/>
    <w:rsid w:val="00536EAF"/>
    <w:rsid w:val="0054216C"/>
    <w:rsid w:val="00546052"/>
    <w:rsid w:val="00547381"/>
    <w:rsid w:val="00564ECB"/>
    <w:rsid w:val="00565AC5"/>
    <w:rsid w:val="00575A21"/>
    <w:rsid w:val="00575C27"/>
    <w:rsid w:val="005920F3"/>
    <w:rsid w:val="005B09BD"/>
    <w:rsid w:val="005C2903"/>
    <w:rsid w:val="005E5A94"/>
    <w:rsid w:val="005F2BCF"/>
    <w:rsid w:val="006108A8"/>
    <w:rsid w:val="0062471F"/>
    <w:rsid w:val="00626857"/>
    <w:rsid w:val="0063175F"/>
    <w:rsid w:val="00633C12"/>
    <w:rsid w:val="00637BA4"/>
    <w:rsid w:val="00650FC4"/>
    <w:rsid w:val="0066576D"/>
    <w:rsid w:val="0067764E"/>
    <w:rsid w:val="0068402B"/>
    <w:rsid w:val="006907DE"/>
    <w:rsid w:val="006A268C"/>
    <w:rsid w:val="006A754E"/>
    <w:rsid w:val="006D5772"/>
    <w:rsid w:val="006E4E60"/>
    <w:rsid w:val="007033D1"/>
    <w:rsid w:val="00710052"/>
    <w:rsid w:val="00717849"/>
    <w:rsid w:val="00721CFF"/>
    <w:rsid w:val="00731C12"/>
    <w:rsid w:val="00745350"/>
    <w:rsid w:val="00747B48"/>
    <w:rsid w:val="00751E2F"/>
    <w:rsid w:val="00753EA6"/>
    <w:rsid w:val="007568A2"/>
    <w:rsid w:val="00773286"/>
    <w:rsid w:val="0077413F"/>
    <w:rsid w:val="007853AB"/>
    <w:rsid w:val="007B2E98"/>
    <w:rsid w:val="007C7B80"/>
    <w:rsid w:val="007E5725"/>
    <w:rsid w:val="007F08EE"/>
    <w:rsid w:val="007F3726"/>
    <w:rsid w:val="007F3A99"/>
    <w:rsid w:val="00815DBC"/>
    <w:rsid w:val="008249A3"/>
    <w:rsid w:val="00844B19"/>
    <w:rsid w:val="00851859"/>
    <w:rsid w:val="008655EE"/>
    <w:rsid w:val="00875BB1"/>
    <w:rsid w:val="00876383"/>
    <w:rsid w:val="0088541B"/>
    <w:rsid w:val="00891261"/>
    <w:rsid w:val="0089536A"/>
    <w:rsid w:val="008976D4"/>
    <w:rsid w:val="008B5E3D"/>
    <w:rsid w:val="008C3B5D"/>
    <w:rsid w:val="008E6534"/>
    <w:rsid w:val="008F34D3"/>
    <w:rsid w:val="00902F0C"/>
    <w:rsid w:val="00903B04"/>
    <w:rsid w:val="00905E59"/>
    <w:rsid w:val="00945D59"/>
    <w:rsid w:val="00946E93"/>
    <w:rsid w:val="00961DD7"/>
    <w:rsid w:val="00966581"/>
    <w:rsid w:val="00970742"/>
    <w:rsid w:val="00977CDA"/>
    <w:rsid w:val="00985D4B"/>
    <w:rsid w:val="0099214D"/>
    <w:rsid w:val="009B6D7F"/>
    <w:rsid w:val="009D65CD"/>
    <w:rsid w:val="009E6904"/>
    <w:rsid w:val="009F0F00"/>
    <w:rsid w:val="00A003B6"/>
    <w:rsid w:val="00A049D3"/>
    <w:rsid w:val="00A105DB"/>
    <w:rsid w:val="00A17D95"/>
    <w:rsid w:val="00A520AA"/>
    <w:rsid w:val="00A561C1"/>
    <w:rsid w:val="00A60221"/>
    <w:rsid w:val="00A7177B"/>
    <w:rsid w:val="00A74D17"/>
    <w:rsid w:val="00A77C8F"/>
    <w:rsid w:val="00A835C7"/>
    <w:rsid w:val="00A84FD8"/>
    <w:rsid w:val="00AA3A3E"/>
    <w:rsid w:val="00AC029B"/>
    <w:rsid w:val="00AC4107"/>
    <w:rsid w:val="00AD2C27"/>
    <w:rsid w:val="00AE17C5"/>
    <w:rsid w:val="00AF2800"/>
    <w:rsid w:val="00B04F2D"/>
    <w:rsid w:val="00B05F97"/>
    <w:rsid w:val="00B106C6"/>
    <w:rsid w:val="00B17F29"/>
    <w:rsid w:val="00B26D82"/>
    <w:rsid w:val="00B35468"/>
    <w:rsid w:val="00B37FEF"/>
    <w:rsid w:val="00B45CEB"/>
    <w:rsid w:val="00B5657F"/>
    <w:rsid w:val="00B6015B"/>
    <w:rsid w:val="00B66645"/>
    <w:rsid w:val="00B72E64"/>
    <w:rsid w:val="00B939BC"/>
    <w:rsid w:val="00BA6898"/>
    <w:rsid w:val="00BB3263"/>
    <w:rsid w:val="00BB7E6A"/>
    <w:rsid w:val="00BC65EF"/>
    <w:rsid w:val="00BD5452"/>
    <w:rsid w:val="00BD7E6E"/>
    <w:rsid w:val="00C01587"/>
    <w:rsid w:val="00C02262"/>
    <w:rsid w:val="00C1781F"/>
    <w:rsid w:val="00C32806"/>
    <w:rsid w:val="00C352BB"/>
    <w:rsid w:val="00C4333F"/>
    <w:rsid w:val="00C44F00"/>
    <w:rsid w:val="00C50057"/>
    <w:rsid w:val="00C71962"/>
    <w:rsid w:val="00C96C50"/>
    <w:rsid w:val="00CA65BE"/>
    <w:rsid w:val="00CB61D3"/>
    <w:rsid w:val="00CD10B6"/>
    <w:rsid w:val="00CD3C2F"/>
    <w:rsid w:val="00CE434E"/>
    <w:rsid w:val="00CF0B4F"/>
    <w:rsid w:val="00CF0DFA"/>
    <w:rsid w:val="00CF7923"/>
    <w:rsid w:val="00D01EE7"/>
    <w:rsid w:val="00D20E12"/>
    <w:rsid w:val="00D23C94"/>
    <w:rsid w:val="00D353EA"/>
    <w:rsid w:val="00D4470A"/>
    <w:rsid w:val="00D44C27"/>
    <w:rsid w:val="00D47F39"/>
    <w:rsid w:val="00D77A9A"/>
    <w:rsid w:val="00D84A18"/>
    <w:rsid w:val="00DA2804"/>
    <w:rsid w:val="00DA7F32"/>
    <w:rsid w:val="00DC49A3"/>
    <w:rsid w:val="00DC6E6E"/>
    <w:rsid w:val="00DD552C"/>
    <w:rsid w:val="00DE0501"/>
    <w:rsid w:val="00DE39A6"/>
    <w:rsid w:val="00DE5023"/>
    <w:rsid w:val="00DF549B"/>
    <w:rsid w:val="00E02ADC"/>
    <w:rsid w:val="00E069B4"/>
    <w:rsid w:val="00E06DCA"/>
    <w:rsid w:val="00E15BD4"/>
    <w:rsid w:val="00E16F6A"/>
    <w:rsid w:val="00E21395"/>
    <w:rsid w:val="00E300FF"/>
    <w:rsid w:val="00E403D7"/>
    <w:rsid w:val="00E54189"/>
    <w:rsid w:val="00E54DFF"/>
    <w:rsid w:val="00E56BF2"/>
    <w:rsid w:val="00E76311"/>
    <w:rsid w:val="00EC3918"/>
    <w:rsid w:val="00EC63F8"/>
    <w:rsid w:val="00EC6992"/>
    <w:rsid w:val="00EC6CE6"/>
    <w:rsid w:val="00EC7AE5"/>
    <w:rsid w:val="00EF4D8E"/>
    <w:rsid w:val="00F22A9F"/>
    <w:rsid w:val="00F30FFF"/>
    <w:rsid w:val="00F40955"/>
    <w:rsid w:val="00F40ABD"/>
    <w:rsid w:val="00F425B1"/>
    <w:rsid w:val="00F604CC"/>
    <w:rsid w:val="00F67AC5"/>
    <w:rsid w:val="00F72CDF"/>
    <w:rsid w:val="00F82B95"/>
    <w:rsid w:val="00FA2E68"/>
    <w:rsid w:val="00FC1978"/>
    <w:rsid w:val="00FD0B11"/>
    <w:rsid w:val="00FD6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 w:type="paragraph" w:styleId="Ingetavstnd">
    <w:name w:val="No Spacing"/>
    <w:uiPriority w:val="1"/>
    <w:qFormat/>
    <w:rsid w:val="001859B9"/>
    <w:rPr>
      <w:rFonts w:ascii="Arial" w:hAnsi="Arial"/>
      <w:szCs w:val="24"/>
    </w:rPr>
  </w:style>
  <w:style w:type="paragraph" w:customStyle="1" w:styleId="Default">
    <w:name w:val="Default"/>
    <w:rsid w:val="001859B9"/>
    <w:pPr>
      <w:autoSpaceDE w:val="0"/>
      <w:autoSpaceDN w:val="0"/>
      <w:adjustRightInd w:val="0"/>
    </w:pPr>
    <w:rPr>
      <w:rFonts w:ascii="Arial" w:hAnsi="Arial" w:cs="Arial"/>
      <w:color w:val="000000"/>
      <w:sz w:val="24"/>
      <w:szCs w:val="24"/>
    </w:rPr>
  </w:style>
  <w:style w:type="table" w:styleId="Tabellrutnt">
    <w:name w:val="Table Grid"/>
    <w:basedOn w:val="Normaltabell"/>
    <w:rsid w:val="004B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 w:type="paragraph" w:styleId="Ingetavstnd">
    <w:name w:val="No Spacing"/>
    <w:uiPriority w:val="1"/>
    <w:qFormat/>
    <w:rsid w:val="001859B9"/>
    <w:rPr>
      <w:rFonts w:ascii="Arial" w:hAnsi="Arial"/>
      <w:szCs w:val="24"/>
    </w:rPr>
  </w:style>
  <w:style w:type="paragraph" w:customStyle="1" w:styleId="Default">
    <w:name w:val="Default"/>
    <w:rsid w:val="001859B9"/>
    <w:pPr>
      <w:autoSpaceDE w:val="0"/>
      <w:autoSpaceDN w:val="0"/>
      <w:adjustRightInd w:val="0"/>
    </w:pPr>
    <w:rPr>
      <w:rFonts w:ascii="Arial" w:hAnsi="Arial" w:cs="Arial"/>
      <w:color w:val="000000"/>
      <w:sz w:val="24"/>
      <w:szCs w:val="24"/>
    </w:rPr>
  </w:style>
  <w:style w:type="table" w:styleId="Tabellrutnt">
    <w:name w:val="Table Grid"/>
    <w:basedOn w:val="Normaltabell"/>
    <w:rsid w:val="004B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ica.dahlberg@ftiab.se"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464A-9DB8-4043-AAC2-5A5FC85C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465</Words>
  <Characters>2650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7</cp:revision>
  <cp:lastPrinted>2014-05-23T14:50:00Z</cp:lastPrinted>
  <dcterms:created xsi:type="dcterms:W3CDTF">2014-08-25T07:44:00Z</dcterms:created>
  <dcterms:modified xsi:type="dcterms:W3CDTF">2014-08-25T09:57:00Z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