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78DB" w14:textId="77777777" w:rsidR="00567D3A" w:rsidRPr="00D05158" w:rsidRDefault="00567D3A" w:rsidP="00F768B0">
      <w:pPr>
        <w:pStyle w:val="StandardWeb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14:paraId="437D7636" w14:textId="2DA42655" w:rsidR="00B63921" w:rsidRPr="00FF05AE" w:rsidRDefault="006D6A98" w:rsidP="00FF05AE">
      <w:pPr>
        <w:pStyle w:val="H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 Wildau führt ersten #digitalen Hochschulinformationstag (HIT) am 6. Juni durch</w:t>
      </w:r>
    </w:p>
    <w:p w14:paraId="15C3F54B" w14:textId="7DE34C86" w:rsidR="00B63921" w:rsidRDefault="00FF05AE" w:rsidP="00F768B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13FBA293" wp14:editId="40F6DC72">
            <wp:extent cx="5760720" cy="30245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_B_1200x630_2005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FF1B" w14:textId="5AC91F52" w:rsidR="00FF05AE" w:rsidRPr="00FF05AE" w:rsidRDefault="00FF05AE" w:rsidP="00F768B0">
      <w:pPr>
        <w:pStyle w:val="StandardWeb"/>
        <w:rPr>
          <w:rFonts w:asciiTheme="minorHAnsi" w:eastAsiaTheme="minorHAnsi" w:hAnsiTheme="minorHAnsi" w:cstheme="minorHAnsi"/>
          <w:szCs w:val="32"/>
          <w:lang w:eastAsia="en-US"/>
        </w:rPr>
      </w:pPr>
      <w:r w:rsidRPr="00FF05AE">
        <w:rPr>
          <w:rFonts w:asciiTheme="minorHAnsi" w:eastAsiaTheme="minorHAnsi" w:hAnsiTheme="minorHAnsi" w:cstheme="minorHAnsi"/>
          <w:szCs w:val="32"/>
          <w:lang w:eastAsia="en-US"/>
        </w:rPr>
        <w:t>Bild: In diesem Jahr findet der Hochschulinformationstag der TH Wildau erstmals digital statt</w:t>
      </w:r>
      <w:r>
        <w:rPr>
          <w:rFonts w:asciiTheme="minorHAnsi" w:eastAsiaTheme="minorHAnsi" w:hAnsiTheme="minorHAnsi" w:cstheme="minorHAnsi"/>
          <w:szCs w:val="32"/>
          <w:lang w:eastAsia="en-US"/>
        </w:rPr>
        <w:t xml:space="preserve"> (Grafik TH Wild</w:t>
      </w:r>
      <w:bookmarkStart w:id="0" w:name="_GoBack"/>
      <w:bookmarkEnd w:id="0"/>
      <w:r>
        <w:rPr>
          <w:rFonts w:asciiTheme="minorHAnsi" w:eastAsiaTheme="minorHAnsi" w:hAnsiTheme="minorHAnsi" w:cstheme="minorHAnsi"/>
          <w:szCs w:val="32"/>
          <w:lang w:eastAsia="en-US"/>
        </w:rPr>
        <w:t>au)</w:t>
      </w:r>
    </w:p>
    <w:p w14:paraId="48FF5A3F" w14:textId="5CB9E2F0" w:rsidR="00141289" w:rsidRPr="00700114" w:rsidRDefault="00141289" w:rsidP="00F768B0">
      <w:pPr>
        <w:pStyle w:val="StandardWeb"/>
        <w:rPr>
          <w:rFonts w:asciiTheme="minorHAnsi" w:eastAsiaTheme="minorHAnsi" w:hAnsiTheme="minorHAnsi" w:cstheme="minorHAnsi"/>
          <w:szCs w:val="32"/>
          <w:lang w:eastAsia="en-US"/>
        </w:rPr>
      </w:pPr>
      <w:r w:rsidRPr="00700114">
        <w:rPr>
          <w:rFonts w:asciiTheme="minorHAnsi" w:eastAsiaTheme="minorHAnsi" w:hAnsiTheme="minorHAnsi" w:cstheme="minorHAnsi"/>
          <w:b/>
          <w:szCs w:val="32"/>
          <w:lang w:eastAsia="en-US"/>
        </w:rPr>
        <w:t>Subheadline</w:t>
      </w:r>
      <w:r w:rsidR="00E72B32" w:rsidRPr="00700114">
        <w:rPr>
          <w:rFonts w:asciiTheme="minorHAnsi" w:eastAsiaTheme="minorHAnsi" w:hAnsiTheme="minorHAnsi" w:cstheme="minorHAnsi"/>
          <w:b/>
          <w:szCs w:val="32"/>
          <w:lang w:eastAsia="en-US"/>
        </w:rPr>
        <w:t>:</w:t>
      </w:r>
      <w:r w:rsidR="00D82322" w:rsidRPr="00700114">
        <w:rPr>
          <w:rFonts w:asciiTheme="minorHAnsi" w:eastAsiaTheme="minorHAnsi" w:hAnsiTheme="minorHAnsi" w:cstheme="minorHAnsi"/>
          <w:b/>
          <w:szCs w:val="32"/>
          <w:lang w:eastAsia="en-US"/>
        </w:rPr>
        <w:t xml:space="preserve"> </w:t>
      </w:r>
      <w:r w:rsidR="00700114" w:rsidRPr="00700114">
        <w:rPr>
          <w:rFonts w:asciiTheme="minorHAnsi" w:eastAsiaTheme="minorHAnsi" w:hAnsiTheme="minorHAnsi" w:cstheme="minorHAnsi"/>
          <w:b/>
          <w:szCs w:val="32"/>
          <w:lang w:eastAsia="en-US"/>
        </w:rPr>
        <w:t xml:space="preserve"> </w:t>
      </w:r>
      <w:r w:rsidR="00623CBF">
        <w:rPr>
          <w:rFonts w:asciiTheme="minorHAnsi" w:eastAsiaTheme="minorHAnsi" w:hAnsiTheme="minorHAnsi" w:cstheme="minorHAnsi"/>
          <w:b/>
          <w:szCs w:val="32"/>
          <w:lang w:eastAsia="en-US"/>
        </w:rPr>
        <w:t>Digital, online und virtuell</w:t>
      </w:r>
    </w:p>
    <w:p w14:paraId="49BCD1C2" w14:textId="119C2F7D" w:rsidR="006718A9" w:rsidRPr="008149C7" w:rsidRDefault="008149C7" w:rsidP="008149C7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Die Technische Hochschule Wildau, </w:t>
      </w:r>
      <w:r w:rsidR="006D6A98" w:rsidRPr="008149C7">
        <w:rPr>
          <w:rFonts w:ascii="Lucida Sans Unicode" w:hAnsi="Lucida Sans Unicode" w:cs="Lucida Sans Unicode"/>
          <w:b/>
          <w:sz w:val="20"/>
          <w:szCs w:val="20"/>
        </w:rPr>
        <w:t>Brandenburgs größte Fachhochschule</w:t>
      </w:r>
      <w:r>
        <w:rPr>
          <w:rFonts w:ascii="Lucida Sans Unicode" w:hAnsi="Lucida Sans Unicode" w:cs="Lucida Sans Unicode"/>
          <w:b/>
          <w:sz w:val="20"/>
          <w:szCs w:val="20"/>
        </w:rPr>
        <w:t>,</w:t>
      </w:r>
      <w:r w:rsidR="006D6A98" w:rsidRPr="008149C7">
        <w:rPr>
          <w:rFonts w:ascii="Lucida Sans Unicode" w:hAnsi="Lucida Sans Unicode" w:cs="Lucida Sans Unicode"/>
          <w:b/>
          <w:sz w:val="20"/>
          <w:szCs w:val="20"/>
        </w:rPr>
        <w:t xml:space="preserve"> lädt am 6. Juni </w:t>
      </w:r>
      <w:r w:rsidR="004E7CD9">
        <w:rPr>
          <w:rFonts w:ascii="Lucida Sans Unicode" w:hAnsi="Lucida Sans Unicode" w:cs="Lucida Sans Unicode"/>
          <w:b/>
          <w:sz w:val="20"/>
          <w:szCs w:val="20"/>
        </w:rPr>
        <w:t xml:space="preserve">2020 </w:t>
      </w:r>
      <w:r w:rsidR="0011056C">
        <w:rPr>
          <w:rFonts w:ascii="Lucida Sans Unicode" w:hAnsi="Lucida Sans Unicode" w:cs="Lucida Sans Unicode"/>
          <w:b/>
          <w:sz w:val="20"/>
          <w:szCs w:val="20"/>
        </w:rPr>
        <w:t xml:space="preserve">von 10 bis 15 Uhr </w:t>
      </w:r>
      <w:r w:rsidR="006D6A98" w:rsidRPr="008149C7">
        <w:rPr>
          <w:rFonts w:ascii="Lucida Sans Unicode" w:hAnsi="Lucida Sans Unicode" w:cs="Lucida Sans Unicode"/>
          <w:b/>
          <w:sz w:val="20"/>
          <w:szCs w:val="20"/>
        </w:rPr>
        <w:t xml:space="preserve">alle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Interessierten </w:t>
      </w:r>
      <w:r w:rsidR="006718A9" w:rsidRPr="008149C7">
        <w:rPr>
          <w:rFonts w:ascii="Lucida Sans Unicode" w:hAnsi="Lucida Sans Unicode" w:cs="Lucida Sans Unicode"/>
          <w:b/>
          <w:sz w:val="20"/>
          <w:szCs w:val="20"/>
        </w:rPr>
        <w:t xml:space="preserve">zum ersten digitalen </w:t>
      </w:r>
      <w:r w:rsidR="00E6686A">
        <w:rPr>
          <w:rFonts w:ascii="Lucida Sans Unicode" w:hAnsi="Lucida Sans Unicode" w:cs="Lucida Sans Unicode"/>
          <w:b/>
          <w:sz w:val="20"/>
          <w:szCs w:val="20"/>
        </w:rPr>
        <w:t xml:space="preserve">Hochschulinformationstag (HIT) </w:t>
      </w:r>
      <w:r w:rsidR="006718A9" w:rsidRPr="008149C7">
        <w:rPr>
          <w:rFonts w:ascii="Lucida Sans Unicode" w:hAnsi="Lucida Sans Unicode" w:cs="Lucida Sans Unicode"/>
          <w:b/>
          <w:sz w:val="20"/>
          <w:szCs w:val="20"/>
        </w:rPr>
        <w:t xml:space="preserve">ein. Aufgrund der Corona-Pandemie </w:t>
      </w:r>
      <w:r w:rsidR="00E6686A">
        <w:rPr>
          <w:rFonts w:ascii="Lucida Sans Unicode" w:hAnsi="Lucida Sans Unicode" w:cs="Lucida Sans Unicode"/>
          <w:b/>
          <w:sz w:val="20"/>
          <w:szCs w:val="20"/>
        </w:rPr>
        <w:t>hat sich die</w:t>
      </w:r>
      <w:r w:rsidR="006718A9" w:rsidRPr="008149C7">
        <w:rPr>
          <w:rFonts w:ascii="Lucida Sans Unicode" w:hAnsi="Lucida Sans Unicode" w:cs="Lucida Sans Unicode"/>
          <w:b/>
          <w:sz w:val="20"/>
          <w:szCs w:val="20"/>
        </w:rPr>
        <w:t xml:space="preserve"> Hochschul</w:t>
      </w:r>
      <w:r w:rsidR="00E6686A">
        <w:rPr>
          <w:rFonts w:ascii="Lucida Sans Unicode" w:hAnsi="Lucida Sans Unicode" w:cs="Lucida Sans Unicode"/>
          <w:b/>
          <w:sz w:val="20"/>
          <w:szCs w:val="20"/>
        </w:rPr>
        <w:t xml:space="preserve">e </w:t>
      </w:r>
      <w:r w:rsidR="006718A9" w:rsidRPr="008149C7">
        <w:rPr>
          <w:rFonts w:ascii="Lucida Sans Unicode" w:hAnsi="Lucida Sans Unicode" w:cs="Lucida Sans Unicode"/>
          <w:b/>
          <w:sz w:val="20"/>
          <w:szCs w:val="20"/>
        </w:rPr>
        <w:t xml:space="preserve">entschlossen, den traditionellen </w:t>
      </w:r>
      <w:r w:rsidR="00E6686A">
        <w:rPr>
          <w:rFonts w:ascii="Lucida Sans Unicode" w:hAnsi="Lucida Sans Unicode" w:cs="Lucida Sans Unicode"/>
          <w:b/>
          <w:sz w:val="20"/>
          <w:szCs w:val="20"/>
        </w:rPr>
        <w:t xml:space="preserve">Informationstag </w:t>
      </w:r>
      <w:r w:rsidR="006718A9" w:rsidRPr="008149C7">
        <w:rPr>
          <w:rFonts w:ascii="Lucida Sans Unicode" w:hAnsi="Lucida Sans Unicode" w:cs="Lucida Sans Unicode"/>
          <w:b/>
          <w:sz w:val="20"/>
          <w:szCs w:val="20"/>
        </w:rPr>
        <w:t>ins Netz zu verlagern. Wie auch in den vergangenen Jahren richtet sich das abwechslungsreiche Programm an Schülerinnen und Schüler, Familien, Lehrerinnen und Lehrer sowie an fachlicher Weiterbildung Interessierte.</w:t>
      </w:r>
    </w:p>
    <w:p w14:paraId="32193399" w14:textId="611CEA89" w:rsidR="006718A9" w:rsidRPr="008149C7" w:rsidRDefault="006718A9" w:rsidP="008149C7">
      <w:pPr>
        <w:rPr>
          <w:rFonts w:ascii="Lucida Sans Unicode" w:hAnsi="Lucida Sans Unicode" w:cs="Lucida Sans Unicode"/>
          <w:sz w:val="20"/>
          <w:szCs w:val="20"/>
        </w:rPr>
      </w:pPr>
      <w:r w:rsidRPr="008149C7">
        <w:rPr>
          <w:rFonts w:ascii="Lucida Sans Unicode" w:hAnsi="Lucida Sans Unicode" w:cs="Lucida Sans Unicode"/>
          <w:sz w:val="20"/>
          <w:szCs w:val="20"/>
        </w:rPr>
        <w:t xml:space="preserve">Nichts ist in diesem Jahr wie zuvor. Das gilt für das private wie öffentliche Leben genauso wie für Veranstaltungen, auf denen viele Menschen in Kontakt kommen. </w:t>
      </w:r>
      <w:r w:rsidR="004E7CD9">
        <w:rPr>
          <w:rFonts w:ascii="Lucida Sans Unicode" w:hAnsi="Lucida Sans Unicode" w:cs="Lucida Sans Unicode"/>
          <w:sz w:val="20"/>
          <w:szCs w:val="20"/>
        </w:rPr>
        <w:t>D</w:t>
      </w:r>
      <w:r w:rsidRPr="008149C7">
        <w:rPr>
          <w:rFonts w:ascii="Lucida Sans Unicode" w:hAnsi="Lucida Sans Unicode" w:cs="Lucida Sans Unicode"/>
          <w:sz w:val="20"/>
          <w:szCs w:val="20"/>
        </w:rPr>
        <w:t xml:space="preserve">amit stand das Organisationsteam rund um den HIT, </w:t>
      </w:r>
      <w:r w:rsidR="00E6686A">
        <w:rPr>
          <w:rFonts w:ascii="Lucida Sans Unicode" w:hAnsi="Lucida Sans Unicode" w:cs="Lucida Sans Unicode"/>
          <w:sz w:val="20"/>
          <w:szCs w:val="20"/>
        </w:rPr>
        <w:t>dem</w:t>
      </w:r>
      <w:r w:rsidRPr="008149C7">
        <w:rPr>
          <w:rFonts w:ascii="Lucida Sans Unicode" w:hAnsi="Lucida Sans Unicode" w:cs="Lucida Sans Unicode"/>
          <w:sz w:val="20"/>
          <w:szCs w:val="20"/>
        </w:rPr>
        <w:t xml:space="preserve"> wichtigsten Informationstag der Technischen Hochschule Wildau, </w:t>
      </w:r>
      <w:r w:rsidR="0099652D" w:rsidRPr="008149C7">
        <w:rPr>
          <w:rFonts w:ascii="Lucida Sans Unicode" w:hAnsi="Lucida Sans Unicode" w:cs="Lucida Sans Unicode"/>
          <w:sz w:val="20"/>
          <w:szCs w:val="20"/>
        </w:rPr>
        <w:t xml:space="preserve">vor der Frage: Was tun? Die Antwort kam prompt: </w:t>
      </w:r>
      <w:r w:rsidR="008149C7">
        <w:rPr>
          <w:rFonts w:ascii="Lucida Sans Unicode" w:hAnsi="Lucida Sans Unicode" w:cs="Lucida Sans Unicode"/>
          <w:sz w:val="20"/>
          <w:szCs w:val="20"/>
        </w:rPr>
        <w:t>D</w:t>
      </w:r>
      <w:r w:rsidR="0099652D" w:rsidRPr="008149C7">
        <w:rPr>
          <w:rFonts w:ascii="Lucida Sans Unicode" w:hAnsi="Lucida Sans Unicode" w:cs="Lucida Sans Unicode"/>
          <w:sz w:val="20"/>
          <w:szCs w:val="20"/>
        </w:rPr>
        <w:t xml:space="preserve">igitalisieren. Nach den Erfahrungen </w:t>
      </w:r>
      <w:r w:rsidR="004E7CD9">
        <w:rPr>
          <w:rFonts w:ascii="Lucida Sans Unicode" w:hAnsi="Lucida Sans Unicode" w:cs="Lucida Sans Unicode"/>
          <w:sz w:val="20"/>
          <w:szCs w:val="20"/>
        </w:rPr>
        <w:t>aus der</w:t>
      </w:r>
      <w:r w:rsidR="0099652D" w:rsidRPr="008149C7">
        <w:rPr>
          <w:rFonts w:ascii="Lucida Sans Unicode" w:hAnsi="Lucida Sans Unicode" w:cs="Lucida Sans Unicode"/>
          <w:sz w:val="20"/>
          <w:szCs w:val="20"/>
        </w:rPr>
        <w:t xml:space="preserve"> Lehre, die im Sommersemester nahezu ohne Präsenzveranstaltungen stattfindet, folgt nun am 6. Juni der #digitale HIT.</w:t>
      </w:r>
    </w:p>
    <w:p w14:paraId="499EC841" w14:textId="6E10965D" w:rsidR="0099652D" w:rsidRDefault="0099652D" w:rsidP="006D6A98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0D656993" w14:textId="5D9DDA12" w:rsidR="0099652D" w:rsidRPr="008149C7" w:rsidRDefault="0099652D" w:rsidP="006D6A98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8149C7">
        <w:rPr>
          <w:rFonts w:ascii="Lucida Sans Unicode" w:hAnsi="Lucida Sans Unicode" w:cs="Lucida Sans Unicode"/>
          <w:b/>
          <w:sz w:val="20"/>
          <w:szCs w:val="20"/>
        </w:rPr>
        <w:t>Ab ins Netz</w:t>
      </w:r>
    </w:p>
    <w:p w14:paraId="3F816E8B" w14:textId="0691B30F" w:rsidR="00623CBF" w:rsidRDefault="0099652D" w:rsidP="0099652D">
      <w:pPr>
        <w:rPr>
          <w:rFonts w:ascii="Lucida Sans Unicode" w:hAnsi="Lucida Sans Unicode" w:cs="Lucida Sans Unicode"/>
          <w:sz w:val="20"/>
          <w:szCs w:val="20"/>
        </w:rPr>
      </w:pPr>
      <w:r w:rsidRPr="00774101">
        <w:rPr>
          <w:rFonts w:ascii="Lucida Sans Unicode" w:hAnsi="Lucida Sans Unicode" w:cs="Lucida Sans Unicode"/>
          <w:sz w:val="20"/>
          <w:szCs w:val="20"/>
        </w:rPr>
        <w:lastRenderedPageBreak/>
        <w:t xml:space="preserve">Unter </w:t>
      </w:r>
      <w:hyperlink r:id="rId9" w:history="1">
        <w:r w:rsidRPr="00774101">
          <w:rPr>
            <w:rFonts w:ascii="Lucida Sans Unicode" w:hAnsi="Lucida Sans Unicode" w:cs="Lucida Sans Unicode"/>
            <w:sz w:val="20"/>
            <w:szCs w:val="20"/>
          </w:rPr>
          <w:t>www.th-wildau.de/hit-digital</w:t>
        </w:r>
      </w:hyperlink>
      <w:r w:rsidRPr="0077410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F5959">
        <w:rPr>
          <w:rFonts w:ascii="Lucida Sans Unicode" w:hAnsi="Lucida Sans Unicode" w:cs="Lucida Sans Unicode"/>
          <w:sz w:val="20"/>
          <w:szCs w:val="20"/>
        </w:rPr>
        <w:t xml:space="preserve">präsentieren sich die </w:t>
      </w:r>
      <w:hyperlink r:id="rId10" w:history="1">
        <w:r w:rsidRPr="006F5959">
          <w:rPr>
            <w:rFonts w:ascii="Lucida Sans Unicode" w:hAnsi="Lucida Sans Unicode" w:cs="Lucida Sans Unicode"/>
            <w:sz w:val="20"/>
            <w:szCs w:val="20"/>
          </w:rPr>
          <w:t>Studiengänge</w:t>
        </w:r>
      </w:hyperlink>
      <w:r w:rsidRPr="006F595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6686A">
        <w:rPr>
          <w:rFonts w:ascii="Lucida Sans Unicode" w:hAnsi="Lucida Sans Unicode" w:cs="Lucida Sans Unicode"/>
          <w:sz w:val="20"/>
          <w:szCs w:val="20"/>
        </w:rPr>
        <w:t xml:space="preserve">der beiden Fachbereiche Ingenieurwesen und Naturwissenschaften sowie Wirtschaft, Informatik und </w:t>
      </w:r>
      <w:r w:rsidRPr="006F5959">
        <w:rPr>
          <w:rFonts w:ascii="Lucida Sans Unicode" w:hAnsi="Lucida Sans Unicode" w:cs="Lucida Sans Unicode"/>
          <w:sz w:val="20"/>
          <w:szCs w:val="20"/>
        </w:rPr>
        <w:t>Recht</w:t>
      </w:r>
      <w:r w:rsidR="00E6686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69E9">
        <w:rPr>
          <w:rFonts w:ascii="Lucida Sans Unicode" w:hAnsi="Lucida Sans Unicode" w:cs="Lucida Sans Unicode"/>
          <w:sz w:val="20"/>
          <w:szCs w:val="20"/>
        </w:rPr>
        <w:t>mit ihrem</w:t>
      </w:r>
      <w:r w:rsidR="00E6686A">
        <w:rPr>
          <w:rFonts w:ascii="Lucida Sans Unicode" w:hAnsi="Lucida Sans Unicode" w:cs="Lucida Sans Unicode"/>
          <w:sz w:val="20"/>
          <w:szCs w:val="20"/>
        </w:rPr>
        <w:t xml:space="preserve"> vielfältige</w:t>
      </w:r>
      <w:r w:rsidR="004169E9">
        <w:rPr>
          <w:rFonts w:ascii="Lucida Sans Unicode" w:hAnsi="Lucida Sans Unicode" w:cs="Lucida Sans Unicode"/>
          <w:sz w:val="20"/>
          <w:szCs w:val="20"/>
        </w:rPr>
        <w:t>n</w:t>
      </w:r>
      <w:r w:rsidR="00E6686A">
        <w:rPr>
          <w:rFonts w:ascii="Lucida Sans Unicode" w:hAnsi="Lucida Sans Unicode" w:cs="Lucida Sans Unicode"/>
          <w:sz w:val="20"/>
          <w:szCs w:val="20"/>
        </w:rPr>
        <w:t xml:space="preserve"> Studienprogramm. Zudem sind </w:t>
      </w:r>
      <w:r w:rsidR="004E7CD9">
        <w:rPr>
          <w:rFonts w:ascii="Lucida Sans Unicode" w:hAnsi="Lucida Sans Unicode" w:cs="Lucida Sans Unicode"/>
          <w:sz w:val="20"/>
          <w:szCs w:val="20"/>
        </w:rPr>
        <w:t>die</w:t>
      </w:r>
      <w:r w:rsidR="00E6686A">
        <w:rPr>
          <w:rFonts w:ascii="Lucida Sans Unicode" w:hAnsi="Lucida Sans Unicode" w:cs="Lucida Sans Unicode"/>
          <w:sz w:val="20"/>
          <w:szCs w:val="20"/>
        </w:rPr>
        <w:t xml:space="preserve"> Serviceteams, die sich auch </w:t>
      </w:r>
      <w:r w:rsidR="004E7CD9">
        <w:rPr>
          <w:rFonts w:ascii="Lucida Sans Unicode" w:hAnsi="Lucida Sans Unicode" w:cs="Lucida Sans Unicode"/>
          <w:sz w:val="20"/>
          <w:szCs w:val="20"/>
        </w:rPr>
        <w:t xml:space="preserve">während des </w:t>
      </w:r>
      <w:r w:rsidR="00E6686A">
        <w:rPr>
          <w:rFonts w:ascii="Lucida Sans Unicode" w:hAnsi="Lucida Sans Unicode" w:cs="Lucida Sans Unicode"/>
          <w:sz w:val="20"/>
          <w:szCs w:val="20"/>
        </w:rPr>
        <w:t>Studium</w:t>
      </w:r>
      <w:r w:rsidR="004E7CD9">
        <w:rPr>
          <w:rFonts w:ascii="Lucida Sans Unicode" w:hAnsi="Lucida Sans Unicode" w:cs="Lucida Sans Unicode"/>
          <w:sz w:val="20"/>
          <w:szCs w:val="20"/>
        </w:rPr>
        <w:t>s</w:t>
      </w:r>
      <w:r w:rsidR="004169E9">
        <w:rPr>
          <w:rFonts w:ascii="Lucida Sans Unicode" w:hAnsi="Lucida Sans Unicode" w:cs="Lucida Sans Unicode"/>
          <w:sz w:val="20"/>
          <w:szCs w:val="20"/>
        </w:rPr>
        <w:t xml:space="preserve"> um die Studierenden kümmern und das Campusleben mitgestalten, online und stellen sich den Fragen Interessierter</w:t>
      </w:r>
      <w:r w:rsidR="00FD7330">
        <w:rPr>
          <w:rFonts w:ascii="Lucida Sans Unicode" w:hAnsi="Lucida Sans Unicode" w:cs="Lucida Sans Unicode"/>
          <w:sz w:val="20"/>
          <w:szCs w:val="20"/>
        </w:rPr>
        <w:t>.</w:t>
      </w:r>
    </w:p>
    <w:p w14:paraId="6CC9A2B0" w14:textId="16682B5A" w:rsidR="00623CBF" w:rsidRDefault="0099652D" w:rsidP="0099652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 </w:t>
      </w:r>
      <w:r w:rsidR="00623CBF">
        <w:rPr>
          <w:rFonts w:ascii="Lucida Sans Unicode" w:hAnsi="Lucida Sans Unicode" w:cs="Lucida Sans Unicode"/>
          <w:sz w:val="20"/>
          <w:szCs w:val="20"/>
        </w:rPr>
        <w:t>Live-</w:t>
      </w:r>
      <w:r>
        <w:rPr>
          <w:rFonts w:ascii="Lucida Sans Unicode" w:hAnsi="Lucida Sans Unicode" w:cs="Lucida Sans Unicode"/>
          <w:sz w:val="20"/>
          <w:szCs w:val="20"/>
        </w:rPr>
        <w:t>Webinaren</w:t>
      </w:r>
      <w:r w:rsidR="008149C7">
        <w:rPr>
          <w:rFonts w:ascii="Lucida Sans Unicode" w:hAnsi="Lucida Sans Unicode" w:cs="Lucida Sans Unicode"/>
          <w:sz w:val="20"/>
          <w:szCs w:val="20"/>
        </w:rPr>
        <w:t>, Workshops</w:t>
      </w:r>
      <w:r w:rsidR="00774101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8149C7">
        <w:rPr>
          <w:rFonts w:ascii="Lucida Sans Unicode" w:hAnsi="Lucida Sans Unicode" w:cs="Lucida Sans Unicode"/>
          <w:sz w:val="20"/>
          <w:szCs w:val="20"/>
        </w:rPr>
        <w:t>virtuellen Rundgängen</w:t>
      </w:r>
      <w:r w:rsidR="004169E9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774101">
        <w:rPr>
          <w:rFonts w:ascii="Lucida Sans Unicode" w:hAnsi="Lucida Sans Unicode" w:cs="Lucida Sans Unicode"/>
          <w:sz w:val="20"/>
          <w:szCs w:val="20"/>
        </w:rPr>
        <w:t>aufgezeichneten Präsentationen</w:t>
      </w:r>
      <w:r w:rsidR="004169E9">
        <w:rPr>
          <w:rFonts w:ascii="Lucida Sans Unicode" w:hAnsi="Lucida Sans Unicode" w:cs="Lucida Sans Unicode"/>
          <w:sz w:val="20"/>
          <w:szCs w:val="20"/>
        </w:rPr>
        <w:t xml:space="preserve"> und Videos</w:t>
      </w:r>
      <w:r w:rsidR="0041086F">
        <w:rPr>
          <w:rFonts w:ascii="Lucida Sans Unicode" w:hAnsi="Lucida Sans Unicode" w:cs="Lucida Sans Unicode"/>
          <w:sz w:val="20"/>
          <w:szCs w:val="20"/>
        </w:rPr>
        <w:t xml:space="preserve"> sowie anderen Formaten</w:t>
      </w:r>
      <w:r w:rsidR="0077410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3CBF">
        <w:rPr>
          <w:rFonts w:ascii="Lucida Sans Unicode" w:hAnsi="Lucida Sans Unicode" w:cs="Lucida Sans Unicode"/>
          <w:sz w:val="20"/>
          <w:szCs w:val="20"/>
        </w:rPr>
        <w:t>informieren Professorinnen und Professoren, Dozentinnen und Dozenten</w:t>
      </w:r>
      <w:r w:rsidR="004169E9">
        <w:rPr>
          <w:rFonts w:ascii="Lucida Sans Unicode" w:hAnsi="Lucida Sans Unicode" w:cs="Lucida Sans Unicode"/>
          <w:sz w:val="20"/>
          <w:szCs w:val="20"/>
        </w:rPr>
        <w:t xml:space="preserve">, Studierende und Beschäftigte </w:t>
      </w:r>
      <w:r w:rsidR="00623CBF">
        <w:rPr>
          <w:rFonts w:ascii="Lucida Sans Unicode" w:hAnsi="Lucida Sans Unicode" w:cs="Lucida Sans Unicode"/>
          <w:sz w:val="20"/>
          <w:szCs w:val="20"/>
        </w:rPr>
        <w:t>der Hochschule aus erster Hand.</w:t>
      </w:r>
      <w:r w:rsidR="003F3258">
        <w:rPr>
          <w:rFonts w:ascii="Lucida Sans Unicode" w:hAnsi="Lucida Sans Unicode" w:cs="Lucida Sans Unicode"/>
          <w:sz w:val="20"/>
          <w:szCs w:val="20"/>
        </w:rPr>
        <w:t xml:space="preserve"> Ob Fragen zu Studienangeboten, Chancen auf dem Arbeitsmarkt oder wie sich das Leben auf dem Campus vor den Toren Berlins anfühlt, wenn Corona Geschichte ist – all das und noch viel mehr können die </w:t>
      </w:r>
      <w:r w:rsidR="00623CBF">
        <w:rPr>
          <w:rFonts w:ascii="Lucida Sans Unicode" w:hAnsi="Lucida Sans Unicode" w:cs="Lucida Sans Unicode"/>
          <w:sz w:val="20"/>
          <w:szCs w:val="20"/>
        </w:rPr>
        <w:t xml:space="preserve">Interessierten während der Webinare </w:t>
      </w:r>
      <w:r w:rsidR="003F3258">
        <w:rPr>
          <w:rFonts w:ascii="Lucida Sans Unicode" w:hAnsi="Lucida Sans Unicode" w:cs="Lucida Sans Unicode"/>
          <w:sz w:val="20"/>
          <w:szCs w:val="20"/>
        </w:rPr>
        <w:t xml:space="preserve">oder </w:t>
      </w:r>
      <w:r w:rsidR="00623CBF">
        <w:rPr>
          <w:rFonts w:ascii="Lucida Sans Unicode" w:hAnsi="Lucida Sans Unicode" w:cs="Lucida Sans Unicode"/>
          <w:sz w:val="20"/>
          <w:szCs w:val="20"/>
        </w:rPr>
        <w:t xml:space="preserve">im Chat </w:t>
      </w:r>
      <w:r w:rsidR="003F3258">
        <w:rPr>
          <w:rFonts w:ascii="Lucida Sans Unicode" w:hAnsi="Lucida Sans Unicode" w:cs="Lucida Sans Unicode"/>
          <w:sz w:val="20"/>
          <w:szCs w:val="20"/>
        </w:rPr>
        <w:t>erfahren</w:t>
      </w:r>
      <w:r w:rsidR="00623CBF">
        <w:rPr>
          <w:rFonts w:ascii="Lucida Sans Unicode" w:hAnsi="Lucida Sans Unicode" w:cs="Lucida Sans Unicode"/>
          <w:sz w:val="20"/>
          <w:szCs w:val="20"/>
        </w:rPr>
        <w:t>.</w:t>
      </w:r>
    </w:p>
    <w:p w14:paraId="0BC3DE9A" w14:textId="639F719B" w:rsidR="0099652D" w:rsidRPr="00774101" w:rsidRDefault="00623CBF" w:rsidP="00774101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74101">
        <w:rPr>
          <w:rFonts w:ascii="Lucida Sans Unicode" w:hAnsi="Lucida Sans Unicode" w:cs="Lucida Sans Unicode"/>
          <w:b/>
          <w:sz w:val="20"/>
          <w:szCs w:val="20"/>
        </w:rPr>
        <w:t>Ab ins Labor</w:t>
      </w:r>
    </w:p>
    <w:p w14:paraId="428CFCEC" w14:textId="65153235" w:rsidR="00623CBF" w:rsidRPr="00774101" w:rsidRDefault="008149C7" w:rsidP="006D6A9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774101">
        <w:rPr>
          <w:rFonts w:ascii="Lucida Sans Unicode" w:hAnsi="Lucida Sans Unicode" w:cs="Lucida Sans Unicode"/>
          <w:sz w:val="20"/>
          <w:szCs w:val="20"/>
        </w:rPr>
        <w:t xml:space="preserve">Alle, die einen Blick in </w:t>
      </w:r>
      <w:r w:rsidR="0041086F">
        <w:rPr>
          <w:rFonts w:ascii="Lucida Sans Unicode" w:hAnsi="Lucida Sans Unicode" w:cs="Lucida Sans Unicode"/>
          <w:sz w:val="20"/>
          <w:szCs w:val="20"/>
        </w:rPr>
        <w:t>die</w:t>
      </w:r>
      <w:r w:rsidRPr="00774101">
        <w:rPr>
          <w:rFonts w:ascii="Lucida Sans Unicode" w:hAnsi="Lucida Sans Unicode" w:cs="Lucida Sans Unicode"/>
          <w:sz w:val="20"/>
          <w:szCs w:val="20"/>
        </w:rPr>
        <w:t xml:space="preserve"> Labore werfen wollen, können dies ebenfalls</w:t>
      </w:r>
      <w:r w:rsidR="0041086F">
        <w:rPr>
          <w:rFonts w:ascii="Lucida Sans Unicode" w:hAnsi="Lucida Sans Unicode" w:cs="Lucida Sans Unicode"/>
          <w:sz w:val="20"/>
          <w:szCs w:val="20"/>
        </w:rPr>
        <w:t xml:space="preserve"> auf digitalem Weg</w:t>
      </w:r>
      <w:r w:rsidRPr="00774101">
        <w:rPr>
          <w:rFonts w:ascii="Lucida Sans Unicode" w:hAnsi="Lucida Sans Unicode" w:cs="Lucida Sans Unicode"/>
          <w:sz w:val="20"/>
          <w:szCs w:val="20"/>
        </w:rPr>
        <w:t xml:space="preserve"> tun. </w:t>
      </w:r>
      <w:r w:rsidR="00774101" w:rsidRPr="00774101">
        <w:rPr>
          <w:rFonts w:ascii="Lucida Sans Unicode" w:hAnsi="Lucida Sans Unicode" w:cs="Lucida Sans Unicode"/>
          <w:sz w:val="20"/>
          <w:szCs w:val="20"/>
        </w:rPr>
        <w:t>Online-Workshop</w:t>
      </w:r>
      <w:r w:rsidR="0041086F">
        <w:rPr>
          <w:rFonts w:ascii="Lucida Sans Unicode" w:hAnsi="Lucida Sans Unicode" w:cs="Lucida Sans Unicode"/>
          <w:sz w:val="20"/>
          <w:szCs w:val="20"/>
        </w:rPr>
        <w:t>s</w:t>
      </w:r>
      <w:r w:rsidR="00774101" w:rsidRPr="0077410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74101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41086F">
        <w:rPr>
          <w:rFonts w:ascii="Lucida Sans Unicode" w:hAnsi="Lucida Sans Unicode" w:cs="Lucida Sans Unicode"/>
          <w:sz w:val="20"/>
          <w:szCs w:val="20"/>
        </w:rPr>
        <w:t xml:space="preserve">ein </w:t>
      </w:r>
      <w:r w:rsidRPr="00774101">
        <w:rPr>
          <w:rFonts w:ascii="Lucida Sans Unicode" w:hAnsi="Lucida Sans Unicode" w:cs="Lucida Sans Unicode"/>
          <w:sz w:val="20"/>
          <w:szCs w:val="20"/>
        </w:rPr>
        <w:t xml:space="preserve">virtueller Rundgang durch das </w:t>
      </w:r>
      <w:proofErr w:type="spellStart"/>
      <w:proofErr w:type="gramStart"/>
      <w:r w:rsidRPr="00774101">
        <w:rPr>
          <w:rFonts w:ascii="Lucida Sans Unicode" w:hAnsi="Lucida Sans Unicode" w:cs="Lucida Sans Unicode"/>
          <w:sz w:val="20"/>
          <w:szCs w:val="20"/>
        </w:rPr>
        <w:t>ViNN:Lab</w:t>
      </w:r>
      <w:proofErr w:type="spellEnd"/>
      <w:proofErr w:type="gramEnd"/>
      <w:r w:rsidRPr="00774101">
        <w:rPr>
          <w:rFonts w:ascii="Lucida Sans Unicode" w:hAnsi="Lucida Sans Unicode" w:cs="Lucida Sans Unicode"/>
          <w:sz w:val="20"/>
          <w:szCs w:val="20"/>
        </w:rPr>
        <w:t xml:space="preserve">, den </w:t>
      </w:r>
      <w:proofErr w:type="spellStart"/>
      <w:r w:rsidRPr="00774101">
        <w:rPr>
          <w:rFonts w:ascii="Lucida Sans Unicode" w:hAnsi="Lucida Sans Unicode" w:cs="Lucida Sans Unicode"/>
          <w:sz w:val="20"/>
          <w:szCs w:val="20"/>
        </w:rPr>
        <w:t>Makerspace</w:t>
      </w:r>
      <w:proofErr w:type="spellEnd"/>
      <w:r w:rsidRPr="00774101">
        <w:rPr>
          <w:rFonts w:ascii="Lucida Sans Unicode" w:hAnsi="Lucida Sans Unicode" w:cs="Lucida Sans Unicode"/>
          <w:sz w:val="20"/>
          <w:szCs w:val="20"/>
        </w:rPr>
        <w:t xml:space="preserve"> der TH Wildau,</w:t>
      </w:r>
      <w:r w:rsidR="00774101">
        <w:rPr>
          <w:rFonts w:ascii="Lucida Sans Unicode" w:hAnsi="Lucida Sans Unicode" w:cs="Lucida Sans Unicode"/>
          <w:sz w:val="20"/>
          <w:szCs w:val="20"/>
        </w:rPr>
        <w:t xml:space="preserve"> oder</w:t>
      </w:r>
      <w:r w:rsidRPr="00774101">
        <w:rPr>
          <w:rFonts w:ascii="Lucida Sans Unicode" w:hAnsi="Lucida Sans Unicode" w:cs="Lucida Sans Unicode"/>
          <w:sz w:val="20"/>
          <w:szCs w:val="20"/>
        </w:rPr>
        <w:t xml:space="preserve"> eine Live-Beratung der angewandten Luftfahrtforschung laden dazu ein, die praxisnahe und vielfältige (Aus-)Bildung in Wildau näher kennenzulernen.</w:t>
      </w:r>
    </w:p>
    <w:p w14:paraId="4F19DC14" w14:textId="68E08D6E" w:rsidR="006D6A98" w:rsidRPr="00774101" w:rsidRDefault="006D6A98" w:rsidP="006D6A98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774101">
        <w:rPr>
          <w:rFonts w:ascii="Lucida Sans Unicode" w:hAnsi="Lucida Sans Unicode" w:cs="Lucida Sans Unicode"/>
          <w:sz w:val="20"/>
          <w:szCs w:val="20"/>
        </w:rPr>
        <w:t> </w:t>
      </w:r>
    </w:p>
    <w:p w14:paraId="099E9B9E" w14:textId="42D772FF" w:rsidR="00623CBF" w:rsidRPr="00774101" w:rsidRDefault="00623CBF" w:rsidP="006D6A98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74101">
        <w:rPr>
          <w:rFonts w:ascii="Lucida Sans Unicode" w:hAnsi="Lucida Sans Unicode" w:cs="Lucida Sans Unicode"/>
          <w:b/>
          <w:sz w:val="20"/>
          <w:szCs w:val="20"/>
        </w:rPr>
        <w:t>Ab auf den Campus</w:t>
      </w:r>
    </w:p>
    <w:p w14:paraId="5B669D4A" w14:textId="0604B57A" w:rsidR="00774101" w:rsidRDefault="00774101" w:rsidP="00774101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774101">
        <w:rPr>
          <w:rFonts w:ascii="Lucida Sans Unicode" w:hAnsi="Lucida Sans Unicode" w:cs="Lucida Sans Unicode"/>
          <w:sz w:val="20"/>
          <w:szCs w:val="20"/>
        </w:rPr>
        <w:t xml:space="preserve">„Was kann ich studieren?“, „Was gilt es bei Bewerbung und Einschreibung zu beachten“ oder „Wie kann ich Beruf und Studium vereinbaren?“ gehören zu den häufigen Fragen, </w:t>
      </w:r>
      <w:r>
        <w:rPr>
          <w:rFonts w:ascii="Lucida Sans Unicode" w:hAnsi="Lucida Sans Unicode" w:cs="Lucida Sans Unicode"/>
          <w:sz w:val="20"/>
          <w:szCs w:val="20"/>
        </w:rPr>
        <w:t xml:space="preserve">mit denen das Team der Studienorientierung regelmäßig konfrontiert wird. Im Rahmen </w:t>
      </w:r>
      <w:r w:rsidR="00AD2250">
        <w:rPr>
          <w:rFonts w:ascii="Lucida Sans Unicode" w:hAnsi="Lucida Sans Unicode" w:cs="Lucida Sans Unicode"/>
          <w:sz w:val="20"/>
          <w:szCs w:val="20"/>
        </w:rPr>
        <w:t xml:space="preserve">einer </w:t>
      </w:r>
      <w:r>
        <w:rPr>
          <w:rFonts w:ascii="Lucida Sans Unicode" w:hAnsi="Lucida Sans Unicode" w:cs="Lucida Sans Unicode"/>
          <w:sz w:val="20"/>
          <w:szCs w:val="20"/>
        </w:rPr>
        <w:t>v</w:t>
      </w:r>
      <w:r w:rsidRPr="00774101">
        <w:rPr>
          <w:rFonts w:ascii="Lucida Sans Unicode" w:hAnsi="Lucida Sans Unicode" w:cs="Lucida Sans Unicode"/>
          <w:sz w:val="20"/>
          <w:szCs w:val="20"/>
        </w:rPr>
        <w:t>irtuelle</w:t>
      </w:r>
      <w:r w:rsidR="00AD2250">
        <w:rPr>
          <w:rFonts w:ascii="Lucida Sans Unicode" w:hAnsi="Lucida Sans Unicode" w:cs="Lucida Sans Unicode"/>
          <w:sz w:val="20"/>
          <w:szCs w:val="20"/>
        </w:rPr>
        <w:t>n</w:t>
      </w:r>
      <w:r w:rsidRPr="00774101">
        <w:rPr>
          <w:rFonts w:ascii="Lucida Sans Unicode" w:hAnsi="Lucida Sans Unicode" w:cs="Lucida Sans Unicode"/>
          <w:sz w:val="20"/>
          <w:szCs w:val="20"/>
        </w:rPr>
        <w:t xml:space="preserve"> 360°-Campustour</w:t>
      </w:r>
      <w:r>
        <w:rPr>
          <w:rFonts w:ascii="Lucida Sans Unicode" w:hAnsi="Lucida Sans Unicode" w:cs="Lucida Sans Unicode"/>
          <w:sz w:val="20"/>
          <w:szCs w:val="20"/>
        </w:rPr>
        <w:t xml:space="preserve"> wird darauf genauso </w:t>
      </w:r>
      <w:r w:rsidR="00AD2250">
        <w:rPr>
          <w:rFonts w:ascii="Lucida Sans Unicode" w:hAnsi="Lucida Sans Unicode" w:cs="Lucida Sans Unicode"/>
          <w:sz w:val="20"/>
          <w:szCs w:val="20"/>
        </w:rPr>
        <w:t xml:space="preserve">eingegangen </w:t>
      </w:r>
      <w:r>
        <w:rPr>
          <w:rFonts w:ascii="Lucida Sans Unicode" w:hAnsi="Lucida Sans Unicode" w:cs="Lucida Sans Unicode"/>
          <w:sz w:val="20"/>
          <w:szCs w:val="20"/>
        </w:rPr>
        <w:t xml:space="preserve">wie auf die </w:t>
      </w:r>
      <w:r w:rsidRPr="00B60F26">
        <w:rPr>
          <w:rFonts w:ascii="Lucida Sans Unicode" w:hAnsi="Lucida Sans Unicode" w:cs="Lucida Sans Unicode"/>
          <w:sz w:val="20"/>
          <w:szCs w:val="20"/>
        </w:rPr>
        <w:t>Rahmenbedingungen für ein erfolgreiches Studium von der Immatrikulation bis zum Abschluss.</w:t>
      </w:r>
    </w:p>
    <w:p w14:paraId="70ED257E" w14:textId="5A69BB8E" w:rsidR="00774101" w:rsidRDefault="00774101" w:rsidP="00774101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14:paraId="5C77FEBC" w14:textId="7DB2CBA1" w:rsidR="00B60F26" w:rsidRPr="00B60F26" w:rsidRDefault="00B60F26" w:rsidP="00B60F2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B60F26">
        <w:rPr>
          <w:rFonts w:ascii="Lucida Sans Unicode" w:hAnsi="Lucida Sans Unicode" w:cs="Lucida Sans Unicode"/>
          <w:sz w:val="20"/>
          <w:szCs w:val="20"/>
        </w:rPr>
        <w:t>„</w:t>
      </w:r>
      <w:r>
        <w:rPr>
          <w:rFonts w:ascii="Lucida Sans Unicode" w:hAnsi="Lucida Sans Unicode" w:cs="Lucida Sans Unicode"/>
          <w:sz w:val="20"/>
          <w:szCs w:val="20"/>
        </w:rPr>
        <w:t>Ich bin wirklich beeindruckt und begeistert, mit welchem Engagement und mit welcher Kreativität unser erster digitaler HIT vorbereitet wurde. Unsere Verankerung in der Hauptstadtregion Berlin-Brandenburg, unsere hervorragende Ausstattung, die individuellen Entwicklungs- und Studienmöglichkeiten oder auch unser Anspruch, Antrieb für neue Entwicklungen zu sein: All das spiegelt sich in unserem digitalen HIT wider. Und daher freue ich mich darauf, wenn die Zugriffe auf unsere Webseite zahlreich, die Fragen abwechslungsreich und – am wichtigsten – d</w:t>
      </w:r>
      <w:r w:rsidR="00AD2250">
        <w:rPr>
          <w:rFonts w:ascii="Lucida Sans Unicode" w:hAnsi="Lucida Sans Unicode" w:cs="Lucida Sans Unicode"/>
          <w:sz w:val="20"/>
          <w:szCs w:val="20"/>
        </w:rPr>
        <w:t>ie</w:t>
      </w:r>
      <w:r>
        <w:rPr>
          <w:rFonts w:ascii="Lucida Sans Unicode" w:hAnsi="Lucida Sans Unicode" w:cs="Lucida Sans Unicode"/>
          <w:sz w:val="20"/>
          <w:szCs w:val="20"/>
        </w:rPr>
        <w:t xml:space="preserve"> gebotenen Informationen für alle Interessierten wertvoll sind. Über Feedback im Anschluss freuen wir uns natürlich sehr</w:t>
      </w:r>
      <w:r w:rsidR="00774101" w:rsidRPr="00B60F26">
        <w:rPr>
          <w:rFonts w:ascii="Lucida Sans Unicode" w:hAnsi="Lucida Sans Unicode" w:cs="Lucida Sans Unicode"/>
          <w:sz w:val="20"/>
          <w:szCs w:val="20"/>
        </w:rPr>
        <w:t>“</w:t>
      </w:r>
      <w:r w:rsidRPr="00B60F26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>fasst</w:t>
      </w:r>
      <w:r w:rsidRPr="00B60F26">
        <w:rPr>
          <w:rFonts w:ascii="Lucida Sans Unicode" w:hAnsi="Lucida Sans Unicode" w:cs="Lucida Sans Unicode"/>
          <w:sz w:val="20"/>
          <w:szCs w:val="20"/>
        </w:rPr>
        <w:t xml:space="preserve"> Prof. Dr. Ulrike Tippe, Präsidentin der TH Wildau</w:t>
      </w:r>
      <w:r>
        <w:rPr>
          <w:rFonts w:ascii="Lucida Sans Unicode" w:hAnsi="Lucida Sans Unicode" w:cs="Lucida Sans Unicode"/>
          <w:sz w:val="20"/>
          <w:szCs w:val="20"/>
        </w:rPr>
        <w:t>, zusammen</w:t>
      </w:r>
      <w:r w:rsidRPr="00B60F26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br/>
      </w:r>
    </w:p>
    <w:p w14:paraId="1E4A913A" w14:textId="0B5BD145" w:rsidR="006D6A98" w:rsidRPr="006D6A98" w:rsidRDefault="006D6A98" w:rsidP="006D6A98">
      <w:pPr>
        <w:rPr>
          <w:b/>
        </w:rPr>
      </w:pPr>
      <w:r w:rsidRPr="006D6A98">
        <w:rPr>
          <w:b/>
        </w:rPr>
        <w:t>Über die TH Wildau</w:t>
      </w:r>
    </w:p>
    <w:p w14:paraId="2DB21A3D" w14:textId="77777777" w:rsidR="006D6A98" w:rsidRDefault="006D6A98" w:rsidP="006D6A98">
      <w:r>
        <w:t xml:space="preserve">Die Technische Hochschule Wildau ist die größte (Fach-)Hochschule des Landes Brandenburg. Ihr attraktives Studienangebot umfasst 33 Studiengänge in naturwissenschaftlichen, ingenieurtechnischen, betriebswirtschaftlichen, juristischen und Managementdisziplinen. Ein besonderes Kennzeichen ist ihre Internationalität. Über 20 Prozent der Studierenden kommen aus </w:t>
      </w:r>
      <w:r>
        <w:lastRenderedPageBreak/>
        <w:t>mehr als 60 Ländern. Kooperationsverträge, Studenten- und Dozentenaustausche verbinden die TH Wildau weltweit mit über 140 akademischen Bildungseinrichtungen.</w:t>
      </w:r>
    </w:p>
    <w:p w14:paraId="24A56A88" w14:textId="77777777" w:rsidR="006D6A98" w:rsidRDefault="006D6A98" w:rsidP="006D6A98">
      <w:r>
        <w:t>Als eine der forschungsstärksten Fachhochschulen Deutschlands befördert die TH Wildau Innovationen sowie den Wissens- und Technologietransfer. Wichtige Kompetenzfelder sind Angewandte Biowissenschaften, Informatik/Telematik, Optische Technologien/</w:t>
      </w:r>
      <w:proofErr w:type="spellStart"/>
      <w:r>
        <w:t>Photonik</w:t>
      </w:r>
      <w:proofErr w:type="spellEnd"/>
      <w:r>
        <w:t>, Produktion und Material, Verkehr und Logistik sowie Management und Recht.</w:t>
      </w:r>
    </w:p>
    <w:p w14:paraId="043A3F25" w14:textId="77777777" w:rsidR="00B60F26" w:rsidRDefault="006D6A98" w:rsidP="00B60F26">
      <w:r>
        <w:t xml:space="preserve">Der Campus der TH Wildau befindet sich auf einem traditionsreichen Industrieareal des früheren </w:t>
      </w:r>
      <w:proofErr w:type="spellStart"/>
      <w:r>
        <w:t>Lokomotiv</w:t>
      </w:r>
      <w:proofErr w:type="spellEnd"/>
      <w:r>
        <w:t>- und Schwermaschinenbaus. Die gelungene Symbiose aus denkmalgeschützter Industriearchitektur und preisgekrönten modernen Funktionsgebäuden setzt städtebaulich Maßstäbe.</w:t>
      </w:r>
    </w:p>
    <w:p w14:paraId="1E13FF5A" w14:textId="77777777" w:rsidR="00B60F26" w:rsidRDefault="00B60F26" w:rsidP="00B60F26"/>
    <w:p w14:paraId="149EE2B8" w14:textId="4217974B" w:rsidR="00670D2C" w:rsidRPr="00B60F26" w:rsidRDefault="00567D3A" w:rsidP="00B60F26">
      <w:r w:rsidRPr="00567D3A">
        <w:rPr>
          <w:b/>
          <w:szCs w:val="32"/>
        </w:rPr>
        <w:t>Pressekontakt</w:t>
      </w:r>
      <w:r w:rsidR="00A368C9">
        <w:rPr>
          <w:b/>
          <w:szCs w:val="32"/>
        </w:rPr>
        <w:t xml:space="preserve"> </w:t>
      </w:r>
      <w:r w:rsidR="00670D2C">
        <w:rPr>
          <w:b/>
          <w:szCs w:val="32"/>
        </w:rPr>
        <w:t>Technische Hochschule Wildau:</w:t>
      </w:r>
      <w:r w:rsidR="006B2727">
        <w:rPr>
          <w:b/>
          <w:szCs w:val="32"/>
        </w:rPr>
        <w:br/>
      </w:r>
      <w:r w:rsidR="00670D2C" w:rsidRPr="006B2727">
        <w:rPr>
          <w:rFonts w:cstheme="minorHAnsi"/>
          <w:szCs w:val="32"/>
        </w:rPr>
        <w:t>Mike Lange</w:t>
      </w:r>
      <w:r w:rsidR="00670D2C" w:rsidRPr="006B2727">
        <w:rPr>
          <w:rFonts w:cstheme="minorHAnsi"/>
          <w:szCs w:val="32"/>
        </w:rPr>
        <w:br/>
        <w:t>Mareike Rammelt</w:t>
      </w:r>
      <w:r w:rsidR="006B2727">
        <w:rPr>
          <w:rFonts w:cstheme="minorHAnsi"/>
          <w:szCs w:val="32"/>
        </w:rPr>
        <w:br/>
      </w:r>
      <w:r w:rsidR="00670D2C" w:rsidRPr="006B2727">
        <w:rPr>
          <w:rFonts w:cstheme="minorHAnsi"/>
          <w:szCs w:val="32"/>
        </w:rPr>
        <w:t>Hochschulring 1, 15745 Wildau</w:t>
      </w:r>
      <w:r w:rsidR="00670D2C" w:rsidRPr="006B2727">
        <w:rPr>
          <w:rFonts w:cstheme="minorHAnsi"/>
          <w:szCs w:val="32"/>
        </w:rPr>
        <w:br/>
        <w:t>Tel.: +49 (0) 3375 508 211</w:t>
      </w:r>
      <w:r w:rsidR="00670D2C" w:rsidRPr="006B2727">
        <w:rPr>
          <w:rFonts w:cstheme="minorHAnsi"/>
          <w:szCs w:val="32"/>
        </w:rPr>
        <w:br/>
        <w:t xml:space="preserve">E-Mail: </w:t>
      </w:r>
      <w:hyperlink r:id="rId11" w:history="1">
        <w:r w:rsidR="00670D2C" w:rsidRPr="006B2727">
          <w:rPr>
            <w:rStyle w:val="Hyperlink"/>
            <w:rFonts w:cstheme="minorHAnsi"/>
            <w:szCs w:val="32"/>
          </w:rPr>
          <w:t>presse@th-wildau.de</w:t>
        </w:r>
      </w:hyperlink>
    </w:p>
    <w:p w14:paraId="3F2091BF" w14:textId="77777777" w:rsidR="00670D2C" w:rsidRDefault="00670D2C" w:rsidP="00DC61FF">
      <w:pPr>
        <w:spacing w:line="240" w:lineRule="auto"/>
        <w:rPr>
          <w:sz w:val="24"/>
          <w:szCs w:val="32"/>
        </w:rPr>
      </w:pPr>
    </w:p>
    <w:sectPr w:rsidR="00670D2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6EC4" w14:textId="77777777" w:rsidR="00774101" w:rsidRDefault="00774101" w:rsidP="00141289">
      <w:pPr>
        <w:spacing w:after="0" w:line="240" w:lineRule="auto"/>
      </w:pPr>
      <w:r>
        <w:separator/>
      </w:r>
    </w:p>
  </w:endnote>
  <w:endnote w:type="continuationSeparator" w:id="0">
    <w:p w14:paraId="75E31147" w14:textId="77777777" w:rsidR="00774101" w:rsidRDefault="00774101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HP Sun Office">
    <w:altName w:val="MS UI Gothic"/>
    <w:charset w:val="00"/>
    <w:family w:val="swiss"/>
    <w:pitch w:val="variable"/>
    <w:sig w:usb0="A00000EF" w:usb1="5200607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816414"/>
      <w:docPartObj>
        <w:docPartGallery w:val="Page Numbers (Bottom of Page)"/>
        <w:docPartUnique/>
      </w:docPartObj>
    </w:sdtPr>
    <w:sdtEndPr/>
    <w:sdtContent>
      <w:p w14:paraId="5FF279A0" w14:textId="7B091D74" w:rsidR="00774101" w:rsidRPr="002A2D75" w:rsidRDefault="00774101" w:rsidP="002A2D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A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19295" w14:textId="77777777" w:rsidR="00774101" w:rsidRDefault="00774101" w:rsidP="00141289">
      <w:pPr>
        <w:spacing w:after="0" w:line="240" w:lineRule="auto"/>
      </w:pPr>
      <w:r>
        <w:separator/>
      </w:r>
    </w:p>
  </w:footnote>
  <w:footnote w:type="continuationSeparator" w:id="0">
    <w:p w14:paraId="5523E52D" w14:textId="77777777" w:rsidR="00774101" w:rsidRDefault="00774101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835B" w14:textId="77777777" w:rsidR="00774101" w:rsidRDefault="00774101" w:rsidP="00DA1E87">
    <w:pPr>
      <w:rPr>
        <w:szCs w:val="32"/>
      </w:rPr>
    </w:pPr>
  </w:p>
  <w:p w14:paraId="54BFB02E" w14:textId="0C95F1CC" w:rsidR="00774101" w:rsidRPr="00DA1E87" w:rsidRDefault="00774101" w:rsidP="00DA1E87">
    <w:pPr>
      <w:rPr>
        <w:rFonts w:eastAsiaTheme="minorEastAsia"/>
        <w:noProof/>
        <w:lang w:eastAsia="de-DE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8752" behindDoc="0" locked="0" layoutInCell="1" allowOverlap="1" wp14:anchorId="7CA74DA9" wp14:editId="22E337D7">
          <wp:simplePos x="0" y="0"/>
          <wp:positionH relativeFrom="margin">
            <wp:posOffset>4508500</wp:posOffset>
          </wp:positionH>
          <wp:positionV relativeFrom="margin">
            <wp:posOffset>-918845</wp:posOffset>
          </wp:positionV>
          <wp:extent cx="1467485" cy="5848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47">
      <w:rPr>
        <w:szCs w:val="32"/>
      </w:rPr>
      <w:t>Pressemitteilung</w:t>
    </w:r>
    <w:r>
      <w:rPr>
        <w:szCs w:val="32"/>
      </w:rPr>
      <w:t xml:space="preserve"> der </w:t>
    </w:r>
    <w:r>
      <w:rPr>
        <w:rFonts w:eastAsiaTheme="minorEastAsia"/>
        <w:noProof/>
        <w:lang w:eastAsia="de-DE"/>
      </w:rPr>
      <w:t>Technischen Hochschule Wildau</w:t>
    </w:r>
  </w:p>
  <w:p w14:paraId="3E944D2A" w14:textId="339FC115" w:rsidR="00774101" w:rsidRPr="006D6A98" w:rsidRDefault="00774101" w:rsidP="00374B0E">
    <w:pPr>
      <w:pStyle w:val="StandardWeb"/>
      <w:tabs>
        <w:tab w:val="right" w:pos="6920"/>
      </w:tabs>
      <w:rPr>
        <w:rFonts w:asciiTheme="minorHAnsi" w:eastAsiaTheme="minorHAnsi" w:hAnsiTheme="minorHAnsi" w:cstheme="minorBidi"/>
        <w:sz w:val="22"/>
        <w:szCs w:val="32"/>
        <w:lang w:eastAsia="en-US"/>
      </w:rPr>
    </w:pPr>
    <w:r w:rsidRPr="004E6D3C">
      <w:rPr>
        <w:rFonts w:asciiTheme="minorHAnsi" w:eastAsiaTheme="minorHAnsi" w:hAnsiTheme="minorHAnsi" w:cstheme="minorBidi"/>
        <w:sz w:val="22"/>
        <w:szCs w:val="32"/>
        <w:lang w:eastAsia="en-US"/>
      </w:rPr>
      <w:t>Datum:</w:t>
    </w:r>
    <w:r>
      <w:rPr>
        <w:rFonts w:asciiTheme="minorHAnsi" w:eastAsiaTheme="minorHAnsi" w:hAnsiTheme="minorHAnsi" w:cstheme="minorBidi"/>
        <w:sz w:val="22"/>
        <w:szCs w:val="32"/>
        <w:lang w:eastAsia="en-US"/>
      </w:rPr>
      <w:t xml:space="preserve"> 29.05.2020   </w:t>
    </w:r>
    <w:r w:rsidRPr="004E6D3C">
      <w:rPr>
        <w:rFonts w:asciiTheme="minorHAnsi" w:eastAsiaTheme="minorHAnsi" w:hAnsiTheme="minorHAnsi" w:cstheme="minorBidi"/>
        <w:sz w:val="22"/>
        <w:szCs w:val="32"/>
        <w:lang w:eastAsia="en-US"/>
      </w:rPr>
      <w:t xml:space="preserve">   Nr. </w:t>
    </w:r>
    <w:r>
      <w:rPr>
        <w:rFonts w:asciiTheme="minorHAnsi" w:eastAsiaTheme="minorHAnsi" w:hAnsiTheme="minorHAnsi" w:cstheme="minorBidi"/>
        <w:sz w:val="22"/>
        <w:szCs w:val="32"/>
        <w:lang w:eastAsia="en-US"/>
      </w:rPr>
      <w:t>xxx</w:t>
    </w:r>
    <w:r>
      <w:rPr>
        <w:rFonts w:asciiTheme="minorHAnsi" w:eastAsiaTheme="minorHAnsi" w:hAnsiTheme="minorHAnsi" w:cstheme="minorBidi"/>
        <w:szCs w:val="32"/>
        <w:lang w:eastAsia="en-US"/>
      </w:rPr>
      <w:tab/>
    </w:r>
  </w:p>
  <w:p w14:paraId="5A610C30" w14:textId="77777777" w:rsidR="00774101" w:rsidRDefault="007741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54"/>
    <w:multiLevelType w:val="hybridMultilevel"/>
    <w:tmpl w:val="364E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2174A"/>
    <w:multiLevelType w:val="hybridMultilevel"/>
    <w:tmpl w:val="D20468B8"/>
    <w:lvl w:ilvl="0" w:tplc="014E62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E6A63"/>
    <w:multiLevelType w:val="multilevel"/>
    <w:tmpl w:val="EBD26DBE"/>
    <w:lvl w:ilvl="0">
      <w:start w:val="1"/>
      <w:numFmt w:val="bullet"/>
      <w:pStyle w:val="List0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244061" w:themeColor="accent1" w:themeShade="8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65C"/>
    <w:rsid w:val="00021397"/>
    <w:rsid w:val="00023313"/>
    <w:rsid w:val="00044178"/>
    <w:rsid w:val="00062FFB"/>
    <w:rsid w:val="000D02B2"/>
    <w:rsid w:val="000E1350"/>
    <w:rsid w:val="000F2B75"/>
    <w:rsid w:val="0011056C"/>
    <w:rsid w:val="00141289"/>
    <w:rsid w:val="0014214E"/>
    <w:rsid w:val="001B0431"/>
    <w:rsid w:val="002224BA"/>
    <w:rsid w:val="002625C6"/>
    <w:rsid w:val="002A2D75"/>
    <w:rsid w:val="002A3ADD"/>
    <w:rsid w:val="0030030C"/>
    <w:rsid w:val="00317F38"/>
    <w:rsid w:val="00374B0E"/>
    <w:rsid w:val="003C37C9"/>
    <w:rsid w:val="003F3258"/>
    <w:rsid w:val="0041086F"/>
    <w:rsid w:val="004169E9"/>
    <w:rsid w:val="0042075D"/>
    <w:rsid w:val="00431899"/>
    <w:rsid w:val="004B10B2"/>
    <w:rsid w:val="004B3781"/>
    <w:rsid w:val="004E6D3C"/>
    <w:rsid w:val="004E7CD9"/>
    <w:rsid w:val="00567D3A"/>
    <w:rsid w:val="00570CAB"/>
    <w:rsid w:val="00623CBF"/>
    <w:rsid w:val="006672A9"/>
    <w:rsid w:val="00670D2C"/>
    <w:rsid w:val="006718A9"/>
    <w:rsid w:val="00691F8E"/>
    <w:rsid w:val="006A3FA8"/>
    <w:rsid w:val="006B2727"/>
    <w:rsid w:val="006D6A98"/>
    <w:rsid w:val="006E53B0"/>
    <w:rsid w:val="006E61E0"/>
    <w:rsid w:val="00700114"/>
    <w:rsid w:val="00726EDD"/>
    <w:rsid w:val="00774101"/>
    <w:rsid w:val="007C453C"/>
    <w:rsid w:val="008149C7"/>
    <w:rsid w:val="00860E96"/>
    <w:rsid w:val="008D45A1"/>
    <w:rsid w:val="008D56EA"/>
    <w:rsid w:val="00904BF7"/>
    <w:rsid w:val="00921B40"/>
    <w:rsid w:val="009228AE"/>
    <w:rsid w:val="0099652D"/>
    <w:rsid w:val="00A26441"/>
    <w:rsid w:val="00A26AE4"/>
    <w:rsid w:val="00A368C9"/>
    <w:rsid w:val="00A908D8"/>
    <w:rsid w:val="00AC70B0"/>
    <w:rsid w:val="00AD2250"/>
    <w:rsid w:val="00AD51C9"/>
    <w:rsid w:val="00B14764"/>
    <w:rsid w:val="00B221DA"/>
    <w:rsid w:val="00B60F26"/>
    <w:rsid w:val="00B63921"/>
    <w:rsid w:val="00B73324"/>
    <w:rsid w:val="00B85C47"/>
    <w:rsid w:val="00C43719"/>
    <w:rsid w:val="00C6195B"/>
    <w:rsid w:val="00C86CCF"/>
    <w:rsid w:val="00CA72A7"/>
    <w:rsid w:val="00CB6C9A"/>
    <w:rsid w:val="00CF6DAB"/>
    <w:rsid w:val="00D01D26"/>
    <w:rsid w:val="00D05158"/>
    <w:rsid w:val="00D33816"/>
    <w:rsid w:val="00D82322"/>
    <w:rsid w:val="00D90718"/>
    <w:rsid w:val="00DA1E87"/>
    <w:rsid w:val="00DA4A77"/>
    <w:rsid w:val="00DB5173"/>
    <w:rsid w:val="00DC61FF"/>
    <w:rsid w:val="00E6634D"/>
    <w:rsid w:val="00E6686A"/>
    <w:rsid w:val="00E72B32"/>
    <w:rsid w:val="00EB3EEA"/>
    <w:rsid w:val="00ED0AE1"/>
    <w:rsid w:val="00F21A3D"/>
    <w:rsid w:val="00F32A77"/>
    <w:rsid w:val="00F768B0"/>
    <w:rsid w:val="00FD7330"/>
    <w:rsid w:val="00FF008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73FBE9"/>
  <w15:docId w15:val="{575C69E0-46BC-4E69-B96C-2E6E633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nhideWhenUsed/>
    <w:rsid w:val="00A368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0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0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0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0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5">
    <w:name w:val="H5"/>
    <w:basedOn w:val="Standard"/>
    <w:next w:val="Standard"/>
    <w:qFormat/>
    <w:rsid w:val="00C43719"/>
    <w:pPr>
      <w:keepNext/>
      <w:keepLines/>
      <w:spacing w:before="240" w:after="120" w:line="300" w:lineRule="exact"/>
      <w:outlineLvl w:val="4"/>
    </w:pPr>
    <w:rPr>
      <w:rFonts w:ascii="FHP Sun Office" w:hAnsi="FHP Sun Office"/>
      <w:b/>
      <w:sz w:val="24"/>
      <w:szCs w:val="24"/>
    </w:rPr>
  </w:style>
  <w:style w:type="paragraph" w:customStyle="1" w:styleId="Body">
    <w:name w:val="Body"/>
    <w:basedOn w:val="Standard"/>
    <w:qFormat/>
    <w:rsid w:val="00C43719"/>
    <w:pPr>
      <w:spacing w:before="120" w:after="120" w:line="300" w:lineRule="atLeast"/>
    </w:pPr>
    <w:rPr>
      <w:rFonts w:ascii="FHP Sun Office" w:hAnsi="FHP Sun Office"/>
      <w:sz w:val="24"/>
      <w:szCs w:val="24"/>
    </w:rPr>
  </w:style>
  <w:style w:type="paragraph" w:customStyle="1" w:styleId="List0">
    <w:name w:val="List0"/>
    <w:basedOn w:val="Standard"/>
    <w:qFormat/>
    <w:rsid w:val="00C43719"/>
    <w:pPr>
      <w:numPr>
        <w:numId w:val="2"/>
      </w:numPr>
      <w:spacing w:after="120" w:line="300" w:lineRule="atLeast"/>
    </w:pPr>
    <w:rPr>
      <w:rFonts w:ascii="FHP Sun Office" w:hAnsi="FHP Sun Office"/>
      <w:sz w:val="24"/>
      <w:szCs w:val="24"/>
    </w:rPr>
  </w:style>
  <w:style w:type="paragraph" w:styleId="Listenabsatz">
    <w:name w:val="List Paragraph"/>
    <w:basedOn w:val="Standard"/>
    <w:uiPriority w:val="34"/>
    <w:qFormat/>
    <w:rsid w:val="00623CB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th-wildau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studieren-weiterbilden/studiengae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hit-digi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7949-1714-41DF-8066-551CBFD8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8</cp:revision>
  <cp:lastPrinted>2019-03-11T15:56:00Z</cp:lastPrinted>
  <dcterms:created xsi:type="dcterms:W3CDTF">2020-05-27T09:50:00Z</dcterms:created>
  <dcterms:modified xsi:type="dcterms:W3CDTF">2020-05-28T09:37:00Z</dcterms:modified>
</cp:coreProperties>
</file>