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6" w:rsidRDefault="00F97113" w:rsidP="00CA7B2A">
      <w:pPr>
        <w:spacing w:after="0"/>
        <w:rPr>
          <w:rFonts w:ascii="AgencyFB-BoldWide" w:hAnsi="AgencyFB-BoldWide" w:cs="Arial"/>
          <w:sz w:val="40"/>
          <w:szCs w:val="40"/>
        </w:rPr>
      </w:pPr>
      <w:r>
        <w:rPr>
          <w:rFonts w:ascii="AgencyFB-BoldWide" w:hAnsi="AgencyFB-BoldWide" w:cs="Arial"/>
          <w:noProof/>
          <w:sz w:val="40"/>
          <w:szCs w:val="40"/>
        </w:rPr>
        <w:drawing>
          <wp:inline distT="0" distB="0" distL="0" distR="0" wp14:anchorId="09AED657">
            <wp:extent cx="1945005" cy="4876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113" w:rsidRDefault="00F97113" w:rsidP="00CA7B2A">
      <w:pPr>
        <w:spacing w:after="0"/>
        <w:rPr>
          <w:rFonts w:ascii="AgencyFB-BoldWide" w:hAnsi="AgencyFB-BoldWide" w:cs="Arial"/>
          <w:sz w:val="40"/>
          <w:szCs w:val="40"/>
        </w:rPr>
      </w:pPr>
    </w:p>
    <w:p w:rsidR="00F24557" w:rsidRDefault="00F24557" w:rsidP="00CA7B2A">
      <w:pPr>
        <w:spacing w:after="0"/>
        <w:rPr>
          <w:rFonts w:ascii="AgencyFB-BoldWide" w:hAnsi="AgencyFB-BoldWide" w:cs="Arial"/>
          <w:sz w:val="40"/>
          <w:szCs w:val="40"/>
        </w:rPr>
      </w:pPr>
    </w:p>
    <w:p w:rsidR="00FC2D88" w:rsidRPr="00FC2D88" w:rsidRDefault="00CA7B2A" w:rsidP="00CA7B2A">
      <w:pPr>
        <w:spacing w:after="0"/>
        <w:rPr>
          <w:rFonts w:ascii="AgencyFB-BoldWide" w:hAnsi="AgencyFB-BoldWide" w:cs="Arial"/>
          <w:sz w:val="40"/>
          <w:szCs w:val="40"/>
        </w:rPr>
      </w:pPr>
      <w:r w:rsidRPr="00FC2D88">
        <w:rPr>
          <w:rFonts w:ascii="AgencyFB-BoldWide" w:hAnsi="AgencyFB-BoldWide" w:cs="Arial"/>
          <w:sz w:val="40"/>
          <w:szCs w:val="40"/>
        </w:rPr>
        <w:t>D</w:t>
      </w:r>
      <w:r w:rsidR="002F530D">
        <w:rPr>
          <w:rFonts w:ascii="AgencyFB-BoldWide" w:hAnsi="AgencyFB-BoldWide" w:cs="Arial"/>
          <w:sz w:val="40"/>
          <w:szCs w:val="40"/>
        </w:rPr>
        <w:t xml:space="preserve">ATSCHA, HUI OCH NCSC I </w:t>
      </w:r>
      <w:r w:rsidR="002838F4">
        <w:rPr>
          <w:rFonts w:ascii="AgencyFB-BoldWide" w:hAnsi="AgencyFB-BoldWide" w:cs="Arial"/>
          <w:sz w:val="40"/>
          <w:szCs w:val="40"/>
        </w:rPr>
        <w:br/>
      </w:r>
      <w:r w:rsidR="002F530D">
        <w:rPr>
          <w:rFonts w:ascii="AgencyFB-BoldWide" w:hAnsi="AgencyFB-BoldWide" w:cs="Arial"/>
          <w:sz w:val="40"/>
          <w:szCs w:val="40"/>
        </w:rPr>
        <w:t>GEMENSAM SATSNING</w:t>
      </w:r>
    </w:p>
    <w:p w:rsidR="00CA7B2A" w:rsidRPr="00FC2D88" w:rsidRDefault="00CA2B19" w:rsidP="00CA7B2A">
      <w:pPr>
        <w:spacing w:after="0"/>
        <w:rPr>
          <w:rFonts w:ascii="AkzidenzGroteskBQ-Reg" w:hAnsi="AkzidenzGroteskBQ-Reg" w:cs="Arial"/>
          <w:i/>
        </w:rPr>
      </w:pPr>
      <w:r>
        <w:rPr>
          <w:rFonts w:ascii="AkzidenzGroteskBQ-Reg" w:hAnsi="AkzidenzGroteskBQ-Reg" w:cs="Arial"/>
          <w:i/>
        </w:rPr>
        <w:t>Datum: 2014-10-09</w:t>
      </w:r>
      <w:r w:rsidR="00CA7B2A" w:rsidRPr="00FC2D88">
        <w:rPr>
          <w:rFonts w:ascii="AkzidenzGroteskBQ-Reg" w:hAnsi="AkzidenzGroteskBQ-Reg" w:cs="Arial"/>
          <w:i/>
        </w:rPr>
        <w:t xml:space="preserve">   </w:t>
      </w:r>
    </w:p>
    <w:p w:rsidR="00CA7B2A" w:rsidRPr="00FC2D88" w:rsidRDefault="00CA7B2A" w:rsidP="00CA7B2A">
      <w:pPr>
        <w:spacing w:after="0"/>
        <w:rPr>
          <w:rFonts w:ascii="Arial" w:hAnsi="Arial" w:cs="Arial"/>
          <w:b/>
        </w:rPr>
      </w:pPr>
    </w:p>
    <w:p w:rsidR="008E05FB" w:rsidRDefault="00BB32D1" w:rsidP="00B41F2A">
      <w:pPr>
        <w:spacing w:after="0"/>
        <w:rPr>
          <w:rFonts w:ascii="AkzidenzGroteskBQ-Reg" w:hAnsi="AkzidenzGroteskBQ-Reg"/>
          <w:b/>
        </w:rPr>
      </w:pPr>
      <w:r>
        <w:rPr>
          <w:rFonts w:ascii="AkzidenzGroteskBQ-Reg" w:hAnsi="AkzidenzGroteskBQ-Reg"/>
          <w:b/>
        </w:rPr>
        <w:t>Datscha AB förvärvar</w:t>
      </w:r>
      <w:r w:rsidR="0068069D">
        <w:rPr>
          <w:rFonts w:ascii="AkzidenzGroteskBQ-Reg" w:hAnsi="AkzidenzGroteskBQ-Reg"/>
          <w:b/>
        </w:rPr>
        <w:t xml:space="preserve"> delar av</w:t>
      </w:r>
      <w:r w:rsidR="00B41F2A" w:rsidRPr="00B41F2A">
        <w:rPr>
          <w:rFonts w:ascii="AkzidenzGroteskBQ-Reg" w:hAnsi="AkzidenzGroteskBQ-Reg"/>
          <w:b/>
        </w:rPr>
        <w:t xml:space="preserve"> Centrumutvecklings</w:t>
      </w:r>
      <w:r w:rsidR="000E38F4">
        <w:rPr>
          <w:rFonts w:ascii="AkzidenzGroteskBQ-Reg" w:hAnsi="AkzidenzGroteskBQ-Reg"/>
          <w:b/>
        </w:rPr>
        <w:t xml:space="preserve"> verksamhet och blir ägare till </w:t>
      </w:r>
      <w:r w:rsidR="007C1F0E">
        <w:rPr>
          <w:rFonts w:ascii="AkzidenzGroteskBQ-Reg" w:hAnsi="AkzidenzGroteskBQ-Reg"/>
          <w:b/>
        </w:rPr>
        <w:t xml:space="preserve">den webbaserade </w:t>
      </w:r>
      <w:r w:rsidR="0094428B">
        <w:rPr>
          <w:rFonts w:ascii="AkzidenzGroteskBQ-Reg" w:hAnsi="AkzidenzGroteskBQ-Reg"/>
          <w:b/>
        </w:rPr>
        <w:t>Köpcentrumkatalogen,</w:t>
      </w:r>
      <w:r w:rsidR="007C1F0E">
        <w:rPr>
          <w:rFonts w:ascii="AkzidenzGroteskBQ-Reg" w:hAnsi="AkzidenzGroteskBQ-Reg"/>
          <w:b/>
        </w:rPr>
        <w:t xml:space="preserve"> SSCD. Samtidigt går företaget in i en gemensam satsning</w:t>
      </w:r>
      <w:r w:rsidR="002F530D">
        <w:rPr>
          <w:rFonts w:ascii="AkzidenzGroteskBQ-Reg" w:hAnsi="AkzidenzGroteskBQ-Reg"/>
          <w:b/>
        </w:rPr>
        <w:t xml:space="preserve"> </w:t>
      </w:r>
      <w:r w:rsidR="00275CD0">
        <w:rPr>
          <w:rFonts w:ascii="AkzidenzGroteskBQ-Reg" w:hAnsi="AkzidenzGroteskBQ-Reg"/>
          <w:b/>
        </w:rPr>
        <w:t xml:space="preserve">tillsammans </w:t>
      </w:r>
      <w:r w:rsidR="002F530D">
        <w:rPr>
          <w:rFonts w:ascii="AkzidenzGroteskBQ-Reg" w:hAnsi="AkzidenzGroteskBQ-Reg"/>
          <w:b/>
        </w:rPr>
        <w:t>med HUI och NCSC</w:t>
      </w:r>
      <w:r w:rsidR="00275CD0">
        <w:rPr>
          <w:rFonts w:ascii="AkzidenzGroteskBQ-Reg" w:hAnsi="AkzidenzGroteskBQ-Reg"/>
          <w:b/>
        </w:rPr>
        <w:t xml:space="preserve"> </w:t>
      </w:r>
      <w:r w:rsidR="00C36A30">
        <w:rPr>
          <w:rFonts w:ascii="AkzidenzGroteskBQ-Reg" w:hAnsi="AkzidenzGroteskBQ-Reg"/>
          <w:b/>
        </w:rPr>
        <w:t>och samlar all köpcentrum</w:t>
      </w:r>
      <w:bookmarkStart w:id="0" w:name="_GoBack"/>
      <w:bookmarkEnd w:id="0"/>
      <w:r w:rsidR="00A2605A">
        <w:rPr>
          <w:rFonts w:ascii="AkzidenzGroteskBQ-Reg" w:hAnsi="AkzidenzGroteskBQ-Reg"/>
          <w:b/>
        </w:rPr>
        <w:t>information i en enda tjänst.</w:t>
      </w:r>
      <w:r w:rsidR="002F530D" w:rsidRPr="00275CD0">
        <w:rPr>
          <w:rFonts w:ascii="AkzidenzGroteskBQ-Reg" w:hAnsi="AkzidenzGroteskBQ-Reg"/>
          <w:b/>
          <w:i/>
        </w:rPr>
        <w:t xml:space="preserve"> </w:t>
      </w:r>
    </w:p>
    <w:p w:rsidR="00B41F2A" w:rsidRPr="00B41F2A" w:rsidRDefault="00B41F2A" w:rsidP="00B41F2A">
      <w:pPr>
        <w:spacing w:after="0"/>
        <w:rPr>
          <w:rFonts w:ascii="AkzidenzGroteskBQ-Reg" w:hAnsi="AkzidenzGroteskBQ-Reg"/>
        </w:rPr>
      </w:pPr>
    </w:p>
    <w:p w:rsidR="00275CD0" w:rsidRDefault="00275CD0" w:rsidP="00275CD0">
      <w:pPr>
        <w:spacing w:after="0"/>
        <w:rPr>
          <w:rFonts w:ascii="AkzidenzGroteskBQ-Reg" w:hAnsi="AkzidenzGroteskBQ-Reg"/>
        </w:rPr>
      </w:pPr>
      <w:r>
        <w:rPr>
          <w:rFonts w:ascii="AkzidenzGroteskBQ-Reg" w:hAnsi="AkzidenzGroteskBQ-Reg"/>
        </w:rPr>
        <w:t>SSCD och Centrumfakta slås ihop till en gemensam tjänst</w:t>
      </w:r>
      <w:r w:rsidR="00BB32D1">
        <w:rPr>
          <w:rFonts w:ascii="AkzidenzGroteskBQ-Reg" w:hAnsi="AkzidenzGroteskBQ-Reg"/>
        </w:rPr>
        <w:t xml:space="preserve"> och databas. Tjänsten</w:t>
      </w:r>
      <w:r>
        <w:rPr>
          <w:rFonts w:ascii="AkzidenzGroteskBQ-Reg" w:hAnsi="AkzidenzGroteskBQ-Reg"/>
        </w:rPr>
        <w:t xml:space="preserve"> ska drivas av Datscha och </w:t>
      </w:r>
      <w:r w:rsidR="00BB32D1">
        <w:rPr>
          <w:rFonts w:ascii="AkzidenzGroteskBQ-Reg" w:hAnsi="AkzidenzGroteskBQ-Reg"/>
        </w:rPr>
        <w:t xml:space="preserve">databasen </w:t>
      </w:r>
      <w:r>
        <w:rPr>
          <w:rFonts w:ascii="AkzidenzGroteskBQ-Reg" w:hAnsi="AkzidenzGroteskBQ-Reg"/>
        </w:rPr>
        <w:t>uppdateras av HUI och NCSC. Datscha kommer även på sikt att komplettera den egna tjänsten med den nya databasen.</w:t>
      </w:r>
    </w:p>
    <w:p w:rsidR="00F26E19" w:rsidRDefault="00F26E19" w:rsidP="00345D3F">
      <w:pPr>
        <w:spacing w:after="0"/>
        <w:rPr>
          <w:rFonts w:ascii="AkzidenzGroteskBQ-Reg" w:hAnsi="AkzidenzGroteskBQ-Reg"/>
        </w:rPr>
      </w:pPr>
    </w:p>
    <w:p w:rsidR="00F3044E" w:rsidRDefault="009B184F" w:rsidP="00F26E19">
      <w:pPr>
        <w:rPr>
          <w:rFonts w:ascii="AkzidenzGroteskBQ-Reg" w:hAnsi="AkzidenzGroteskBQ-Reg"/>
        </w:rPr>
      </w:pPr>
      <w:r>
        <w:rPr>
          <w:rFonts w:ascii="AkzidenzGroteskBQ-Reg" w:hAnsi="AkzidenzGroteskBQ-Reg"/>
        </w:rPr>
        <w:t xml:space="preserve">”Både det aktuella förvärvet </w:t>
      </w:r>
      <w:r w:rsidR="00F26E19">
        <w:rPr>
          <w:rFonts w:ascii="AkzidenzGroteskBQ-Reg" w:hAnsi="AkzidenzGroteskBQ-Reg"/>
        </w:rPr>
        <w:t xml:space="preserve">och samarbetet med NCSC och HUI går helt i linje med vår strategi att ständigt investera i produktutveckling i kombination med att söka partnerskap med marknadens ledande informationsleverantörer. Det går dessutom hand i hand med </w:t>
      </w:r>
      <w:proofErr w:type="spellStart"/>
      <w:r w:rsidR="00F26E19">
        <w:rPr>
          <w:rFonts w:ascii="AkzidenzGroteskBQ-Reg" w:hAnsi="AkzidenzGroteskBQ-Reg"/>
        </w:rPr>
        <w:t>Datschas</w:t>
      </w:r>
      <w:proofErr w:type="spellEnd"/>
      <w:r w:rsidR="00F26E19">
        <w:rPr>
          <w:rFonts w:ascii="AkzidenzGroteskBQ-Reg" w:hAnsi="AkzidenzGroteskBQ-Reg"/>
        </w:rPr>
        <w:t xml:space="preserve"> lansering av information om hyresgäster senare i år”, säger Jacob Philipson, VD på Datscha.</w:t>
      </w:r>
    </w:p>
    <w:p w:rsidR="00C261D8" w:rsidRDefault="00F3044E" w:rsidP="00C261D8">
      <w:pPr>
        <w:rPr>
          <w:rFonts w:ascii="AkzidenzGroteskBQ-Reg" w:hAnsi="AkzidenzGroteskBQ-Reg"/>
        </w:rPr>
      </w:pPr>
      <w:r>
        <w:rPr>
          <w:rFonts w:ascii="AkzidenzGroteskBQ-Reg" w:hAnsi="AkzidenzGroteskBQ-Reg"/>
        </w:rPr>
        <w:t>”Detta</w:t>
      </w:r>
      <w:r w:rsidR="002838F4">
        <w:rPr>
          <w:rFonts w:ascii="AkzidenzGroteskBQ-Reg" w:hAnsi="AkzidenzGroteskBQ-Reg"/>
        </w:rPr>
        <w:t xml:space="preserve"> är goda nyheter för våra medlemmar</w:t>
      </w:r>
      <w:r>
        <w:rPr>
          <w:rFonts w:ascii="AkzidenzGroteskBQ-Reg" w:hAnsi="AkzidenzGroteskBQ-Reg"/>
        </w:rPr>
        <w:t>. De får nu tillgång till den bästa databasen</w:t>
      </w:r>
      <w:r w:rsidR="00BB32D1">
        <w:rPr>
          <w:rFonts w:ascii="AkzidenzGroteskBQ-Reg" w:hAnsi="AkzidenzGroteskBQ-Reg"/>
        </w:rPr>
        <w:t xml:space="preserve"> i det bästa verktyget</w:t>
      </w:r>
      <w:r>
        <w:rPr>
          <w:rFonts w:ascii="AkzidenzGroteskBQ-Reg" w:hAnsi="AkzidenzGroteskBQ-Reg"/>
        </w:rPr>
        <w:t>”</w:t>
      </w:r>
      <w:r w:rsidR="008D799B">
        <w:rPr>
          <w:rFonts w:ascii="AkzidenzGroteskBQ-Reg" w:hAnsi="AkzidenzGroteskBQ-Reg"/>
        </w:rPr>
        <w:t>, säger</w:t>
      </w:r>
      <w:r w:rsidR="009B184F">
        <w:rPr>
          <w:rFonts w:ascii="AkzidenzGroteskBQ-Reg" w:hAnsi="AkzidenzGroteskBQ-Reg"/>
        </w:rPr>
        <w:t xml:space="preserve"> </w:t>
      </w:r>
      <w:r w:rsidR="00C36A30" w:rsidRPr="00C36A30">
        <w:rPr>
          <w:rFonts w:ascii="AkzidenzGroteskBQ-Reg" w:hAnsi="AkzidenzGroteskBQ-Reg"/>
        </w:rPr>
        <w:t>Marika</w:t>
      </w:r>
      <w:r w:rsidR="009B184F" w:rsidRPr="00C36A30">
        <w:rPr>
          <w:rFonts w:ascii="AkzidenzGroteskBQ-Reg" w:hAnsi="AkzidenzGroteskBQ-Reg"/>
        </w:rPr>
        <w:t xml:space="preserve"> </w:t>
      </w:r>
      <w:proofErr w:type="spellStart"/>
      <w:r w:rsidR="009B184F" w:rsidRPr="00C36A30">
        <w:rPr>
          <w:rFonts w:ascii="AkzidenzGroteskBQ-Reg" w:hAnsi="AkzidenzGroteskBQ-Reg"/>
          <w:color w:val="000000"/>
          <w:sz w:val="21"/>
          <w:szCs w:val="21"/>
        </w:rPr>
        <w:t>Wærn</w:t>
      </w:r>
      <w:proofErr w:type="spellEnd"/>
      <w:r w:rsidR="00C36A30">
        <w:rPr>
          <w:rFonts w:ascii="AkzidenzGroteskBQ-Reg" w:hAnsi="AkzidenzGroteskBQ-Reg"/>
        </w:rPr>
        <w:t>, VD</w:t>
      </w:r>
      <w:r w:rsidR="00BB32D1">
        <w:rPr>
          <w:rFonts w:ascii="AkzidenzGroteskBQ-Reg" w:hAnsi="AkzidenzGroteskBQ-Reg"/>
        </w:rPr>
        <w:t xml:space="preserve"> på NCSC</w:t>
      </w:r>
      <w:r>
        <w:rPr>
          <w:rFonts w:ascii="AkzidenzGroteskBQ-Reg" w:hAnsi="AkzidenzGroteskBQ-Reg"/>
        </w:rPr>
        <w:t>.</w:t>
      </w:r>
    </w:p>
    <w:p w:rsidR="00C261D8" w:rsidRDefault="002838F4" w:rsidP="00C261D8">
      <w:pPr>
        <w:spacing w:after="0"/>
        <w:rPr>
          <w:rFonts w:ascii="AkzidenzGroteskBQ-Reg" w:hAnsi="AkzidenzGroteskBQ-Reg"/>
        </w:rPr>
      </w:pPr>
      <w:r>
        <w:rPr>
          <w:rFonts w:ascii="AkzidenzGroteskBQ-Reg" w:hAnsi="AkzidenzGroteskBQ-Reg"/>
        </w:rPr>
        <w:t>”</w:t>
      </w:r>
      <w:r w:rsidR="00F26E19">
        <w:rPr>
          <w:rFonts w:ascii="AkzidenzGroteskBQ-Reg" w:hAnsi="AkzidenzGroteskBQ-Reg"/>
        </w:rPr>
        <w:t xml:space="preserve">Marknaden får det bästa av flera världar. </w:t>
      </w:r>
      <w:r>
        <w:rPr>
          <w:rFonts w:ascii="AkzidenzGroteskBQ-Reg" w:hAnsi="AkzidenzGroteskBQ-Reg"/>
        </w:rPr>
        <w:t xml:space="preserve">Vårt ansvar i detta samarbete blir att tillföra data och vår kompetens kring köpcentrum och handelsplatser”, säger </w:t>
      </w:r>
      <w:r w:rsidR="009B184F">
        <w:rPr>
          <w:rFonts w:ascii="AkzidenzGroteskBQ-Reg" w:hAnsi="AkzidenzGroteskBQ-Reg"/>
        </w:rPr>
        <w:t>Lena Larsson, VD</w:t>
      </w:r>
      <w:r>
        <w:rPr>
          <w:rFonts w:ascii="AkzidenzGroteskBQ-Reg" w:hAnsi="AkzidenzGroteskBQ-Reg"/>
        </w:rPr>
        <w:t xml:space="preserve"> på HUI</w:t>
      </w:r>
      <w:r w:rsidR="009B184F">
        <w:rPr>
          <w:rFonts w:ascii="AkzidenzGroteskBQ-Reg" w:hAnsi="AkzidenzGroteskBQ-Reg"/>
        </w:rPr>
        <w:t xml:space="preserve"> Research</w:t>
      </w:r>
      <w:r>
        <w:rPr>
          <w:rFonts w:ascii="AkzidenzGroteskBQ-Reg" w:hAnsi="AkzidenzGroteskBQ-Reg"/>
        </w:rPr>
        <w:t>.</w:t>
      </w:r>
    </w:p>
    <w:p w:rsidR="00C261D8" w:rsidRDefault="00C261D8" w:rsidP="00C261D8">
      <w:pPr>
        <w:spacing w:after="0"/>
        <w:rPr>
          <w:rFonts w:ascii="AkzidenzGroteskBQ-Reg" w:hAnsi="AkzidenzGroteskBQ-Reg"/>
        </w:rPr>
      </w:pPr>
    </w:p>
    <w:p w:rsidR="00C36A30" w:rsidRPr="0044771B" w:rsidRDefault="00C36A30" w:rsidP="00C36A30">
      <w:pPr>
        <w:spacing w:after="0"/>
        <w:rPr>
          <w:rFonts w:ascii="AkzidenzGroteskBQ-Reg" w:hAnsi="AkzidenzGroteskBQ-Reg"/>
        </w:rPr>
      </w:pPr>
      <w:r w:rsidRPr="0044771B">
        <w:rPr>
          <w:rFonts w:ascii="AkzidenzGroteskBQ-Reg" w:hAnsi="AkzidenzGroteskBQ-Reg"/>
          <w:i/>
          <w:iCs/>
        </w:rPr>
        <w:t>SSCD står för Swedish Shopping Center Directory och är en databas med information om alla</w:t>
      </w:r>
      <w:r w:rsidRPr="0044771B">
        <w:rPr>
          <w:rFonts w:ascii="AkzidenzGroteskBQ-Reg" w:hAnsi="AkzidenzGroteskBQ-Reg"/>
          <w:i/>
          <w:iCs/>
        </w:rPr>
        <w:br/>
        <w:t>svenska köpcentrum och handelsplatser. Databasen som lanserades under 2013 är en av Centrumutveckling, vidareutveckling av den klassiska tryckta Köpcentrumkatalogen, vilken kom i sin första utgåva 1988.</w:t>
      </w:r>
    </w:p>
    <w:p w:rsidR="00C261D8" w:rsidRDefault="00C261D8" w:rsidP="00C261D8">
      <w:pPr>
        <w:spacing w:after="0"/>
        <w:rPr>
          <w:rFonts w:ascii="AkzidenzGroteskBQ-Reg" w:hAnsi="AkzidenzGroteskBQ-Reg"/>
        </w:rPr>
      </w:pPr>
    </w:p>
    <w:p w:rsidR="002A633C" w:rsidRPr="001F0346" w:rsidRDefault="002A633C" w:rsidP="00C261D8">
      <w:pPr>
        <w:spacing w:after="0"/>
        <w:rPr>
          <w:rFonts w:ascii="AkzidenzGroteskBQ-Reg" w:hAnsi="AkzidenzGroteskBQ-Reg"/>
        </w:rPr>
      </w:pPr>
      <w:r w:rsidRPr="001F0346">
        <w:rPr>
          <w:rFonts w:ascii="AkzidenzGroteskBQ-Reg" w:hAnsi="AkzidenzGroteskBQ-Reg"/>
        </w:rPr>
        <w:t xml:space="preserve">För ytterligare information, vänligen kontakta: </w:t>
      </w:r>
    </w:p>
    <w:p w:rsidR="004D7EF3" w:rsidRDefault="002A633C" w:rsidP="001F0346">
      <w:pPr>
        <w:pStyle w:val="Default"/>
        <w:rPr>
          <w:rStyle w:val="Hyperlnk"/>
          <w:rFonts w:ascii="AkzidenzGroteskBQ-Reg" w:hAnsi="AkzidenzGroteskBQ-Reg"/>
          <w:color w:val="auto"/>
          <w:sz w:val="22"/>
          <w:szCs w:val="22"/>
        </w:rPr>
      </w:pPr>
      <w:r w:rsidRPr="001F0346">
        <w:rPr>
          <w:rFonts w:ascii="AkzidenzGroteskBQ-Reg" w:hAnsi="AkzidenzGroteskBQ-Reg"/>
          <w:color w:val="auto"/>
          <w:sz w:val="22"/>
          <w:szCs w:val="22"/>
        </w:rPr>
        <w:t>Jacob Philipson, VD Datscha AB, 0</w:t>
      </w:r>
      <w:r w:rsidRPr="001F0346">
        <w:rPr>
          <w:rFonts w:ascii="AkzidenzGroteskBQ-Reg" w:eastAsia="Times New Roman" w:hAnsi="AkzidenzGroteskBQ-Reg"/>
          <w:color w:val="auto"/>
          <w:sz w:val="22"/>
          <w:szCs w:val="22"/>
        </w:rPr>
        <w:t>703-89 51 55</w:t>
      </w:r>
      <w:r w:rsidRPr="001F0346">
        <w:rPr>
          <w:rFonts w:ascii="AkzidenzGroteskBQ-Reg" w:hAnsi="AkzidenzGroteskBQ-Reg"/>
          <w:color w:val="auto"/>
          <w:sz w:val="22"/>
          <w:szCs w:val="22"/>
        </w:rPr>
        <w:t xml:space="preserve">, </w:t>
      </w:r>
      <w:hyperlink r:id="rId7" w:history="1">
        <w:r w:rsidR="00636699" w:rsidRPr="001F0346">
          <w:rPr>
            <w:rStyle w:val="Hyperlnk"/>
            <w:rFonts w:ascii="AkzidenzGroteskBQ-Reg" w:hAnsi="AkzidenzGroteskBQ-Reg"/>
            <w:color w:val="auto"/>
            <w:sz w:val="22"/>
            <w:szCs w:val="22"/>
          </w:rPr>
          <w:t>jacob.philipson@datscha.com</w:t>
        </w:r>
      </w:hyperlink>
    </w:p>
    <w:p w:rsidR="00F97113" w:rsidRDefault="009D4BEF" w:rsidP="001F0346">
      <w:pPr>
        <w:pStyle w:val="Default"/>
        <w:rPr>
          <w:rStyle w:val="Hyperlnk"/>
          <w:rFonts w:ascii="AkzidenzGroteskBQ-Reg" w:hAnsi="AkzidenzGroteskBQ-Reg"/>
          <w:color w:val="auto"/>
          <w:sz w:val="22"/>
          <w:szCs w:val="22"/>
        </w:rPr>
      </w:pPr>
      <w:r w:rsidRPr="009D4BEF">
        <w:rPr>
          <w:rStyle w:val="Hyperlnk"/>
          <w:rFonts w:ascii="AkzidenzGroteskBQ-Reg" w:hAnsi="AkzidenzGroteskBQ-Reg"/>
          <w:color w:val="auto"/>
          <w:sz w:val="22"/>
          <w:szCs w:val="22"/>
          <w:u w:val="none"/>
        </w:rPr>
        <w:t>Karin Nilson, Marknadschef Datscha AB, 0700-77 34 35,</w:t>
      </w:r>
      <w:r>
        <w:rPr>
          <w:rStyle w:val="Hyperlnk"/>
          <w:rFonts w:ascii="AkzidenzGroteskBQ-Reg" w:hAnsi="AkzidenzGroteskBQ-Reg"/>
          <w:color w:val="auto"/>
          <w:sz w:val="22"/>
          <w:szCs w:val="22"/>
          <w:u w:val="none"/>
        </w:rPr>
        <w:t xml:space="preserve"> </w:t>
      </w:r>
      <w:r>
        <w:rPr>
          <w:rStyle w:val="Hyperlnk"/>
          <w:rFonts w:ascii="AkzidenzGroteskBQ-Reg" w:hAnsi="AkzidenzGroteskBQ-Reg"/>
          <w:color w:val="auto"/>
          <w:sz w:val="22"/>
          <w:szCs w:val="22"/>
        </w:rPr>
        <w:t>karin.nilson@datscha.com</w:t>
      </w:r>
    </w:p>
    <w:p w:rsidR="00F97113" w:rsidRPr="006E0F13" w:rsidRDefault="00F97113" w:rsidP="00F97113">
      <w:pPr>
        <w:pBdr>
          <w:bottom w:val="single" w:sz="6" w:space="1" w:color="auto"/>
        </w:pBdr>
        <w:spacing w:after="0"/>
        <w:rPr>
          <w:rFonts w:ascii="Arial" w:hAnsi="Arial" w:cs="Arial"/>
          <w:sz w:val="21"/>
          <w:szCs w:val="21"/>
        </w:rPr>
      </w:pPr>
    </w:p>
    <w:p w:rsidR="00F97113" w:rsidRDefault="00F97113" w:rsidP="00F971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F97113" w:rsidRPr="000D5BE8" w:rsidRDefault="00F97113" w:rsidP="000D5BE8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 w:val="18"/>
          <w:szCs w:val="18"/>
          <w:lang w:eastAsia="en-US"/>
        </w:rPr>
      </w:pPr>
      <w:r w:rsidRPr="00F97113">
        <w:rPr>
          <w:rFonts w:eastAsiaTheme="minorHAnsi" w:cs="Arial"/>
          <w:iCs/>
          <w:color w:val="000000"/>
          <w:sz w:val="18"/>
          <w:szCs w:val="18"/>
          <w:lang w:eastAsia="en-US"/>
        </w:rPr>
        <w:t>Datscha</w:t>
      </w:r>
      <w:r w:rsidR="00E71334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 AB</w:t>
      </w:r>
      <w:r w:rsidR="009D4BEF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 erbjuder ett webbaserad informations- och analystjänst för</w:t>
      </w:r>
      <w:r w:rsidRPr="00F97113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 kommersiella fastigheter i Sverige och Finland. I </w:t>
      </w:r>
      <w:r w:rsidR="009D4BEF">
        <w:rPr>
          <w:rFonts w:eastAsiaTheme="minorHAnsi" w:cs="Arial"/>
          <w:iCs/>
          <w:color w:val="000000"/>
          <w:sz w:val="18"/>
          <w:szCs w:val="18"/>
          <w:lang w:eastAsia="en-US"/>
        </w:rPr>
        <w:t>tjänsten</w:t>
      </w:r>
      <w:r w:rsidRPr="00F97113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 finns bland annat information om ägarförhållanden, storlek, taxeringsvärden, hyresnivåer, förväntade kassaflöden, marknadsvärden etc. Datscha</w:t>
      </w:r>
      <w:r w:rsidR="007E69F1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 AB</w:t>
      </w:r>
      <w:r w:rsidRPr="00F97113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 har </w:t>
      </w:r>
      <w:r w:rsidR="009D4BEF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över </w:t>
      </w:r>
      <w:r w:rsidRPr="00F97113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500 företagskunder i sju länder vilka merparten är verksamma inom finans- eller fastighetsmarknaden. </w:t>
      </w:r>
      <w:r w:rsidR="00C36A30">
        <w:rPr>
          <w:rFonts w:eastAsiaTheme="minorHAnsi" w:cs="Arial"/>
          <w:iCs/>
          <w:color w:val="000000"/>
          <w:sz w:val="18"/>
          <w:szCs w:val="18"/>
          <w:lang w:eastAsia="en-US"/>
        </w:rPr>
        <w:t>Företaget</w:t>
      </w:r>
      <w:r w:rsidRPr="00F97113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 ingår i </w:t>
      </w:r>
      <w:proofErr w:type="spellStart"/>
      <w:r w:rsidRPr="00F97113">
        <w:rPr>
          <w:rFonts w:eastAsiaTheme="minorHAnsi" w:cs="Arial"/>
          <w:iCs/>
          <w:color w:val="000000"/>
          <w:sz w:val="18"/>
          <w:szCs w:val="18"/>
          <w:lang w:eastAsia="en-US"/>
        </w:rPr>
        <w:t>Stronghold</w:t>
      </w:r>
      <w:proofErr w:type="spellEnd"/>
      <w:r w:rsidR="007E69F1">
        <w:rPr>
          <w:rFonts w:eastAsiaTheme="minorHAnsi" w:cs="Arial"/>
          <w:iCs/>
          <w:color w:val="000000"/>
          <w:sz w:val="18"/>
          <w:szCs w:val="18"/>
          <w:lang w:eastAsia="en-US"/>
        </w:rPr>
        <w:t>-</w:t>
      </w:r>
      <w:r w:rsidRPr="00F97113">
        <w:rPr>
          <w:rFonts w:eastAsiaTheme="minorHAnsi" w:cs="Arial"/>
          <w:iCs/>
          <w:color w:val="000000"/>
          <w:sz w:val="18"/>
          <w:szCs w:val="18"/>
          <w:lang w:eastAsia="en-US"/>
        </w:rPr>
        <w:t>koncernen.</w:t>
      </w:r>
      <w:r w:rsidR="009D4BEF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 Mer information på</w:t>
      </w:r>
      <w:r w:rsidRPr="00F97113">
        <w:rPr>
          <w:rFonts w:eastAsiaTheme="minorHAnsi" w:cs="Arial"/>
          <w:iCs/>
          <w:color w:val="000000"/>
          <w:sz w:val="18"/>
          <w:szCs w:val="18"/>
          <w:lang w:eastAsia="en-US"/>
        </w:rPr>
        <w:t xml:space="preserve"> www.datscha.com</w:t>
      </w:r>
      <w:r w:rsidR="009D4BEF">
        <w:rPr>
          <w:rFonts w:eastAsiaTheme="minorHAnsi" w:cs="Arial"/>
          <w:iCs/>
          <w:color w:val="000000"/>
          <w:sz w:val="18"/>
          <w:szCs w:val="18"/>
          <w:lang w:eastAsia="en-US"/>
        </w:rPr>
        <w:t>.</w:t>
      </w:r>
    </w:p>
    <w:sectPr w:rsidR="00F97113" w:rsidRPr="000D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FB-BoldWide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kzidenzGroteskBQ-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A"/>
    <w:rsid w:val="00027A4E"/>
    <w:rsid w:val="000D5BE8"/>
    <w:rsid w:val="000E38F4"/>
    <w:rsid w:val="000E52E0"/>
    <w:rsid w:val="001C08E6"/>
    <w:rsid w:val="001C0D6D"/>
    <w:rsid w:val="001C0E56"/>
    <w:rsid w:val="001F0346"/>
    <w:rsid w:val="001F7E8F"/>
    <w:rsid w:val="00275CD0"/>
    <w:rsid w:val="002838F4"/>
    <w:rsid w:val="002A633C"/>
    <w:rsid w:val="002F530D"/>
    <w:rsid w:val="00345D3F"/>
    <w:rsid w:val="003612A3"/>
    <w:rsid w:val="00424A28"/>
    <w:rsid w:val="0044771B"/>
    <w:rsid w:val="00461091"/>
    <w:rsid w:val="004B4B5B"/>
    <w:rsid w:val="004B6F81"/>
    <w:rsid w:val="004D7EF3"/>
    <w:rsid w:val="00553E38"/>
    <w:rsid w:val="005B78DB"/>
    <w:rsid w:val="00636699"/>
    <w:rsid w:val="0068069D"/>
    <w:rsid w:val="0069459C"/>
    <w:rsid w:val="007619EE"/>
    <w:rsid w:val="00770792"/>
    <w:rsid w:val="0077637D"/>
    <w:rsid w:val="007C1F0E"/>
    <w:rsid w:val="007C69F4"/>
    <w:rsid w:val="007E69F1"/>
    <w:rsid w:val="007F1D1D"/>
    <w:rsid w:val="00885986"/>
    <w:rsid w:val="008A3C9E"/>
    <w:rsid w:val="008D799B"/>
    <w:rsid w:val="008E05FB"/>
    <w:rsid w:val="0094428B"/>
    <w:rsid w:val="009B184F"/>
    <w:rsid w:val="009D4BEF"/>
    <w:rsid w:val="00A2605A"/>
    <w:rsid w:val="00A54B55"/>
    <w:rsid w:val="00B41F2A"/>
    <w:rsid w:val="00B866D6"/>
    <w:rsid w:val="00BB32D1"/>
    <w:rsid w:val="00BF5296"/>
    <w:rsid w:val="00C200C6"/>
    <w:rsid w:val="00C261D8"/>
    <w:rsid w:val="00C36A30"/>
    <w:rsid w:val="00C53463"/>
    <w:rsid w:val="00C56513"/>
    <w:rsid w:val="00CA2B19"/>
    <w:rsid w:val="00CA5512"/>
    <w:rsid w:val="00CA7B2A"/>
    <w:rsid w:val="00CD73D2"/>
    <w:rsid w:val="00CE4A64"/>
    <w:rsid w:val="00D32FB7"/>
    <w:rsid w:val="00DA75EF"/>
    <w:rsid w:val="00E514BA"/>
    <w:rsid w:val="00E51C02"/>
    <w:rsid w:val="00E71334"/>
    <w:rsid w:val="00E77F24"/>
    <w:rsid w:val="00EC10C5"/>
    <w:rsid w:val="00F21AD1"/>
    <w:rsid w:val="00F24557"/>
    <w:rsid w:val="00F26E19"/>
    <w:rsid w:val="00F3044E"/>
    <w:rsid w:val="00F531F6"/>
    <w:rsid w:val="00F55EB3"/>
    <w:rsid w:val="00F674FE"/>
    <w:rsid w:val="00F96C01"/>
    <w:rsid w:val="00F97113"/>
    <w:rsid w:val="00FC2D88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A"/>
    <w:pPr>
      <w:spacing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A7B2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D7EF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113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A"/>
    <w:pPr>
      <w:spacing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A7B2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D7EF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113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cob.philipson@datsch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AE0B-DE73-4FDB-A666-D4A06EE0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Stronghold Invest AB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Nilsson</dc:creator>
  <cp:lastModifiedBy>Karin Nilsson</cp:lastModifiedBy>
  <cp:revision>10</cp:revision>
  <cp:lastPrinted>2014-10-08T19:07:00Z</cp:lastPrinted>
  <dcterms:created xsi:type="dcterms:W3CDTF">2014-10-08T13:29:00Z</dcterms:created>
  <dcterms:modified xsi:type="dcterms:W3CDTF">2014-10-08T19:11:00Z</dcterms:modified>
</cp:coreProperties>
</file>