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E255A" w14:textId="77777777" w:rsidR="00681BA3" w:rsidRPr="00C77AF2" w:rsidRDefault="00424A2A" w:rsidP="003E5918">
      <w:pPr>
        <w:pStyle w:val="VisaDocumentname"/>
        <w:rPr>
          <w:rFonts w:cs="Segoe UI"/>
          <w:color w:val="0023A0"/>
          <w:lang w:val="cs-CZ"/>
        </w:rPr>
      </w:pPr>
      <w:r w:rsidRPr="00C77AF2">
        <w:rPr>
          <w:rFonts w:cs="Segoe UI"/>
          <w:color w:val="0023A0"/>
          <w:lang w:val="cs-CZ"/>
        </w:rPr>
        <w:t>TISKOVÁ ZPRÁVA</w:t>
      </w:r>
    </w:p>
    <w:p w14:paraId="431BD41F" w14:textId="77777777" w:rsidR="003E5918" w:rsidRPr="00C77AF2" w:rsidRDefault="003E5918" w:rsidP="003E5918">
      <w:pPr>
        <w:pStyle w:val="VisaDocumentname"/>
        <w:rPr>
          <w:rFonts w:cs="Segoe UI"/>
          <w:color w:val="0023A0"/>
          <w:lang w:val="cs-CZ"/>
        </w:rPr>
      </w:pPr>
      <w:r w:rsidRPr="00C77AF2">
        <w:rPr>
          <w:rFonts w:cs="Segoe UI"/>
          <w:noProof/>
          <w:color w:val="0023A0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6B06D1FD" wp14:editId="7FB2D8E8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2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58EB8" w14:textId="6ACF06F2" w:rsidR="003E5918" w:rsidRPr="00C77AF2" w:rsidRDefault="00F3565F" w:rsidP="002B5C33">
      <w:pPr>
        <w:pStyle w:val="VisaHeadline"/>
        <w:jc w:val="center"/>
        <w:rPr>
          <w:lang w:val="cs-CZ"/>
        </w:rPr>
      </w:pPr>
      <w:r w:rsidRPr="00102F02">
        <w:rPr>
          <w:rFonts w:eastAsia="Gulim" w:cs="Segoe UI"/>
          <w:color w:val="0023A0"/>
          <w:szCs w:val="40"/>
          <w:lang w:val="cs-CZ" w:eastAsia="ko-KR"/>
        </w:rPr>
        <w:t xml:space="preserve">Mobilní platby </w:t>
      </w:r>
      <w:r w:rsidR="00102F02" w:rsidRPr="00102F02">
        <w:rPr>
          <w:rFonts w:eastAsia="Gulim" w:cs="Segoe UI"/>
          <w:color w:val="0023A0"/>
          <w:szCs w:val="40"/>
          <w:lang w:val="cs-CZ" w:eastAsia="ko-KR"/>
        </w:rPr>
        <w:t>rostou rapidní rychlostí</w:t>
      </w:r>
      <w:r w:rsidR="0016028E" w:rsidRPr="00102F02">
        <w:rPr>
          <w:rFonts w:eastAsia="Gulim" w:cs="Segoe UI"/>
          <w:color w:val="0023A0"/>
          <w:szCs w:val="40"/>
          <w:lang w:val="cs-CZ" w:eastAsia="ko-KR"/>
        </w:rPr>
        <w:t>, ukazuje průzkum společnosti Visa</w:t>
      </w:r>
    </w:p>
    <w:p w14:paraId="5C7273BA" w14:textId="77777777" w:rsidR="00232140" w:rsidRDefault="00232140" w:rsidP="00213F97">
      <w:pPr>
        <w:spacing w:after="0" w:line="360" w:lineRule="auto"/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</w:pPr>
    </w:p>
    <w:p w14:paraId="17C11270" w14:textId="74B16981" w:rsidR="00213F97" w:rsidRPr="00A8568C" w:rsidRDefault="0016028E" w:rsidP="00A8568C">
      <w:pPr>
        <w:pStyle w:val="Odstavecseseznamem"/>
        <w:numPr>
          <w:ilvl w:val="0"/>
          <w:numId w:val="2"/>
        </w:numPr>
        <w:spacing w:after="0" w:line="360" w:lineRule="auto"/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</w:pPr>
      <w:r w:rsidRPr="00A8568C"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  <w:t>Počet Evropanů, kteří pravidelně využívají mobilní zařízení k pla</w:t>
      </w:r>
      <w:r w:rsidR="00A8568C" w:rsidRPr="00A8568C"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  <w:t>cení</w:t>
      </w:r>
      <w:r w:rsidRPr="00A8568C"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  <w:t>, se od roku 2015 ztrojnásobil z 18 na 54 %.</w:t>
      </w:r>
      <w:r w:rsidR="00213F97" w:rsidRPr="00A8568C"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  <w:t xml:space="preserve"> </w:t>
      </w:r>
    </w:p>
    <w:p w14:paraId="75B8D7EA" w14:textId="21871F8F" w:rsidR="00213F97" w:rsidRPr="00A8568C" w:rsidRDefault="0016028E" w:rsidP="00A8568C">
      <w:pPr>
        <w:pStyle w:val="Odstavecseseznamem"/>
        <w:numPr>
          <w:ilvl w:val="0"/>
          <w:numId w:val="2"/>
        </w:numPr>
        <w:spacing w:after="0" w:line="360" w:lineRule="auto"/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</w:pPr>
      <w:r w:rsidRPr="00A8568C"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  <w:t xml:space="preserve">77 % spotřebitelů patří mezi takzvané </w:t>
      </w:r>
      <w:r w:rsidR="00C704C8" w:rsidRPr="00A8568C"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  <w:t>uživatele mobilních plateb</w:t>
      </w:r>
      <w:r w:rsidR="00A8568C"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  <w:t xml:space="preserve">, tedy </w:t>
      </w:r>
      <w:r w:rsidR="00102F02"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  <w:t>ty</w:t>
      </w:r>
      <w:r w:rsidRPr="00A8568C"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  <w:t>, kte</w:t>
      </w:r>
      <w:r w:rsidR="00102F02"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  <w:t>ří</w:t>
      </w:r>
      <w:r w:rsidRPr="00A8568C"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  <w:t xml:space="preserve"> spravují své peníze a platby především přes mobilní zařízení.</w:t>
      </w:r>
      <w:r w:rsidR="00213F97" w:rsidRPr="00A8568C"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  <w:t xml:space="preserve"> </w:t>
      </w:r>
    </w:p>
    <w:p w14:paraId="3DD0A033" w14:textId="054EFB67" w:rsidR="0016028E" w:rsidRPr="00A8568C" w:rsidRDefault="0016028E" w:rsidP="00A8568C">
      <w:pPr>
        <w:pStyle w:val="Odstavecseseznamem"/>
        <w:numPr>
          <w:ilvl w:val="0"/>
          <w:numId w:val="2"/>
        </w:numPr>
        <w:spacing w:after="0" w:line="360" w:lineRule="auto"/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</w:pPr>
      <w:r w:rsidRPr="00A8568C"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  <w:t>Nejvýraznější nárůst tempa v používání mobilního bankovnictví je</w:t>
      </w:r>
      <w:r w:rsidR="00A3727D"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  <w:t xml:space="preserve"> patrný</w:t>
      </w:r>
      <w:r w:rsidRPr="00A8568C">
        <w:rPr>
          <w:rFonts w:ascii="Segoe UI" w:eastAsia="Times New Roman" w:hAnsi="Segoe UI" w:cs="Segoe UI"/>
          <w:b/>
          <w:color w:val="00000A"/>
          <w:kern w:val="3"/>
          <w:sz w:val="20"/>
          <w:szCs w:val="20"/>
          <w:lang w:val="cs-CZ"/>
        </w:rPr>
        <w:t xml:space="preserve"> ve skupině osob od 55 do 64 let – používá je o 13 % více osob než před rokem.</w:t>
      </w:r>
    </w:p>
    <w:p w14:paraId="123DC1CF" w14:textId="77777777" w:rsidR="0016028E" w:rsidRDefault="0016028E" w:rsidP="009214A0">
      <w:pPr>
        <w:pStyle w:val="Standard"/>
        <w:spacing w:after="160" w:line="360" w:lineRule="auto"/>
        <w:jc w:val="both"/>
        <w:rPr>
          <w:rFonts w:cs="Segoe UI"/>
          <w:b/>
          <w:color w:val="00000A"/>
          <w:sz w:val="20"/>
          <w:szCs w:val="20"/>
          <w:lang w:val="cs-CZ"/>
        </w:rPr>
      </w:pPr>
    </w:p>
    <w:p w14:paraId="29A5E066" w14:textId="2062E89C" w:rsidR="00213F97" w:rsidRPr="00213F97" w:rsidRDefault="003E5918" w:rsidP="00E13865">
      <w:pPr>
        <w:spacing w:line="360" w:lineRule="auto"/>
        <w:jc w:val="both"/>
        <w:rPr>
          <w:rFonts w:ascii="Segoe UI" w:eastAsia="MS Gothic" w:hAnsi="Segoe UI" w:cs="Segoe UI"/>
          <w:sz w:val="20"/>
          <w:szCs w:val="20"/>
          <w:lang w:val="cs-CZ"/>
        </w:rPr>
      </w:pPr>
      <w:r w:rsidRPr="00C77AF2">
        <w:rPr>
          <w:rFonts w:ascii="Segoe UI" w:hAnsi="Segoe UI" w:cs="Segoe UI"/>
          <w:b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0B38422F" wp14:editId="084FA8F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88A" w:rsidRPr="00C77AF2">
        <w:rPr>
          <w:rFonts w:ascii="Segoe UI" w:hAnsi="Segoe UI" w:cs="Segoe UI"/>
          <w:b/>
          <w:sz w:val="20"/>
          <w:szCs w:val="20"/>
          <w:lang w:val="cs-CZ"/>
        </w:rPr>
        <w:t>PRAHA</w:t>
      </w:r>
      <w:r w:rsidR="00E04AB3" w:rsidRPr="00C77AF2">
        <w:rPr>
          <w:rFonts w:ascii="Segoe UI" w:hAnsi="Segoe UI" w:cs="Segoe UI"/>
          <w:b/>
          <w:sz w:val="20"/>
          <w:szCs w:val="20"/>
          <w:lang w:val="cs-CZ"/>
        </w:rPr>
        <w:t xml:space="preserve">, </w:t>
      </w:r>
      <w:r w:rsidR="002B5C33" w:rsidRPr="00C77AF2">
        <w:rPr>
          <w:rFonts w:ascii="Segoe UI" w:hAnsi="Segoe UI" w:cs="Segoe UI"/>
          <w:b/>
          <w:sz w:val="20"/>
          <w:szCs w:val="20"/>
          <w:lang w:val="cs-CZ"/>
        </w:rPr>
        <w:t>ČESKÁ REPUBLIKA</w:t>
      </w:r>
      <w:r w:rsidR="00E04AB3" w:rsidRPr="00C77AF2">
        <w:rPr>
          <w:rFonts w:ascii="Segoe UI" w:hAnsi="Segoe UI" w:cs="Segoe UI"/>
          <w:b/>
          <w:sz w:val="20"/>
          <w:szCs w:val="20"/>
          <w:lang w:val="cs-CZ"/>
        </w:rPr>
        <w:t xml:space="preserve">, </w:t>
      </w:r>
      <w:r w:rsidR="00461743">
        <w:rPr>
          <w:rFonts w:ascii="Segoe UI" w:hAnsi="Segoe UI" w:cs="Segoe UI"/>
          <w:b/>
          <w:sz w:val="20"/>
          <w:szCs w:val="20"/>
          <w:lang w:val="cs-CZ"/>
        </w:rPr>
        <w:t>24</w:t>
      </w:r>
      <w:r w:rsidR="002B5C33" w:rsidRPr="00C77AF2">
        <w:rPr>
          <w:rFonts w:ascii="Segoe UI" w:hAnsi="Segoe UI" w:cs="Segoe UI"/>
          <w:b/>
          <w:sz w:val="20"/>
          <w:szCs w:val="20"/>
          <w:lang w:val="cs-CZ"/>
        </w:rPr>
        <w:t xml:space="preserve">. </w:t>
      </w:r>
      <w:r w:rsidR="00A8568C">
        <w:rPr>
          <w:rFonts w:ascii="Segoe UI" w:hAnsi="Segoe UI" w:cs="Segoe UI"/>
          <w:b/>
          <w:sz w:val="20"/>
          <w:szCs w:val="20"/>
          <w:lang w:val="cs-CZ"/>
        </w:rPr>
        <w:t>října</w:t>
      </w:r>
      <w:r w:rsidR="002B5C33" w:rsidRPr="00C77AF2">
        <w:rPr>
          <w:rFonts w:ascii="Segoe UI" w:hAnsi="Segoe UI" w:cs="Segoe UI"/>
          <w:b/>
          <w:sz w:val="20"/>
          <w:szCs w:val="20"/>
          <w:lang w:val="cs-CZ"/>
        </w:rPr>
        <w:t xml:space="preserve"> </w:t>
      </w:r>
      <w:r w:rsidR="00E04AB3" w:rsidRPr="00C77AF2">
        <w:rPr>
          <w:rFonts w:ascii="Segoe UI" w:hAnsi="Segoe UI" w:cs="Segoe UI"/>
          <w:b/>
          <w:sz w:val="20"/>
          <w:szCs w:val="20"/>
          <w:lang w:val="cs-CZ"/>
        </w:rPr>
        <w:t xml:space="preserve">2016 </w:t>
      </w:r>
      <w:r w:rsidRPr="00C77AF2">
        <w:rPr>
          <w:rFonts w:ascii="Segoe UI" w:hAnsi="Segoe UI" w:cs="Segoe UI"/>
          <w:sz w:val="20"/>
          <w:szCs w:val="20"/>
          <w:lang w:val="cs-CZ"/>
        </w:rPr>
        <w:t xml:space="preserve">– Visa Inc. </w:t>
      </w:r>
      <w:r w:rsidRPr="00C77AF2">
        <w:rPr>
          <w:rFonts w:ascii="Segoe UI" w:eastAsia="MS Gothic" w:hAnsi="Segoe UI" w:cs="Segoe UI"/>
          <w:sz w:val="20"/>
          <w:szCs w:val="20"/>
          <w:lang w:val="cs-CZ"/>
        </w:rPr>
        <w:t>(NYSE: V)</w:t>
      </w:r>
      <w:r w:rsidR="00213F97">
        <w:rPr>
          <w:rFonts w:ascii="Segoe UI" w:eastAsia="MS Gothic" w:hAnsi="Segoe UI" w:cs="Segoe UI"/>
          <w:sz w:val="20"/>
          <w:szCs w:val="20"/>
          <w:lang w:val="cs-CZ"/>
        </w:rPr>
        <w:t xml:space="preserve"> </w:t>
      </w:r>
      <w:r w:rsidR="00213F97"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Počet spotřebitelů, kteří pravidelně používají mobilní zařízení (chytrý telefon, tablet či nositelnou elektroniku) k placení, se za poslední rok ztrojnásobil. Vyplývá to z průzkumu společnosti Visa o digitálních platbách za rok 2016. V současnosti používá mobilní zařízení k placení 54 % dotazovaných, zatímco před rokem </w:t>
      </w:r>
      <w:r w:rsidR="00E13865">
        <w:rPr>
          <w:rFonts w:ascii="Segoe UI" w:hAnsi="Segoe UI" w:cs="Segoe UI"/>
          <w:bCs/>
          <w:iCs/>
          <w:sz w:val="20"/>
          <w:szCs w:val="20"/>
          <w:lang w:val="cs-CZ"/>
        </w:rPr>
        <w:t xml:space="preserve">takto </w:t>
      </w:r>
      <w:r w:rsidR="00213F97"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platilo za každodenní výdaje a služby jen 18 % z nich. </w:t>
      </w:r>
      <w:bookmarkStart w:id="0" w:name="_GoBack"/>
      <w:bookmarkEnd w:id="0"/>
    </w:p>
    <w:p w14:paraId="5B9E6A2B" w14:textId="77777777" w:rsidR="00213F97" w:rsidRPr="00C27362" w:rsidRDefault="00213F97" w:rsidP="00C704C8">
      <w:pPr>
        <w:pStyle w:val="Odstavecseseznamem"/>
        <w:spacing w:after="240" w:line="360" w:lineRule="auto"/>
        <w:ind w:left="0"/>
        <w:jc w:val="both"/>
        <w:rPr>
          <w:rFonts w:ascii="Segoe UI" w:hAnsi="Segoe UI" w:cs="Segoe UI"/>
          <w:bCs/>
          <w:iCs/>
          <w:sz w:val="20"/>
          <w:szCs w:val="20"/>
          <w:lang w:val="cs-CZ"/>
        </w:rPr>
      </w:pPr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Studie, ve které odpovídalo více než 36 tisíc respondentů z 19 zemí, odhaluje, jak dramaticky se přijímání digitálních plateb za posledních 12 měsíců posunulo. Před rokem odpovědělo 38 % osob, že mobilní zařízení k provedení platby nikdy nevyužili a nemají to ani v plánu. Letos se toto číslo snížilo na pouhých 12 %. </w:t>
      </w:r>
    </w:p>
    <w:p w14:paraId="675BC78A" w14:textId="77777777" w:rsidR="00213F97" w:rsidRPr="00C27362" w:rsidRDefault="00213F97" w:rsidP="00C704C8">
      <w:pPr>
        <w:pStyle w:val="Odstavecseseznamem"/>
        <w:spacing w:after="240" w:line="360" w:lineRule="auto"/>
        <w:ind w:left="0"/>
        <w:jc w:val="both"/>
        <w:rPr>
          <w:rFonts w:ascii="Segoe UI" w:hAnsi="Segoe UI" w:cs="Segoe UI"/>
          <w:b/>
          <w:bCs/>
          <w:iCs/>
          <w:sz w:val="20"/>
          <w:szCs w:val="20"/>
          <w:lang w:val="cs-CZ"/>
        </w:rPr>
      </w:pPr>
      <w:r w:rsidRPr="00C27362">
        <w:rPr>
          <w:rFonts w:ascii="Segoe UI" w:hAnsi="Segoe UI" w:cs="Segoe UI"/>
          <w:b/>
          <w:bCs/>
          <w:iCs/>
          <w:sz w:val="20"/>
          <w:szCs w:val="20"/>
          <w:lang w:val="cs-CZ"/>
        </w:rPr>
        <w:t>Kdo jsou a co nakupují?</w:t>
      </w:r>
    </w:p>
    <w:p w14:paraId="4702E3C1" w14:textId="039962EF" w:rsidR="00213F97" w:rsidRPr="00C27362" w:rsidRDefault="00213F97" w:rsidP="00C704C8">
      <w:pPr>
        <w:pStyle w:val="Odstavecseseznamem"/>
        <w:spacing w:after="240" w:line="360" w:lineRule="auto"/>
        <w:ind w:left="0"/>
        <w:jc w:val="both"/>
        <w:rPr>
          <w:rFonts w:ascii="Segoe UI" w:hAnsi="Segoe UI" w:cs="Segoe UI"/>
          <w:bCs/>
          <w:iCs/>
          <w:sz w:val="20"/>
          <w:szCs w:val="20"/>
          <w:lang w:val="cs-CZ"/>
        </w:rPr>
      </w:pPr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Prvních deset </w:t>
      </w:r>
      <w:r w:rsidR="00CA44B7">
        <w:rPr>
          <w:rFonts w:ascii="Segoe UI" w:hAnsi="Segoe UI" w:cs="Segoe UI"/>
          <w:bCs/>
          <w:iCs/>
          <w:sz w:val="20"/>
          <w:szCs w:val="20"/>
          <w:lang w:val="cs-CZ"/>
        </w:rPr>
        <w:t xml:space="preserve">evropských </w:t>
      </w:r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>států, kde jsou mobilní platby nejrozšířenější, lze rozdělit do dvou kategorií. Do první patří rozvíjející se trhy jako Turecko či Rum</w:t>
      </w:r>
      <w:r w:rsidR="00CA44B7">
        <w:rPr>
          <w:rFonts w:ascii="Segoe UI" w:hAnsi="Segoe UI" w:cs="Segoe UI"/>
          <w:bCs/>
          <w:iCs/>
          <w:sz w:val="20"/>
          <w:szCs w:val="20"/>
          <w:lang w:val="cs-CZ"/>
        </w:rPr>
        <w:t>unsko, které částečně přeskočily</w:t>
      </w:r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 tradiční rozvoj klasických platebních metod, aby si rychleji </w:t>
      </w:r>
      <w:r w:rsidR="00557E0F">
        <w:rPr>
          <w:rFonts w:ascii="Segoe UI" w:hAnsi="Segoe UI" w:cs="Segoe UI"/>
          <w:bCs/>
          <w:iCs/>
          <w:sz w:val="20"/>
          <w:szCs w:val="20"/>
          <w:lang w:val="cs-CZ"/>
        </w:rPr>
        <w:t>osvojily</w:t>
      </w:r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 rovnou novější technologie. Druhou skupinou jsou rozvinuté trhy, jako severské země, které rozvíjejí nové platební technologie trochu jiným tempem.</w:t>
      </w:r>
    </w:p>
    <w:p w14:paraId="54E84F29" w14:textId="281415F9" w:rsidR="00213F97" w:rsidRPr="00232140" w:rsidRDefault="00213F97" w:rsidP="00C704C8">
      <w:pPr>
        <w:pStyle w:val="Odstavecseseznamem"/>
        <w:spacing w:after="240" w:line="360" w:lineRule="auto"/>
        <w:ind w:left="0"/>
        <w:jc w:val="both"/>
        <w:rPr>
          <w:rFonts w:ascii="Segoe UI" w:hAnsi="Segoe UI" w:cs="Segoe UI"/>
          <w:bCs/>
          <w:iCs/>
          <w:sz w:val="20"/>
          <w:szCs w:val="20"/>
          <w:lang w:val="cs-CZ"/>
        </w:rPr>
      </w:pPr>
      <w:r w:rsidRPr="00232140">
        <w:rPr>
          <w:rFonts w:ascii="Segoe UI" w:hAnsi="Segoe UI" w:cs="Segoe UI"/>
          <w:bCs/>
          <w:iCs/>
          <w:sz w:val="20"/>
          <w:szCs w:val="20"/>
          <w:lang w:val="cs-CZ"/>
        </w:rPr>
        <w:t xml:space="preserve">V Evropě patří přes tři čtvrtiny (77 %) osob </w:t>
      </w:r>
      <w:r w:rsidR="00232140">
        <w:rPr>
          <w:rFonts w:ascii="Segoe UI" w:hAnsi="Segoe UI" w:cs="Segoe UI"/>
          <w:bCs/>
          <w:iCs/>
          <w:sz w:val="20"/>
          <w:szCs w:val="20"/>
          <w:lang w:val="cs-CZ"/>
        </w:rPr>
        <w:t>mezi takzvané „</w:t>
      </w:r>
      <w:r w:rsidRPr="00232140">
        <w:rPr>
          <w:rFonts w:ascii="Segoe UI" w:hAnsi="Segoe UI" w:cs="Segoe UI"/>
          <w:bCs/>
          <w:iCs/>
          <w:sz w:val="20"/>
          <w:szCs w:val="20"/>
          <w:lang w:val="cs-CZ"/>
        </w:rPr>
        <w:t xml:space="preserve">Mobile </w:t>
      </w:r>
      <w:proofErr w:type="spellStart"/>
      <w:r w:rsidRPr="00232140">
        <w:rPr>
          <w:rFonts w:ascii="Segoe UI" w:hAnsi="Segoe UI" w:cs="Segoe UI"/>
          <w:bCs/>
          <w:iCs/>
          <w:sz w:val="20"/>
          <w:szCs w:val="20"/>
          <w:lang w:val="cs-CZ"/>
        </w:rPr>
        <w:t>Payments</w:t>
      </w:r>
      <w:proofErr w:type="spellEnd"/>
      <w:r w:rsidRPr="00232140">
        <w:rPr>
          <w:rFonts w:ascii="Segoe UI" w:hAnsi="Segoe UI" w:cs="Segoe UI"/>
          <w:bCs/>
          <w:iCs/>
          <w:sz w:val="20"/>
          <w:szCs w:val="20"/>
          <w:lang w:val="cs-CZ"/>
        </w:rPr>
        <w:t xml:space="preserve"> </w:t>
      </w:r>
      <w:proofErr w:type="spellStart"/>
      <w:r w:rsidRPr="00232140">
        <w:rPr>
          <w:rFonts w:ascii="Segoe UI" w:hAnsi="Segoe UI" w:cs="Segoe UI"/>
          <w:bCs/>
          <w:iCs/>
          <w:sz w:val="20"/>
          <w:szCs w:val="20"/>
          <w:lang w:val="cs-CZ"/>
        </w:rPr>
        <w:t>users</w:t>
      </w:r>
      <w:proofErr w:type="spellEnd"/>
      <w:r w:rsidR="00232140">
        <w:rPr>
          <w:rFonts w:ascii="Segoe UI" w:hAnsi="Segoe UI" w:cs="Segoe UI"/>
          <w:bCs/>
          <w:iCs/>
          <w:sz w:val="20"/>
          <w:szCs w:val="20"/>
          <w:vertAlign w:val="superscript"/>
          <w:lang w:val="cs-CZ"/>
        </w:rPr>
        <w:t>“</w:t>
      </w:r>
      <w:r w:rsidRPr="00232140">
        <w:rPr>
          <w:rFonts w:ascii="Segoe UI" w:hAnsi="Segoe UI" w:cs="Segoe UI"/>
          <w:bCs/>
          <w:iCs/>
          <w:sz w:val="20"/>
          <w:szCs w:val="20"/>
          <w:lang w:val="cs-CZ"/>
        </w:rPr>
        <w:t xml:space="preserve">, tedy pravidelné uživatele mobilních plateb. 59 % z nich používá </w:t>
      </w:r>
      <w:r w:rsidR="00102F02">
        <w:rPr>
          <w:rFonts w:ascii="Segoe UI" w:hAnsi="Segoe UI" w:cs="Segoe UI"/>
          <w:bCs/>
          <w:iCs/>
          <w:sz w:val="20"/>
          <w:szCs w:val="20"/>
          <w:lang w:val="cs-CZ"/>
        </w:rPr>
        <w:t>své</w:t>
      </w:r>
      <w:r w:rsidRPr="00232140">
        <w:rPr>
          <w:rFonts w:ascii="Segoe UI" w:hAnsi="Segoe UI" w:cs="Segoe UI"/>
          <w:bCs/>
          <w:iCs/>
          <w:sz w:val="20"/>
          <w:szCs w:val="20"/>
          <w:lang w:val="cs-CZ"/>
        </w:rPr>
        <w:t xml:space="preserve"> </w:t>
      </w:r>
      <w:r w:rsidR="00102F02">
        <w:rPr>
          <w:rFonts w:ascii="Segoe UI" w:hAnsi="Segoe UI" w:cs="Segoe UI"/>
          <w:bCs/>
          <w:iCs/>
          <w:sz w:val="20"/>
          <w:szCs w:val="20"/>
          <w:lang w:val="cs-CZ"/>
        </w:rPr>
        <w:t xml:space="preserve">mobilní </w:t>
      </w:r>
      <w:r w:rsidRPr="00232140">
        <w:rPr>
          <w:rFonts w:ascii="Segoe UI" w:hAnsi="Segoe UI" w:cs="Segoe UI"/>
          <w:bCs/>
          <w:iCs/>
          <w:sz w:val="20"/>
          <w:szCs w:val="20"/>
          <w:lang w:val="cs-CZ"/>
        </w:rPr>
        <w:t>zařízení například pro přesun financí mezi přáteli a rodinou,</w:t>
      </w:r>
      <w:r w:rsidR="00232140">
        <w:rPr>
          <w:rFonts w:ascii="Segoe UI" w:hAnsi="Segoe UI" w:cs="Segoe UI"/>
          <w:bCs/>
          <w:iCs/>
          <w:sz w:val="20"/>
          <w:szCs w:val="20"/>
          <w:lang w:val="cs-CZ"/>
        </w:rPr>
        <w:t> 53 </w:t>
      </w:r>
      <w:r w:rsidRPr="00232140">
        <w:rPr>
          <w:rFonts w:ascii="Segoe UI" w:hAnsi="Segoe UI" w:cs="Segoe UI"/>
          <w:bCs/>
          <w:iCs/>
          <w:sz w:val="20"/>
          <w:szCs w:val="20"/>
          <w:lang w:val="cs-CZ"/>
        </w:rPr>
        <w:t xml:space="preserve">% tak </w:t>
      </w:r>
      <w:r w:rsidR="00CC753E">
        <w:rPr>
          <w:rFonts w:ascii="Segoe UI" w:hAnsi="Segoe UI" w:cs="Segoe UI"/>
          <w:bCs/>
          <w:iCs/>
          <w:sz w:val="20"/>
          <w:szCs w:val="20"/>
          <w:lang w:val="cs-CZ"/>
        </w:rPr>
        <w:t xml:space="preserve">platí </w:t>
      </w:r>
      <w:r w:rsidRPr="00232140">
        <w:rPr>
          <w:rFonts w:ascii="Segoe UI" w:hAnsi="Segoe UI" w:cs="Segoe UI"/>
          <w:bCs/>
          <w:iCs/>
          <w:sz w:val="20"/>
          <w:szCs w:val="20"/>
          <w:lang w:val="cs-CZ"/>
        </w:rPr>
        <w:t xml:space="preserve">energie a další náklady na bydlení a 4 z 10 </w:t>
      </w:r>
      <w:r w:rsidR="00557E0F" w:rsidRPr="00232140">
        <w:rPr>
          <w:rFonts w:ascii="Segoe UI" w:hAnsi="Segoe UI" w:cs="Segoe UI"/>
          <w:bCs/>
          <w:iCs/>
          <w:sz w:val="20"/>
          <w:szCs w:val="20"/>
          <w:lang w:val="cs-CZ"/>
        </w:rPr>
        <w:t xml:space="preserve">uživatelů </w:t>
      </w:r>
      <w:r w:rsidRPr="00232140">
        <w:rPr>
          <w:rFonts w:ascii="Segoe UI" w:hAnsi="Segoe UI" w:cs="Segoe UI"/>
          <w:bCs/>
          <w:iCs/>
          <w:sz w:val="20"/>
          <w:szCs w:val="20"/>
          <w:lang w:val="cs-CZ"/>
        </w:rPr>
        <w:t>mobilních</w:t>
      </w:r>
      <w:r w:rsidR="00557E0F">
        <w:rPr>
          <w:rFonts w:ascii="Segoe UI" w:hAnsi="Segoe UI" w:cs="Segoe UI"/>
          <w:bCs/>
          <w:iCs/>
          <w:sz w:val="20"/>
          <w:szCs w:val="20"/>
          <w:lang w:val="cs-CZ"/>
        </w:rPr>
        <w:t xml:space="preserve"> plateb</w:t>
      </w:r>
      <w:r w:rsidRPr="00232140">
        <w:rPr>
          <w:rFonts w:ascii="Segoe UI" w:hAnsi="Segoe UI" w:cs="Segoe UI"/>
          <w:bCs/>
          <w:iCs/>
          <w:sz w:val="20"/>
          <w:szCs w:val="20"/>
          <w:lang w:val="cs-CZ"/>
        </w:rPr>
        <w:t xml:space="preserve"> používají mobilní zařízení při nákupu jídla s sebou.</w:t>
      </w:r>
    </w:p>
    <w:p w14:paraId="169B6FC1" w14:textId="5A140EC6" w:rsidR="00213F97" w:rsidRDefault="00213F97" w:rsidP="00DC65A7">
      <w:pPr>
        <w:pStyle w:val="Standard"/>
        <w:spacing w:after="160" w:line="360" w:lineRule="auto"/>
        <w:jc w:val="both"/>
        <w:rPr>
          <w:rFonts w:cs="Segoe UI"/>
          <w:b/>
          <w:color w:val="00000A"/>
          <w:sz w:val="20"/>
          <w:szCs w:val="20"/>
          <w:lang w:val="cs-CZ"/>
        </w:rPr>
      </w:pPr>
      <w:r w:rsidRPr="00C27362">
        <w:rPr>
          <w:rFonts w:cs="Segoe UI"/>
          <w:noProof/>
          <w:sz w:val="20"/>
          <w:szCs w:val="20"/>
          <w:lang w:val="cs-CZ" w:eastAsia="cs-CZ"/>
        </w:rPr>
        <w:lastRenderedPageBreak/>
        <w:drawing>
          <wp:inline distT="0" distB="0" distL="0" distR="0" wp14:anchorId="4E87B47F" wp14:editId="540DCB78">
            <wp:extent cx="5838825" cy="330517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75C9AF3" w14:textId="63F3C551" w:rsidR="00213F97" w:rsidRPr="00C27362" w:rsidRDefault="00213F97" w:rsidP="00C704C8">
      <w:pPr>
        <w:pStyle w:val="Odstavecseseznamem"/>
        <w:spacing w:after="240" w:line="360" w:lineRule="auto"/>
        <w:ind w:left="0"/>
        <w:jc w:val="both"/>
        <w:rPr>
          <w:rFonts w:ascii="Segoe UI" w:hAnsi="Segoe UI" w:cs="Segoe UI"/>
          <w:bCs/>
          <w:iCs/>
          <w:sz w:val="20"/>
          <w:szCs w:val="20"/>
          <w:lang w:val="cs-CZ"/>
        </w:rPr>
      </w:pPr>
      <w:r w:rsidRPr="003D5005">
        <w:rPr>
          <w:rFonts w:ascii="Segoe UI" w:hAnsi="Segoe UI" w:cs="Segoe UI"/>
          <w:bCs/>
          <w:iCs/>
          <w:sz w:val="20"/>
          <w:szCs w:val="20"/>
          <w:lang w:val="cs-CZ"/>
        </w:rPr>
        <w:t xml:space="preserve">Je zajímavé i to, že uživatelům mobilních plateb zároveň nevadí provádět mobilními zařízeními dražší </w:t>
      </w:r>
      <w:r w:rsidR="004F5853">
        <w:rPr>
          <w:rFonts w:ascii="Segoe UI" w:hAnsi="Segoe UI" w:cs="Segoe UI"/>
          <w:bCs/>
          <w:iCs/>
          <w:sz w:val="20"/>
          <w:szCs w:val="20"/>
          <w:lang w:val="cs-CZ"/>
        </w:rPr>
        <w:t>nákupy</w:t>
      </w:r>
      <w:r w:rsidRPr="003D5005">
        <w:rPr>
          <w:rFonts w:ascii="Segoe UI" w:hAnsi="Segoe UI" w:cs="Segoe UI"/>
          <w:bCs/>
          <w:iCs/>
          <w:sz w:val="20"/>
          <w:szCs w:val="20"/>
          <w:lang w:val="cs-CZ"/>
        </w:rPr>
        <w:t xml:space="preserve"> stejně jako ty každodenní. Dotazovaní si takto pořizují položky s vysokou hodnotou jako dovolené, nábytek nebo elektroniku v 44 % případů, tedy stejně často jako levnější pravidelné platby složenek (53 %) či jízdenek do autobusu a vlaku (47 %)</w:t>
      </w:r>
      <w:r w:rsidR="00557E0F">
        <w:rPr>
          <w:rFonts w:ascii="Segoe UI" w:hAnsi="Segoe UI" w:cs="Segoe UI"/>
          <w:bCs/>
          <w:iCs/>
          <w:sz w:val="20"/>
          <w:szCs w:val="20"/>
          <w:lang w:val="cs-CZ"/>
        </w:rPr>
        <w:t>.</w:t>
      </w:r>
    </w:p>
    <w:p w14:paraId="26B12EB3" w14:textId="389A3704" w:rsidR="00213F97" w:rsidRPr="00C27362" w:rsidRDefault="00102F02" w:rsidP="00C704C8">
      <w:pPr>
        <w:pStyle w:val="Odstavecseseznamem"/>
        <w:spacing w:after="240" w:line="360" w:lineRule="auto"/>
        <w:ind w:left="0"/>
        <w:jc w:val="both"/>
        <w:rPr>
          <w:rFonts w:ascii="Segoe UI" w:hAnsi="Segoe UI" w:cs="Segoe UI"/>
          <w:b/>
          <w:bCs/>
          <w:iCs/>
          <w:sz w:val="20"/>
          <w:szCs w:val="20"/>
          <w:lang w:val="cs-CZ"/>
        </w:rPr>
      </w:pPr>
      <w:r>
        <w:rPr>
          <w:rFonts w:ascii="Segoe UI" w:hAnsi="Segoe UI" w:cs="Segoe UI"/>
          <w:b/>
          <w:bCs/>
          <w:iCs/>
          <w:sz w:val="20"/>
          <w:szCs w:val="20"/>
          <w:lang w:val="cs-CZ"/>
        </w:rPr>
        <w:t>Mobilní bank</w:t>
      </w:r>
      <w:r w:rsidR="009543F0">
        <w:rPr>
          <w:rFonts w:ascii="Segoe UI" w:hAnsi="Segoe UI" w:cs="Segoe UI"/>
          <w:b/>
          <w:bCs/>
          <w:iCs/>
          <w:sz w:val="20"/>
          <w:szCs w:val="20"/>
          <w:lang w:val="cs-CZ"/>
        </w:rPr>
        <w:t>ovnictví na vzestupu</w:t>
      </w:r>
    </w:p>
    <w:p w14:paraId="1A58AC73" w14:textId="77777777" w:rsidR="009543F0" w:rsidRPr="00C27362" w:rsidRDefault="00213F97" w:rsidP="009543F0">
      <w:pPr>
        <w:pStyle w:val="Odstavecseseznamem"/>
        <w:spacing w:after="240" w:line="360" w:lineRule="auto"/>
        <w:ind w:left="0"/>
        <w:jc w:val="both"/>
        <w:rPr>
          <w:rFonts w:ascii="Segoe UI" w:hAnsi="Segoe UI" w:cs="Segoe UI"/>
          <w:bCs/>
          <w:iCs/>
          <w:sz w:val="20"/>
          <w:szCs w:val="20"/>
          <w:lang w:val="cs-CZ"/>
        </w:rPr>
      </w:pPr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Průzkum také ukazuje na rostoucí oblibu mobilního bankovnictví napříč všemi věkovými skupinami. Poprvé v historii se ukázalo, že mobilní bankovnictví používá více než polovina Evropanů ve všech věkových kategoriích. Nejhojněji jej využívají mladší zástupci tzv. generace Y, ale ostatní věkové skupiny je rapidně dohánějí. </w:t>
      </w:r>
      <w:r w:rsidR="009543F0"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Rostoucí obliba mobilního bankovnictví napříč Evropou zároveň umožňuje čím dál více lidem sledovat průběžně </w:t>
      </w:r>
      <w:r w:rsidR="009543F0">
        <w:rPr>
          <w:rFonts w:ascii="Segoe UI" w:hAnsi="Segoe UI" w:cs="Segoe UI"/>
          <w:bCs/>
          <w:iCs/>
          <w:sz w:val="20"/>
          <w:szCs w:val="20"/>
          <w:lang w:val="cs-CZ"/>
        </w:rPr>
        <w:t xml:space="preserve">své výdaje </w:t>
      </w:r>
      <w:r w:rsidR="009543F0" w:rsidRPr="00C27362">
        <w:rPr>
          <w:rFonts w:ascii="Segoe UI" w:hAnsi="Segoe UI" w:cs="Segoe UI"/>
          <w:bCs/>
          <w:iCs/>
          <w:sz w:val="20"/>
          <w:szCs w:val="20"/>
          <w:lang w:val="cs-CZ"/>
        </w:rPr>
        <w:t>a finanční závazky</w:t>
      </w:r>
      <w:r w:rsidR="009543F0">
        <w:rPr>
          <w:rFonts w:ascii="Segoe UI" w:hAnsi="Segoe UI" w:cs="Segoe UI"/>
          <w:bCs/>
          <w:iCs/>
          <w:sz w:val="20"/>
          <w:szCs w:val="20"/>
          <w:lang w:val="cs-CZ"/>
        </w:rPr>
        <w:t xml:space="preserve">. </w:t>
      </w:r>
      <w:r w:rsidR="009543F0" w:rsidRPr="00C27362">
        <w:rPr>
          <w:rFonts w:ascii="Segoe UI" w:hAnsi="Segoe UI" w:cs="Segoe UI"/>
          <w:bCs/>
          <w:iCs/>
          <w:sz w:val="20"/>
          <w:szCs w:val="20"/>
          <w:lang w:val="cs-CZ"/>
        </w:rPr>
        <w:t>41 % osob potvrdilo, že pravidelně kontrolují stav účtu pomocí mobilního bankovnictví.</w:t>
      </w:r>
    </w:p>
    <w:p w14:paraId="76595B5F" w14:textId="7827332F" w:rsidR="00213F97" w:rsidRPr="00C27362" w:rsidRDefault="00213F97" w:rsidP="00C704C8">
      <w:pPr>
        <w:pStyle w:val="Odstavecseseznamem"/>
        <w:spacing w:after="240" w:line="360" w:lineRule="auto"/>
        <w:ind w:left="0"/>
        <w:jc w:val="both"/>
        <w:rPr>
          <w:rFonts w:ascii="Segoe UI" w:hAnsi="Segoe UI" w:cs="Segoe UI"/>
          <w:bCs/>
          <w:iCs/>
          <w:sz w:val="20"/>
          <w:szCs w:val="20"/>
          <w:lang w:val="cs-CZ"/>
        </w:rPr>
      </w:pPr>
    </w:p>
    <w:p w14:paraId="7A660AAD" w14:textId="77777777" w:rsidR="00213F97" w:rsidRDefault="00213F97" w:rsidP="00C704C8">
      <w:pPr>
        <w:pStyle w:val="Standard"/>
        <w:spacing w:after="160" w:line="360" w:lineRule="auto"/>
        <w:jc w:val="both"/>
        <w:rPr>
          <w:rFonts w:cs="Segoe UI"/>
          <w:b/>
          <w:color w:val="00000A"/>
          <w:sz w:val="20"/>
          <w:szCs w:val="20"/>
          <w:lang w:val="cs-CZ"/>
        </w:rPr>
      </w:pPr>
    </w:p>
    <w:p w14:paraId="37B49558" w14:textId="77777777" w:rsidR="00213F97" w:rsidRDefault="00213F97" w:rsidP="00C704C8">
      <w:pPr>
        <w:pStyle w:val="Standard"/>
        <w:spacing w:after="160" w:line="360" w:lineRule="auto"/>
        <w:jc w:val="both"/>
        <w:rPr>
          <w:rFonts w:cs="Segoe UI"/>
          <w:b/>
          <w:color w:val="00000A"/>
          <w:sz w:val="20"/>
          <w:szCs w:val="20"/>
          <w:lang w:val="cs-CZ"/>
        </w:rPr>
      </w:pPr>
    </w:p>
    <w:p w14:paraId="25D22C9C" w14:textId="77777777" w:rsidR="00213F97" w:rsidRDefault="00213F97" w:rsidP="00C704C8">
      <w:pPr>
        <w:pStyle w:val="Standard"/>
        <w:spacing w:after="160" w:line="360" w:lineRule="auto"/>
        <w:jc w:val="both"/>
        <w:rPr>
          <w:rFonts w:cs="Segoe UI"/>
          <w:b/>
          <w:color w:val="00000A"/>
          <w:sz w:val="20"/>
          <w:szCs w:val="20"/>
          <w:lang w:val="cs-CZ"/>
        </w:rPr>
      </w:pPr>
    </w:p>
    <w:p w14:paraId="0B0615C5" w14:textId="77777777" w:rsidR="00213F97" w:rsidRDefault="00213F97" w:rsidP="00C704C8">
      <w:pPr>
        <w:pStyle w:val="Standard"/>
        <w:spacing w:after="160" w:line="360" w:lineRule="auto"/>
        <w:jc w:val="both"/>
        <w:rPr>
          <w:rFonts w:cs="Segoe UI"/>
          <w:b/>
          <w:color w:val="00000A"/>
          <w:sz w:val="20"/>
          <w:szCs w:val="20"/>
          <w:lang w:val="cs-CZ"/>
        </w:rPr>
      </w:pPr>
    </w:p>
    <w:p w14:paraId="037DE9C8" w14:textId="29A10FE9" w:rsidR="00213F97" w:rsidRDefault="00213F97" w:rsidP="00C704C8">
      <w:pPr>
        <w:pStyle w:val="Standard"/>
        <w:spacing w:after="160" w:line="360" w:lineRule="auto"/>
        <w:jc w:val="both"/>
        <w:rPr>
          <w:rFonts w:cs="Segoe UI"/>
          <w:b/>
          <w:color w:val="00000A"/>
          <w:sz w:val="20"/>
          <w:szCs w:val="20"/>
          <w:lang w:val="cs-CZ"/>
        </w:rPr>
      </w:pPr>
      <w:r w:rsidRPr="00C27362">
        <w:rPr>
          <w:rFonts w:cs="Segoe UI"/>
          <w:noProof/>
          <w:sz w:val="20"/>
          <w:szCs w:val="20"/>
          <w:lang w:val="cs-CZ" w:eastAsia="cs-CZ"/>
        </w:rPr>
        <w:drawing>
          <wp:inline distT="0" distB="0" distL="0" distR="0" wp14:anchorId="22EC238E" wp14:editId="581CC41E">
            <wp:extent cx="5791200" cy="29527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25DC75C" w14:textId="04CD4B36" w:rsidR="00213F97" w:rsidRPr="00C27362" w:rsidRDefault="00213F97" w:rsidP="00C704C8">
      <w:pPr>
        <w:pStyle w:val="Odstavecseseznamem"/>
        <w:spacing w:after="240" w:line="360" w:lineRule="auto"/>
        <w:ind w:left="0"/>
        <w:jc w:val="both"/>
        <w:rPr>
          <w:rFonts w:ascii="Segoe UI" w:hAnsi="Segoe UI" w:cs="Segoe UI"/>
          <w:bCs/>
          <w:i/>
          <w:iCs/>
          <w:sz w:val="20"/>
          <w:szCs w:val="20"/>
          <w:lang w:val="cs-CZ"/>
        </w:rPr>
      </w:pPr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>“</w:t>
      </w:r>
      <w:r w:rsidRPr="00C27362">
        <w:rPr>
          <w:rFonts w:ascii="Segoe UI" w:hAnsi="Segoe UI" w:cs="Segoe UI"/>
          <w:bCs/>
          <w:i/>
          <w:iCs/>
          <w:sz w:val="20"/>
          <w:szCs w:val="20"/>
          <w:lang w:val="cs-CZ"/>
        </w:rPr>
        <w:t xml:space="preserve">Data z průzkumu potvrzují, že nastala doba digitálních plateb a spotřebitelé napříč Evropou si osvojují řadu nových platebních metod. Visa </w:t>
      </w:r>
      <w:r w:rsidR="004E5D9C">
        <w:rPr>
          <w:rFonts w:ascii="Segoe UI" w:hAnsi="Segoe UI" w:cs="Segoe UI"/>
          <w:bCs/>
          <w:i/>
          <w:iCs/>
          <w:sz w:val="20"/>
          <w:szCs w:val="20"/>
          <w:lang w:val="cs-CZ"/>
        </w:rPr>
        <w:t xml:space="preserve">nicméně vidí </w:t>
      </w:r>
      <w:r w:rsidRPr="00C27362">
        <w:rPr>
          <w:rFonts w:ascii="Segoe UI" w:hAnsi="Segoe UI" w:cs="Segoe UI"/>
          <w:bCs/>
          <w:i/>
          <w:iCs/>
          <w:sz w:val="20"/>
          <w:szCs w:val="20"/>
          <w:lang w:val="cs-CZ"/>
        </w:rPr>
        <w:t xml:space="preserve">v mobilních telefonech a nositelné elektronice pouze začátek širšího trendu. Ten na milionech nově se připojujících zařízeních ukazuje, že lze jednoduše a bezpečně integrovat možnost každodenního placení do téměř jakékoliv technologie,“ </w:t>
      </w:r>
      <w:r w:rsidRPr="004E5D9C">
        <w:rPr>
          <w:rFonts w:ascii="Segoe UI" w:hAnsi="Segoe UI" w:cs="Segoe UI"/>
          <w:bCs/>
          <w:iCs/>
          <w:sz w:val="20"/>
          <w:szCs w:val="20"/>
          <w:lang w:val="cs-CZ"/>
        </w:rPr>
        <w:t>říká Marcel Gajdoš,</w:t>
      </w:r>
      <w:r w:rsidRPr="004E5D9C">
        <w:rPr>
          <w:rFonts w:ascii="Segoe UI" w:hAnsi="Segoe UI" w:cs="Segoe UI"/>
          <w:color w:val="00000A"/>
          <w:sz w:val="20"/>
          <w:szCs w:val="20"/>
          <w:lang w:val="cs-CZ"/>
        </w:rPr>
        <w:t xml:space="preserve"> regionální manažer Visa pro Českou republiku a Slovensko.</w:t>
      </w:r>
    </w:p>
    <w:p w14:paraId="72B5E5DE" w14:textId="55150C72" w:rsidR="00213F97" w:rsidRPr="00C27362" w:rsidRDefault="00213F97" w:rsidP="00C704C8">
      <w:pPr>
        <w:pStyle w:val="Odstavecseseznamem"/>
        <w:spacing w:after="240" w:line="360" w:lineRule="auto"/>
        <w:ind w:left="0"/>
        <w:jc w:val="both"/>
        <w:rPr>
          <w:rFonts w:ascii="Segoe UI" w:hAnsi="Segoe UI" w:cs="Segoe UI"/>
          <w:bCs/>
          <w:iCs/>
          <w:sz w:val="20"/>
          <w:szCs w:val="20"/>
          <w:lang w:val="cs-CZ"/>
        </w:rPr>
      </w:pPr>
      <w:r>
        <w:rPr>
          <w:rFonts w:ascii="Segoe UI" w:hAnsi="Segoe UI" w:cs="Segoe UI"/>
          <w:bCs/>
          <w:iCs/>
          <w:sz w:val="20"/>
          <w:szCs w:val="20"/>
          <w:lang w:val="cs-CZ"/>
        </w:rPr>
        <w:t>„</w:t>
      </w:r>
      <w:r w:rsidRPr="00236F81">
        <w:rPr>
          <w:rFonts w:ascii="Segoe UI" w:hAnsi="Segoe UI" w:cs="Segoe UI"/>
          <w:bCs/>
          <w:i/>
          <w:iCs/>
          <w:sz w:val="20"/>
          <w:szCs w:val="20"/>
          <w:lang w:val="cs-CZ"/>
        </w:rPr>
        <w:t xml:space="preserve">V Evropě byla nedávno spuštěna služba Apple </w:t>
      </w:r>
      <w:proofErr w:type="spellStart"/>
      <w:r w:rsidRPr="00236F81">
        <w:rPr>
          <w:rFonts w:ascii="Segoe UI" w:hAnsi="Segoe UI" w:cs="Segoe UI"/>
          <w:bCs/>
          <w:i/>
          <w:iCs/>
          <w:sz w:val="20"/>
          <w:szCs w:val="20"/>
          <w:lang w:val="cs-CZ"/>
        </w:rPr>
        <w:t>Pay</w:t>
      </w:r>
      <w:proofErr w:type="spellEnd"/>
      <w:r w:rsidRPr="00236F81">
        <w:rPr>
          <w:rFonts w:ascii="Segoe UI" w:hAnsi="Segoe UI" w:cs="Segoe UI"/>
          <w:bCs/>
          <w:i/>
          <w:iCs/>
          <w:sz w:val="20"/>
          <w:szCs w:val="20"/>
          <w:lang w:val="cs-CZ"/>
        </w:rPr>
        <w:t xml:space="preserve"> pro Velkou</w:t>
      </w:r>
      <w:r w:rsidR="00652BE6">
        <w:rPr>
          <w:rFonts w:ascii="Segoe UI" w:hAnsi="Segoe UI" w:cs="Segoe UI"/>
          <w:bCs/>
          <w:i/>
          <w:iCs/>
          <w:sz w:val="20"/>
          <w:szCs w:val="20"/>
          <w:lang w:val="cs-CZ"/>
        </w:rPr>
        <w:t xml:space="preserve"> Británii, Francii a Švýcarsko</w:t>
      </w:r>
      <w:r w:rsidRPr="00236F81">
        <w:rPr>
          <w:rFonts w:ascii="Segoe UI" w:hAnsi="Segoe UI" w:cs="Segoe UI"/>
          <w:bCs/>
          <w:i/>
          <w:iCs/>
          <w:sz w:val="20"/>
          <w:szCs w:val="20"/>
          <w:lang w:val="cs-CZ"/>
        </w:rPr>
        <w:t>, ve Španělsku byl představen</w:t>
      </w:r>
      <w:r w:rsidR="004E5D9C">
        <w:rPr>
          <w:rFonts w:ascii="Segoe UI" w:hAnsi="Segoe UI" w:cs="Segoe UI"/>
          <w:bCs/>
          <w:i/>
          <w:iCs/>
          <w:sz w:val="20"/>
          <w:szCs w:val="20"/>
          <w:lang w:val="cs-CZ"/>
        </w:rPr>
        <w:t xml:space="preserve"> Samsung </w:t>
      </w:r>
      <w:proofErr w:type="spellStart"/>
      <w:r w:rsidR="004E5D9C">
        <w:rPr>
          <w:rFonts w:ascii="Segoe UI" w:hAnsi="Segoe UI" w:cs="Segoe UI"/>
          <w:bCs/>
          <w:i/>
          <w:iCs/>
          <w:sz w:val="20"/>
          <w:szCs w:val="20"/>
          <w:lang w:val="cs-CZ"/>
        </w:rPr>
        <w:t>Pay</w:t>
      </w:r>
      <w:proofErr w:type="spellEnd"/>
      <w:r w:rsidR="004E5D9C">
        <w:rPr>
          <w:rFonts w:ascii="Segoe UI" w:hAnsi="Segoe UI" w:cs="Segoe UI"/>
          <w:bCs/>
          <w:i/>
          <w:iCs/>
          <w:sz w:val="20"/>
          <w:szCs w:val="20"/>
          <w:lang w:val="cs-CZ"/>
        </w:rPr>
        <w:t xml:space="preserve"> a v Británii také</w:t>
      </w:r>
      <w:r w:rsidRPr="00236F81">
        <w:rPr>
          <w:rFonts w:ascii="Segoe UI" w:hAnsi="Segoe UI" w:cs="Segoe UI"/>
          <w:bCs/>
          <w:i/>
          <w:iCs/>
          <w:sz w:val="20"/>
          <w:szCs w:val="20"/>
          <w:lang w:val="cs-CZ"/>
        </w:rPr>
        <w:t xml:space="preserve"> Android </w:t>
      </w:r>
      <w:proofErr w:type="spellStart"/>
      <w:r w:rsidRPr="00236F81">
        <w:rPr>
          <w:rFonts w:ascii="Segoe UI" w:hAnsi="Segoe UI" w:cs="Segoe UI"/>
          <w:bCs/>
          <w:i/>
          <w:iCs/>
          <w:sz w:val="20"/>
          <w:szCs w:val="20"/>
          <w:lang w:val="cs-CZ"/>
        </w:rPr>
        <w:t>Pay</w:t>
      </w:r>
      <w:proofErr w:type="spellEnd"/>
      <w:r w:rsidRPr="00236F81">
        <w:rPr>
          <w:rFonts w:ascii="Segoe UI" w:hAnsi="Segoe UI" w:cs="Segoe UI"/>
          <w:bCs/>
          <w:i/>
          <w:iCs/>
          <w:sz w:val="20"/>
          <w:szCs w:val="20"/>
          <w:lang w:val="cs-CZ"/>
        </w:rPr>
        <w:t>. Zároveň jsme ale svědky nové éry v oblasti nositelné elektroniky – chytrých hodinek, náramků i oblečení. Tento trend bude zcela jistě ještě zrychlovat a uživatelé budou mít možnost vybrat si takové zařízení, které bude nejlépe vyhovovat jejich životnímu stylu,</w:t>
      </w:r>
      <w:r>
        <w:rPr>
          <w:rFonts w:ascii="Segoe UI" w:hAnsi="Segoe UI" w:cs="Segoe UI"/>
          <w:bCs/>
          <w:iCs/>
          <w:sz w:val="20"/>
          <w:szCs w:val="20"/>
          <w:lang w:val="cs-CZ"/>
        </w:rPr>
        <w:t>“ doplňuje Gajdoš.</w:t>
      </w:r>
    </w:p>
    <w:p w14:paraId="4740607F" w14:textId="318E0517" w:rsidR="00213F97" w:rsidRPr="00C27362" w:rsidRDefault="009543F0" w:rsidP="00C704C8">
      <w:pPr>
        <w:pStyle w:val="Odstavecseseznamem"/>
        <w:spacing w:after="240" w:line="360" w:lineRule="auto"/>
        <w:ind w:left="0"/>
        <w:jc w:val="both"/>
        <w:rPr>
          <w:rFonts w:ascii="Segoe UI" w:hAnsi="Segoe UI" w:cs="Segoe UI"/>
          <w:b/>
          <w:bCs/>
          <w:iCs/>
          <w:sz w:val="20"/>
          <w:szCs w:val="20"/>
          <w:lang w:val="cs-CZ"/>
        </w:rPr>
      </w:pPr>
      <w:r>
        <w:rPr>
          <w:rFonts w:ascii="Segoe UI" w:hAnsi="Segoe UI" w:cs="Segoe UI"/>
          <w:b/>
          <w:bCs/>
          <w:iCs/>
          <w:sz w:val="20"/>
          <w:szCs w:val="20"/>
          <w:lang w:val="cs-CZ"/>
        </w:rPr>
        <w:t xml:space="preserve">Tahounem nových technologií je </w:t>
      </w:r>
      <w:proofErr w:type="spellStart"/>
      <w:r>
        <w:rPr>
          <w:rFonts w:ascii="Segoe UI" w:hAnsi="Segoe UI" w:cs="Segoe UI"/>
          <w:b/>
          <w:bCs/>
          <w:iCs/>
          <w:sz w:val="20"/>
          <w:szCs w:val="20"/>
          <w:lang w:val="cs-CZ"/>
        </w:rPr>
        <w:t>contactless</w:t>
      </w:r>
      <w:proofErr w:type="spellEnd"/>
    </w:p>
    <w:p w14:paraId="0BC2C2E1" w14:textId="5D57006F" w:rsidR="00213F97" w:rsidRPr="00C27362" w:rsidRDefault="00213F97" w:rsidP="00C704C8">
      <w:pPr>
        <w:pStyle w:val="Odstavecseseznamem"/>
        <w:spacing w:after="240" w:line="360" w:lineRule="auto"/>
        <w:ind w:left="0"/>
        <w:jc w:val="both"/>
        <w:rPr>
          <w:rFonts w:ascii="Segoe UI" w:hAnsi="Segoe UI" w:cs="Segoe UI"/>
          <w:bCs/>
          <w:iCs/>
          <w:sz w:val="20"/>
          <w:szCs w:val="20"/>
          <w:lang w:val="cs-CZ"/>
        </w:rPr>
      </w:pPr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>Nárůst v používání digitálníc</w:t>
      </w:r>
      <w:r>
        <w:rPr>
          <w:rFonts w:ascii="Segoe UI" w:hAnsi="Segoe UI" w:cs="Segoe UI"/>
          <w:bCs/>
          <w:iCs/>
          <w:sz w:val="20"/>
          <w:szCs w:val="20"/>
          <w:lang w:val="cs-CZ"/>
        </w:rPr>
        <w:t>h</w:t>
      </w:r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 plateb jde ruku v ruce s rozšířením bezkontaktních technologií. Průzkum nasvědčuje tomu, že bezkontaktní platby jsou už dnes napříč věkovými skupinami novým standardem. </w:t>
      </w:r>
      <w:r>
        <w:rPr>
          <w:rFonts w:ascii="Segoe UI" w:hAnsi="Segoe UI" w:cs="Segoe UI"/>
          <w:bCs/>
          <w:iCs/>
          <w:sz w:val="20"/>
          <w:szCs w:val="20"/>
          <w:lang w:val="cs-CZ"/>
        </w:rPr>
        <w:t xml:space="preserve">Více než polovina (52 %) dotazovaných </w:t>
      </w:r>
      <w:r w:rsidR="004E5D9C">
        <w:rPr>
          <w:rFonts w:ascii="Segoe UI" w:hAnsi="Segoe UI" w:cs="Segoe UI"/>
          <w:bCs/>
          <w:iCs/>
          <w:sz w:val="20"/>
          <w:szCs w:val="20"/>
          <w:lang w:val="cs-CZ"/>
        </w:rPr>
        <w:t xml:space="preserve">totiž </w:t>
      </w:r>
      <w:r>
        <w:rPr>
          <w:rFonts w:ascii="Segoe UI" w:hAnsi="Segoe UI" w:cs="Segoe UI"/>
          <w:bCs/>
          <w:iCs/>
          <w:sz w:val="20"/>
          <w:szCs w:val="20"/>
          <w:lang w:val="cs-CZ"/>
        </w:rPr>
        <w:t>tento rok použila bezkontaktní kartu. V roce 2015 to</w:t>
      </w:r>
      <w:r w:rsidR="004E5D9C">
        <w:rPr>
          <w:rFonts w:ascii="Segoe UI" w:hAnsi="Segoe UI" w:cs="Segoe UI"/>
          <w:bCs/>
          <w:iCs/>
          <w:sz w:val="20"/>
          <w:szCs w:val="20"/>
          <w:lang w:val="cs-CZ"/>
        </w:rPr>
        <w:t xml:space="preserve"> přitom</w:t>
      </w:r>
      <w:r>
        <w:rPr>
          <w:rFonts w:ascii="Segoe UI" w:hAnsi="Segoe UI" w:cs="Segoe UI"/>
          <w:bCs/>
          <w:iCs/>
          <w:sz w:val="20"/>
          <w:szCs w:val="20"/>
          <w:lang w:val="cs-CZ"/>
        </w:rPr>
        <w:t xml:space="preserve"> bylo </w:t>
      </w:r>
      <w:r w:rsidR="004E5D9C">
        <w:rPr>
          <w:rFonts w:ascii="Segoe UI" w:hAnsi="Segoe UI" w:cs="Segoe UI"/>
          <w:bCs/>
          <w:iCs/>
          <w:sz w:val="20"/>
          <w:szCs w:val="20"/>
          <w:lang w:val="cs-CZ"/>
        </w:rPr>
        <w:t xml:space="preserve">pouze </w:t>
      </w:r>
      <w:r>
        <w:rPr>
          <w:rFonts w:ascii="Segoe UI" w:hAnsi="Segoe UI" w:cs="Segoe UI"/>
          <w:bCs/>
          <w:iCs/>
          <w:sz w:val="20"/>
          <w:szCs w:val="20"/>
          <w:lang w:val="cs-CZ"/>
        </w:rPr>
        <w:t>36 %.</w:t>
      </w:r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 </w:t>
      </w:r>
    </w:p>
    <w:p w14:paraId="49BAE3F1" w14:textId="77777777" w:rsidR="00213F97" w:rsidRPr="00C27362" w:rsidRDefault="00213F97" w:rsidP="00C704C8">
      <w:pPr>
        <w:pStyle w:val="Odstavecseseznamem"/>
        <w:spacing w:after="240" w:line="360" w:lineRule="auto"/>
        <w:ind w:left="0"/>
        <w:jc w:val="both"/>
        <w:rPr>
          <w:rFonts w:ascii="Segoe UI" w:hAnsi="Segoe UI" w:cs="Segoe UI"/>
          <w:bCs/>
          <w:iCs/>
          <w:sz w:val="20"/>
          <w:szCs w:val="20"/>
          <w:lang w:val="cs-CZ"/>
        </w:rPr>
      </w:pPr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lastRenderedPageBreak/>
        <w:t xml:space="preserve">Uživatelé bezkontaktních plateb jsou obecně </w:t>
      </w:r>
      <w:r>
        <w:rPr>
          <w:rFonts w:ascii="Segoe UI" w:hAnsi="Segoe UI" w:cs="Segoe UI"/>
          <w:bCs/>
          <w:iCs/>
          <w:sz w:val="20"/>
          <w:szCs w:val="20"/>
          <w:lang w:val="cs-CZ"/>
        </w:rPr>
        <w:t>k při</w:t>
      </w:r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>jímání nových platebních metod otevřenější,</w:t>
      </w:r>
      <w:r>
        <w:rPr>
          <w:rFonts w:ascii="Segoe UI" w:hAnsi="Segoe UI" w:cs="Segoe UI"/>
          <w:bCs/>
          <w:iCs/>
          <w:sz w:val="20"/>
          <w:szCs w:val="20"/>
          <w:lang w:val="cs-CZ"/>
        </w:rPr>
        <w:t xml:space="preserve"> než spotřebitelé, </w:t>
      </w:r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kteří bezkontaktní bankovní karty nepoužívají. Uživatelé bezkontaktních karet </w:t>
      </w:r>
      <w:r>
        <w:rPr>
          <w:rFonts w:ascii="Segoe UI" w:hAnsi="Segoe UI" w:cs="Segoe UI"/>
          <w:bCs/>
          <w:iCs/>
          <w:sz w:val="20"/>
          <w:szCs w:val="20"/>
          <w:lang w:val="cs-CZ"/>
        </w:rPr>
        <w:t xml:space="preserve">chtějí </w:t>
      </w:r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například </w:t>
      </w:r>
      <w:r>
        <w:rPr>
          <w:rFonts w:ascii="Segoe UI" w:hAnsi="Segoe UI" w:cs="Segoe UI"/>
          <w:bCs/>
          <w:iCs/>
          <w:sz w:val="20"/>
          <w:szCs w:val="20"/>
          <w:lang w:val="cs-CZ"/>
        </w:rPr>
        <w:t>více platit</w:t>
      </w:r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 </w:t>
      </w:r>
      <w:r>
        <w:rPr>
          <w:rFonts w:ascii="Segoe UI" w:hAnsi="Segoe UI" w:cs="Segoe UI"/>
          <w:bCs/>
          <w:iCs/>
          <w:sz w:val="20"/>
          <w:szCs w:val="20"/>
          <w:lang w:val="cs-CZ"/>
        </w:rPr>
        <w:t xml:space="preserve">v obchodech (52 % </w:t>
      </w:r>
      <w:proofErr w:type="spellStart"/>
      <w:r>
        <w:rPr>
          <w:rFonts w:ascii="Segoe UI" w:hAnsi="Segoe UI" w:cs="Segoe UI"/>
          <w:bCs/>
          <w:iCs/>
          <w:sz w:val="20"/>
          <w:szCs w:val="20"/>
          <w:lang w:val="cs-CZ"/>
        </w:rPr>
        <w:t>vs</w:t>
      </w:r>
      <w:proofErr w:type="spellEnd"/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 32 %), </w:t>
      </w:r>
      <w:r>
        <w:rPr>
          <w:rFonts w:ascii="Segoe UI" w:hAnsi="Segoe UI" w:cs="Segoe UI"/>
          <w:bCs/>
          <w:iCs/>
          <w:sz w:val="20"/>
          <w:szCs w:val="20"/>
          <w:lang w:val="cs-CZ"/>
        </w:rPr>
        <w:t>nakupovat</w:t>
      </w:r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 přes aplikace obchodníků (4</w:t>
      </w:r>
      <w:r>
        <w:rPr>
          <w:rFonts w:ascii="Segoe UI" w:hAnsi="Segoe UI" w:cs="Segoe UI"/>
          <w:bCs/>
          <w:iCs/>
          <w:sz w:val="20"/>
          <w:szCs w:val="20"/>
          <w:lang w:val="cs-CZ"/>
        </w:rPr>
        <w:t xml:space="preserve">9 % </w:t>
      </w:r>
      <w:proofErr w:type="spellStart"/>
      <w:r>
        <w:rPr>
          <w:rFonts w:ascii="Segoe UI" w:hAnsi="Segoe UI" w:cs="Segoe UI"/>
          <w:bCs/>
          <w:iCs/>
          <w:sz w:val="20"/>
          <w:szCs w:val="20"/>
          <w:lang w:val="cs-CZ"/>
        </w:rPr>
        <w:t>vs</w:t>
      </w:r>
      <w:proofErr w:type="spellEnd"/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 31 %) či pla</w:t>
      </w:r>
      <w:r>
        <w:rPr>
          <w:rFonts w:ascii="Segoe UI" w:hAnsi="Segoe UI" w:cs="Segoe UI"/>
          <w:bCs/>
          <w:iCs/>
          <w:sz w:val="20"/>
          <w:szCs w:val="20"/>
          <w:lang w:val="cs-CZ"/>
        </w:rPr>
        <w:t>tit mobilním zařízením za jídlo</w:t>
      </w:r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 (50 % </w:t>
      </w:r>
      <w:proofErr w:type="spellStart"/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>vs</w:t>
      </w:r>
      <w:proofErr w:type="spellEnd"/>
      <w:r w:rsidRPr="00C27362">
        <w:rPr>
          <w:rFonts w:ascii="Segoe UI" w:hAnsi="Segoe UI" w:cs="Segoe UI"/>
          <w:bCs/>
          <w:iCs/>
          <w:sz w:val="20"/>
          <w:szCs w:val="20"/>
          <w:lang w:val="cs-CZ"/>
        </w:rPr>
        <w:t xml:space="preserve"> 30 %).</w:t>
      </w:r>
    </w:p>
    <w:p w14:paraId="21C762DA" w14:textId="77777777" w:rsidR="00213F97" w:rsidRPr="00C27362" w:rsidRDefault="00213F97" w:rsidP="00C704C8">
      <w:pPr>
        <w:autoSpaceDE w:val="0"/>
        <w:autoSpaceDN w:val="0"/>
        <w:adjustRightInd w:val="0"/>
        <w:contextualSpacing/>
        <w:jc w:val="both"/>
        <w:rPr>
          <w:rFonts w:ascii="Segoe UI" w:eastAsia="Batang" w:hAnsi="Segoe UI" w:cs="Segoe UI"/>
          <w:b/>
          <w:bCs/>
          <w:sz w:val="20"/>
          <w:szCs w:val="20"/>
          <w:lang w:val="cs-CZ" w:eastAsia="ko-KR"/>
        </w:rPr>
      </w:pPr>
      <w:r w:rsidRPr="00C27362">
        <w:rPr>
          <w:rFonts w:ascii="Segoe UI" w:eastAsia="Batang" w:hAnsi="Segoe UI" w:cs="Segoe UI"/>
          <w:b/>
          <w:bCs/>
          <w:sz w:val="20"/>
          <w:szCs w:val="20"/>
          <w:lang w:val="cs-CZ" w:eastAsia="ko-KR"/>
        </w:rPr>
        <w:t>O průzkumu</w:t>
      </w:r>
    </w:p>
    <w:p w14:paraId="792817EA" w14:textId="77777777" w:rsidR="00213F97" w:rsidRPr="00080D8C" w:rsidRDefault="00213F97" w:rsidP="00C704C8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color w:val="000000"/>
          <w:sz w:val="20"/>
          <w:szCs w:val="20"/>
          <w:lang w:val="cs-CZ"/>
        </w:rPr>
      </w:pPr>
      <w:r w:rsidRPr="00080D8C">
        <w:rPr>
          <w:rFonts w:ascii="Segoe UI" w:hAnsi="Segoe UI" w:cs="Segoe UI"/>
          <w:color w:val="000000"/>
          <w:sz w:val="20"/>
          <w:szCs w:val="20"/>
          <w:lang w:val="cs-CZ"/>
        </w:rPr>
        <w:t xml:space="preserve">Visa provedla průzkum Digital </w:t>
      </w:r>
      <w:proofErr w:type="spellStart"/>
      <w:r w:rsidRPr="00080D8C">
        <w:rPr>
          <w:rFonts w:ascii="Segoe UI" w:hAnsi="Segoe UI" w:cs="Segoe UI"/>
          <w:color w:val="000000"/>
          <w:sz w:val="20"/>
          <w:szCs w:val="20"/>
          <w:lang w:val="cs-CZ"/>
        </w:rPr>
        <w:t>Payments</w:t>
      </w:r>
      <w:proofErr w:type="spellEnd"/>
      <w:r w:rsidRPr="00080D8C">
        <w:rPr>
          <w:rFonts w:ascii="Segoe UI" w:hAnsi="Segoe UI" w:cs="Segoe UI"/>
          <w:color w:val="000000"/>
          <w:sz w:val="20"/>
          <w:szCs w:val="20"/>
          <w:lang w:val="cs-CZ"/>
        </w:rPr>
        <w:t xml:space="preserve"> 2016 ve spolupráci se společností </w:t>
      </w:r>
      <w:proofErr w:type="spellStart"/>
      <w:r w:rsidRPr="00080D8C">
        <w:rPr>
          <w:rFonts w:ascii="Segoe UI" w:hAnsi="Segoe UI" w:cs="Segoe UI"/>
          <w:color w:val="000000"/>
          <w:sz w:val="20"/>
          <w:szCs w:val="20"/>
          <w:lang w:val="cs-CZ"/>
        </w:rPr>
        <w:t>Populus</w:t>
      </w:r>
      <w:proofErr w:type="spellEnd"/>
      <w:r w:rsidRPr="00080D8C">
        <w:rPr>
          <w:rFonts w:ascii="Segoe UI" w:hAnsi="Segoe UI" w:cs="Segoe UI"/>
          <w:color w:val="000000"/>
          <w:sz w:val="20"/>
          <w:szCs w:val="20"/>
          <w:lang w:val="cs-CZ"/>
        </w:rPr>
        <w:t>. Data byla sbírána během srpna a září 201</w:t>
      </w:r>
      <w:r>
        <w:rPr>
          <w:rFonts w:ascii="Segoe UI" w:hAnsi="Segoe UI" w:cs="Segoe UI"/>
          <w:color w:val="000000"/>
          <w:sz w:val="20"/>
          <w:szCs w:val="20"/>
          <w:lang w:val="cs-CZ"/>
        </w:rPr>
        <w:t>6</w:t>
      </w:r>
      <w:r w:rsidRPr="00080D8C">
        <w:rPr>
          <w:rFonts w:ascii="Segoe UI" w:hAnsi="Segoe UI" w:cs="Segoe UI"/>
          <w:color w:val="000000"/>
          <w:sz w:val="20"/>
          <w:szCs w:val="20"/>
          <w:lang w:val="cs-CZ"/>
        </w:rPr>
        <w:t xml:space="preserve"> v 19 zemích Evropy: Rakousku, Belgii, Dánsku, Finsku, Francii, Německu, Irsku, Izraeli, Itálii, Nizozemsku, Norsku, Polsku, Rumunsku, Slovinsku, Španělsku, Švédsku, Švýcarsku, Turecku a Velké Británii. Celkový vzorek čítal 36 843 respondentů s přibližným zastoupením 2</w:t>
      </w:r>
      <w:r>
        <w:rPr>
          <w:rFonts w:ascii="Segoe UI" w:hAnsi="Segoe UI" w:cs="Segoe UI"/>
          <w:color w:val="000000"/>
          <w:sz w:val="20"/>
          <w:szCs w:val="20"/>
          <w:lang w:val="cs-CZ"/>
        </w:rPr>
        <w:t xml:space="preserve"> </w:t>
      </w:r>
      <w:r w:rsidRPr="00080D8C">
        <w:rPr>
          <w:rFonts w:ascii="Segoe UI" w:hAnsi="Segoe UI" w:cs="Segoe UI"/>
          <w:color w:val="000000"/>
          <w:sz w:val="20"/>
          <w:szCs w:val="20"/>
          <w:lang w:val="cs-CZ"/>
        </w:rPr>
        <w:t>000 spotřebitelů za každý stát.</w:t>
      </w:r>
    </w:p>
    <w:p w14:paraId="4A0E8925" w14:textId="77777777" w:rsidR="003E5918" w:rsidRPr="00C77AF2" w:rsidRDefault="003E5918" w:rsidP="00C704C8">
      <w:pPr>
        <w:pStyle w:val="VisaBodyText"/>
        <w:spacing w:line="312" w:lineRule="auto"/>
        <w:jc w:val="center"/>
        <w:rPr>
          <w:rFonts w:cs="Segoe UI"/>
          <w:lang w:val="cs-CZ"/>
        </w:rPr>
      </w:pPr>
      <w:r w:rsidRPr="00C77AF2">
        <w:rPr>
          <w:rFonts w:cs="Segoe UI"/>
          <w:lang w:val="cs-CZ"/>
        </w:rPr>
        <w:t>###</w:t>
      </w:r>
    </w:p>
    <w:p w14:paraId="2AB02689" w14:textId="77777777" w:rsidR="00FD3ADF" w:rsidRPr="00C77AF2" w:rsidRDefault="002B5C33" w:rsidP="00C704C8">
      <w:pPr>
        <w:autoSpaceDE w:val="0"/>
        <w:autoSpaceDN w:val="0"/>
        <w:jc w:val="both"/>
        <w:rPr>
          <w:rFonts w:ascii="Segoe UI" w:hAnsi="Segoe UI" w:cs="Segoe UI"/>
          <w:color w:val="000000"/>
          <w:sz w:val="20"/>
          <w:szCs w:val="20"/>
          <w:lang w:val="cs-CZ" w:eastAsia="ko-KR"/>
        </w:rPr>
      </w:pPr>
      <w:r w:rsidRPr="00C77AF2">
        <w:rPr>
          <w:rFonts w:ascii="Segoe UI" w:hAnsi="Segoe UI" w:cs="Segoe UI"/>
          <w:b/>
          <w:bCs/>
          <w:color w:val="000000"/>
          <w:sz w:val="20"/>
          <w:szCs w:val="20"/>
          <w:lang w:val="cs-CZ" w:eastAsia="ko-KR"/>
        </w:rPr>
        <w:t>O</w:t>
      </w:r>
      <w:r w:rsidR="00FD3ADF" w:rsidRPr="00C77AF2">
        <w:rPr>
          <w:rFonts w:ascii="Segoe UI" w:hAnsi="Segoe UI" w:cs="Segoe UI"/>
          <w:b/>
          <w:bCs/>
          <w:color w:val="000000"/>
          <w:sz w:val="20"/>
          <w:szCs w:val="20"/>
          <w:lang w:val="cs-CZ" w:eastAsia="ko-KR"/>
        </w:rPr>
        <w:t xml:space="preserve"> </w:t>
      </w:r>
      <w:r w:rsidR="0029299B" w:rsidRPr="00C77AF2">
        <w:rPr>
          <w:rFonts w:ascii="Segoe UI" w:hAnsi="Segoe UI" w:cs="Segoe UI"/>
          <w:b/>
          <w:bCs/>
          <w:color w:val="000000"/>
          <w:sz w:val="20"/>
          <w:szCs w:val="20"/>
          <w:lang w:val="cs-CZ" w:eastAsia="ko-KR"/>
        </w:rPr>
        <w:t xml:space="preserve">společnosti </w:t>
      </w:r>
      <w:r w:rsidR="00FD3ADF" w:rsidRPr="00C77AF2">
        <w:rPr>
          <w:rFonts w:ascii="Segoe UI" w:hAnsi="Segoe UI" w:cs="Segoe UI"/>
          <w:b/>
          <w:bCs/>
          <w:color w:val="000000"/>
          <w:sz w:val="20"/>
          <w:szCs w:val="20"/>
          <w:lang w:val="cs-CZ" w:eastAsia="ko-KR"/>
        </w:rPr>
        <w:t>Visa Inc.</w:t>
      </w:r>
    </w:p>
    <w:p w14:paraId="42C3244B" w14:textId="77777777" w:rsidR="0029299B" w:rsidRPr="00C77AF2" w:rsidRDefault="0029299B" w:rsidP="00C704C8">
      <w:pPr>
        <w:autoSpaceDE w:val="0"/>
        <w:autoSpaceDN w:val="0"/>
        <w:jc w:val="both"/>
        <w:rPr>
          <w:rFonts w:ascii="Segoe UI" w:hAnsi="Segoe UI" w:cs="Segoe UI"/>
          <w:sz w:val="20"/>
          <w:szCs w:val="20"/>
          <w:lang w:val="cs-CZ"/>
        </w:rPr>
      </w:pPr>
      <w:r w:rsidRPr="00C77AF2">
        <w:rPr>
          <w:rFonts w:ascii="Segoe UI" w:hAnsi="Segoe UI" w:cs="Segoe UI"/>
          <w:sz w:val="20"/>
          <w:szCs w:val="20"/>
          <w:lang w:val="cs-CZ"/>
        </w:rPr>
        <w:t xml:space="preserve">Visa Inc. (NYSE:V) je globální platební technologická společnost propojující zákazníky, obchodníky, finanční instituce a vlády ve více než 200 zemích a teritoriích světa, s rychlými, bezpečnými a spolehlivými elektronickými platbami. Společnost provozuje jednu z nejvyspělejších procesních sítí na světě – </w:t>
      </w:r>
      <w:proofErr w:type="spellStart"/>
      <w:r w:rsidRPr="00C77AF2">
        <w:rPr>
          <w:rFonts w:ascii="Segoe UI" w:hAnsi="Segoe UI" w:cs="Segoe UI"/>
          <w:sz w:val="20"/>
          <w:szCs w:val="20"/>
          <w:lang w:val="cs-CZ"/>
        </w:rPr>
        <w:t>VisaNet</w:t>
      </w:r>
      <w:proofErr w:type="spellEnd"/>
      <w:r w:rsidRPr="00C77AF2">
        <w:rPr>
          <w:rFonts w:ascii="Segoe UI" w:hAnsi="Segoe UI" w:cs="Segoe UI"/>
          <w:sz w:val="20"/>
          <w:szCs w:val="20"/>
          <w:lang w:val="cs-CZ"/>
        </w:rPr>
        <w:t xml:space="preserve"> – která dokáže zpracovat více než 65 000 transakcí za sekundu, se zabezpečením před podvody pro spotřebitele a zajištěním platby pro obchodníky. Visa není bankou, nevydává karty, neposkytuje úvěry ani nenastavuje sazby a poplatky pro spotřebitele. Inovace od společnosti Visa nicméně umožňují finančním institucím nabízet svým zákazníkům stále více možností: okamžité platby debetní kartou, používání předplacených karet nebo odložené placení pomocí kreditních produktů.</w:t>
      </w:r>
      <w:r w:rsidR="00FD3ADF" w:rsidRPr="00C77AF2">
        <w:rPr>
          <w:rFonts w:ascii="Segoe UI" w:hAnsi="Segoe UI" w:cs="Segoe UI"/>
          <w:color w:val="000000"/>
          <w:sz w:val="20"/>
          <w:szCs w:val="20"/>
          <w:lang w:val="cs-CZ"/>
        </w:rPr>
        <w:t xml:space="preserve"> </w:t>
      </w:r>
      <w:r w:rsidRPr="00C77AF2">
        <w:rPr>
          <w:rFonts w:ascii="Segoe UI" w:hAnsi="Segoe UI" w:cs="Segoe UI"/>
          <w:sz w:val="20"/>
          <w:szCs w:val="20"/>
          <w:lang w:val="cs-CZ"/>
        </w:rPr>
        <w:t xml:space="preserve">Pro více informací navštivte </w:t>
      </w:r>
      <w:hyperlink r:id="rId8" w:history="1">
        <w:r w:rsidRPr="00C77AF2">
          <w:rPr>
            <w:rStyle w:val="Hypertextovodkaz"/>
            <w:rFonts w:ascii="Segoe UI" w:hAnsi="Segoe UI" w:cs="Segoe UI"/>
            <w:sz w:val="20"/>
            <w:szCs w:val="20"/>
            <w:lang w:val="cs-CZ"/>
          </w:rPr>
          <w:t>www.visaeurope.com</w:t>
        </w:r>
      </w:hyperlink>
      <w:r w:rsidRPr="00C77AF2">
        <w:rPr>
          <w:rStyle w:val="s22"/>
          <w:rFonts w:ascii="Segoe UI" w:hAnsi="Segoe UI" w:cs="Segoe UI"/>
          <w:sz w:val="20"/>
          <w:szCs w:val="20"/>
          <w:lang w:val="cs-CZ"/>
        </w:rPr>
        <w:t>, blog Visa Vision (</w:t>
      </w:r>
      <w:hyperlink r:id="rId9" w:history="1">
        <w:r w:rsidRPr="00C77AF2">
          <w:rPr>
            <w:rStyle w:val="Hypertextovodkaz"/>
            <w:rFonts w:ascii="Segoe UI" w:hAnsi="Segoe UI" w:cs="Segoe UI"/>
            <w:sz w:val="20"/>
            <w:szCs w:val="20"/>
            <w:lang w:val="cs-CZ"/>
          </w:rPr>
          <w:t>www.vision.visaeurope.com</w:t>
        </w:r>
      </w:hyperlink>
      <w:r w:rsidRPr="00C77AF2">
        <w:rPr>
          <w:rFonts w:ascii="Segoe UI" w:hAnsi="Segoe UI" w:cs="Segoe UI"/>
          <w:sz w:val="20"/>
          <w:szCs w:val="20"/>
          <w:lang w:val="cs-CZ"/>
        </w:rPr>
        <w:t xml:space="preserve">) a </w:t>
      </w:r>
      <w:r w:rsidRPr="00C77AF2">
        <w:rPr>
          <w:rStyle w:val="s22"/>
          <w:rFonts w:ascii="Segoe UI" w:hAnsi="Segoe UI" w:cs="Segoe UI"/>
          <w:sz w:val="20"/>
          <w:szCs w:val="20"/>
          <w:lang w:val="cs-CZ"/>
        </w:rPr>
        <w:t>@</w:t>
      </w:r>
      <w:proofErr w:type="spellStart"/>
      <w:r w:rsidRPr="00C77AF2">
        <w:rPr>
          <w:rStyle w:val="s22"/>
          <w:rFonts w:ascii="Segoe UI" w:hAnsi="Segoe UI" w:cs="Segoe UI"/>
          <w:sz w:val="20"/>
          <w:szCs w:val="20"/>
          <w:lang w:val="cs-CZ"/>
        </w:rPr>
        <w:t>VisaEuropeNews</w:t>
      </w:r>
      <w:proofErr w:type="spellEnd"/>
      <w:r w:rsidRPr="00C77AF2">
        <w:rPr>
          <w:rStyle w:val="s22"/>
          <w:rFonts w:ascii="Segoe UI" w:hAnsi="Segoe UI" w:cs="Segoe UI"/>
          <w:sz w:val="20"/>
          <w:szCs w:val="20"/>
          <w:lang w:val="cs-CZ"/>
        </w:rPr>
        <w:t>.</w:t>
      </w:r>
    </w:p>
    <w:p w14:paraId="535438DF" w14:textId="77777777" w:rsidR="00FD3ADF" w:rsidRPr="00C77AF2" w:rsidRDefault="00FD3ADF" w:rsidP="00FD3ADF">
      <w:pPr>
        <w:rPr>
          <w:rFonts w:ascii="Segoe UI" w:hAnsi="Segoe UI" w:cs="Segoe UI"/>
          <w:color w:val="000000"/>
          <w:sz w:val="20"/>
          <w:szCs w:val="20"/>
          <w:lang w:val="cs-CZ"/>
        </w:rPr>
      </w:pPr>
    </w:p>
    <w:p w14:paraId="6116A4DE" w14:textId="77777777" w:rsidR="003E5918" w:rsidRPr="00C77AF2" w:rsidRDefault="002B5C33" w:rsidP="003E5918">
      <w:pPr>
        <w:spacing w:line="312" w:lineRule="auto"/>
        <w:rPr>
          <w:rFonts w:ascii="Segoe UI" w:hAnsi="Segoe UI" w:cs="Segoe UI"/>
          <w:b/>
          <w:sz w:val="20"/>
          <w:szCs w:val="20"/>
          <w:lang w:val="cs-CZ"/>
        </w:rPr>
      </w:pPr>
      <w:r w:rsidRPr="00C77AF2">
        <w:rPr>
          <w:rFonts w:ascii="Segoe UI" w:hAnsi="Segoe UI" w:cs="Segoe UI"/>
          <w:b/>
          <w:sz w:val="20"/>
          <w:szCs w:val="20"/>
          <w:lang w:val="cs-CZ"/>
        </w:rPr>
        <w:t>Kontakty</w:t>
      </w:r>
      <w:r w:rsidR="003E5918" w:rsidRPr="00C77AF2">
        <w:rPr>
          <w:rFonts w:ascii="Segoe UI" w:hAnsi="Segoe UI" w:cs="Segoe UI"/>
          <w:b/>
          <w:sz w:val="20"/>
          <w:szCs w:val="20"/>
          <w:lang w:val="cs-CZ"/>
        </w:rPr>
        <w:t xml:space="preserve">: </w:t>
      </w:r>
    </w:p>
    <w:p w14:paraId="3CBFBB08" w14:textId="77777777" w:rsidR="00E04AB3" w:rsidRPr="00C77AF2" w:rsidRDefault="00E04AB3" w:rsidP="00E04AB3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C77AF2">
        <w:rPr>
          <w:rFonts w:cs="Segoe UI"/>
          <w:color w:val="auto"/>
          <w:sz w:val="20"/>
          <w:szCs w:val="20"/>
          <w:lang w:val="cs-CZ"/>
        </w:rPr>
        <w:t>Jana Pečenková</w:t>
      </w:r>
    </w:p>
    <w:p w14:paraId="2276E857" w14:textId="77777777" w:rsidR="00E04AB3" w:rsidRPr="00C77AF2" w:rsidRDefault="00E04AB3" w:rsidP="00E04AB3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C77AF2">
        <w:rPr>
          <w:rFonts w:cs="Segoe UI"/>
          <w:color w:val="auto"/>
          <w:sz w:val="20"/>
          <w:szCs w:val="20"/>
          <w:lang w:val="cs-CZ"/>
        </w:rPr>
        <w:t xml:space="preserve">Email: </w:t>
      </w:r>
      <w:hyperlink r:id="rId10" w:history="1">
        <w:r w:rsidRPr="00C77AF2">
          <w:rPr>
            <w:rFonts w:cs="Segoe UI"/>
            <w:color w:val="auto"/>
            <w:sz w:val="20"/>
            <w:szCs w:val="20"/>
            <w:lang w:val="cs-CZ"/>
          </w:rPr>
          <w:t>jana.pecenkova@grayling.com</w:t>
        </w:r>
      </w:hyperlink>
    </w:p>
    <w:p w14:paraId="46BC218E" w14:textId="77777777" w:rsidR="00E04AB3" w:rsidRPr="00C77AF2" w:rsidRDefault="00E04AB3" w:rsidP="00E04AB3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C77AF2">
        <w:rPr>
          <w:rFonts w:cs="Segoe UI"/>
          <w:color w:val="auto"/>
          <w:sz w:val="20"/>
          <w:szCs w:val="20"/>
          <w:lang w:val="cs-CZ"/>
        </w:rPr>
        <w:t>Tel.: 725 394 900</w:t>
      </w:r>
    </w:p>
    <w:p w14:paraId="2E3965E5" w14:textId="77777777" w:rsidR="00E04AB3" w:rsidRPr="00C77AF2" w:rsidRDefault="00E04AB3">
      <w:pPr>
        <w:rPr>
          <w:lang w:val="cs-CZ"/>
        </w:rPr>
      </w:pPr>
    </w:p>
    <w:sectPr w:rsidR="00E04AB3" w:rsidRPr="00C77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1EF9"/>
    <w:multiLevelType w:val="hybridMultilevel"/>
    <w:tmpl w:val="DCDC73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282F3A"/>
    <w:multiLevelType w:val="hybridMultilevel"/>
    <w:tmpl w:val="E850D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AF"/>
    <w:rsid w:val="00090A85"/>
    <w:rsid w:val="000D58AE"/>
    <w:rsid w:val="00102F02"/>
    <w:rsid w:val="001174C2"/>
    <w:rsid w:val="00130046"/>
    <w:rsid w:val="0016028E"/>
    <w:rsid w:val="00191BCA"/>
    <w:rsid w:val="001C5EC4"/>
    <w:rsid w:val="00213F97"/>
    <w:rsid w:val="00232140"/>
    <w:rsid w:val="00260CF7"/>
    <w:rsid w:val="0029299B"/>
    <w:rsid w:val="002B5C33"/>
    <w:rsid w:val="002C5070"/>
    <w:rsid w:val="002D7618"/>
    <w:rsid w:val="00322C9A"/>
    <w:rsid w:val="003405E7"/>
    <w:rsid w:val="00385348"/>
    <w:rsid w:val="003A39AA"/>
    <w:rsid w:val="003D5005"/>
    <w:rsid w:val="003D7898"/>
    <w:rsid w:val="003E5918"/>
    <w:rsid w:val="00424A2A"/>
    <w:rsid w:val="004411EB"/>
    <w:rsid w:val="0045016B"/>
    <w:rsid w:val="00461743"/>
    <w:rsid w:val="004A3A3F"/>
    <w:rsid w:val="004E5D9C"/>
    <w:rsid w:val="004F5853"/>
    <w:rsid w:val="00541CE3"/>
    <w:rsid w:val="00557E0F"/>
    <w:rsid w:val="005621EB"/>
    <w:rsid w:val="00562602"/>
    <w:rsid w:val="005670C5"/>
    <w:rsid w:val="005A02A8"/>
    <w:rsid w:val="005A092B"/>
    <w:rsid w:val="005E3C7B"/>
    <w:rsid w:val="00652BE6"/>
    <w:rsid w:val="00681BA3"/>
    <w:rsid w:val="006A4DF7"/>
    <w:rsid w:val="006A7A59"/>
    <w:rsid w:val="00765484"/>
    <w:rsid w:val="007C67DB"/>
    <w:rsid w:val="00811312"/>
    <w:rsid w:val="00812E37"/>
    <w:rsid w:val="00834063"/>
    <w:rsid w:val="008520C3"/>
    <w:rsid w:val="00854C8C"/>
    <w:rsid w:val="00883A14"/>
    <w:rsid w:val="008B1196"/>
    <w:rsid w:val="00901E7F"/>
    <w:rsid w:val="00912F8A"/>
    <w:rsid w:val="009214A0"/>
    <w:rsid w:val="009543F0"/>
    <w:rsid w:val="009B0CAF"/>
    <w:rsid w:val="009E034C"/>
    <w:rsid w:val="009E33E3"/>
    <w:rsid w:val="00A1029D"/>
    <w:rsid w:val="00A3727D"/>
    <w:rsid w:val="00A6767C"/>
    <w:rsid w:val="00A8568C"/>
    <w:rsid w:val="00A912A4"/>
    <w:rsid w:val="00AB47BE"/>
    <w:rsid w:val="00B242BB"/>
    <w:rsid w:val="00B4588A"/>
    <w:rsid w:val="00B92FE8"/>
    <w:rsid w:val="00BF0C98"/>
    <w:rsid w:val="00C523AA"/>
    <w:rsid w:val="00C704C8"/>
    <w:rsid w:val="00C77AF2"/>
    <w:rsid w:val="00C85E92"/>
    <w:rsid w:val="00CA0C4B"/>
    <w:rsid w:val="00CA42F1"/>
    <w:rsid w:val="00CA44B7"/>
    <w:rsid w:val="00CA5711"/>
    <w:rsid w:val="00CC753E"/>
    <w:rsid w:val="00CD10B9"/>
    <w:rsid w:val="00D01C9C"/>
    <w:rsid w:val="00D109BD"/>
    <w:rsid w:val="00D122A2"/>
    <w:rsid w:val="00D62C04"/>
    <w:rsid w:val="00D679F3"/>
    <w:rsid w:val="00DC65A7"/>
    <w:rsid w:val="00DF2F88"/>
    <w:rsid w:val="00E04AB3"/>
    <w:rsid w:val="00E13865"/>
    <w:rsid w:val="00E37CB1"/>
    <w:rsid w:val="00EA004B"/>
    <w:rsid w:val="00EC525B"/>
    <w:rsid w:val="00EF40E7"/>
    <w:rsid w:val="00F3565F"/>
    <w:rsid w:val="00F504E5"/>
    <w:rsid w:val="00FD3ADF"/>
    <w:rsid w:val="00F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28AD"/>
  <w15:docId w15:val="{2768BC35-1DCF-45DB-913B-5D613456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FD3ADF"/>
    <w:rPr>
      <w:color w:val="0000FF"/>
      <w:u w:val="single"/>
    </w:rPr>
  </w:style>
  <w:style w:type="paragraph" w:customStyle="1" w:styleId="Body">
    <w:name w:val="Body"/>
    <w:rsid w:val="00424A2A"/>
    <w:pPr>
      <w:suppressAutoHyphens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lang w:val="cs-CZ" w:eastAsia="cs-CZ"/>
    </w:rPr>
  </w:style>
  <w:style w:type="paragraph" w:customStyle="1" w:styleId="Standard">
    <w:name w:val="Standard"/>
    <w:rsid w:val="00E04AB3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E04A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s22">
    <w:name w:val="s22"/>
    <w:basedOn w:val="Standardnpsmoodstavce"/>
    <w:rsid w:val="0029299B"/>
  </w:style>
  <w:style w:type="paragraph" w:styleId="Textbubliny">
    <w:name w:val="Balloon Text"/>
    <w:basedOn w:val="Normln"/>
    <w:link w:val="TextbublinyChar"/>
    <w:uiPriority w:val="99"/>
    <w:semiHidden/>
    <w:unhideWhenUsed/>
    <w:rsid w:val="0088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A14"/>
    <w:rPr>
      <w:rFonts w:ascii="Segoe UI" w:hAnsi="Segoe UI" w:cs="Segoe UI"/>
      <w:sz w:val="18"/>
      <w:szCs w:val="18"/>
    </w:rPr>
  </w:style>
  <w:style w:type="paragraph" w:styleId="Odstavecseseznamem">
    <w:name w:val="List Paragraph"/>
    <w:uiPriority w:val="34"/>
    <w:qFormat/>
    <w:rsid w:val="0016028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213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3F97"/>
    <w:pPr>
      <w:spacing w:after="0" w:line="240" w:lineRule="auto"/>
    </w:pPr>
    <w:rPr>
      <w:rFonts w:ascii="Segoe UI" w:eastAsia="Times New Roman" w:hAnsi="Segoe UI" w:cs="Times New Roman"/>
      <w:color w:val="75787B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3F97"/>
    <w:rPr>
      <w:rFonts w:ascii="Segoe UI" w:eastAsia="Times New Roman" w:hAnsi="Segoe UI" w:cs="Times New Roman"/>
      <w:color w:val="75787B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ana.pecenkova@grayl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ion.visaeurope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livelonfiles\SectorsShares\Financial%20&amp;%20Professional%20services\2016\1.%20Clients\Visa\DBU\Projects\Mobile%20Money%202016\Toolkit%20creation\Factsheets\Europe\Europe%20charts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Top 10 </a:t>
            </a:r>
            <a:r>
              <a:rPr lang="cs-CZ" b="1"/>
              <a:t>evropských zemí s nejvyšším podílem</a:t>
            </a:r>
            <a:r>
              <a:rPr lang="en-GB" b="1"/>
              <a:t> </a:t>
            </a:r>
            <a:r>
              <a:rPr lang="cs-CZ" b="1"/>
              <a:t>uživatelů</a:t>
            </a:r>
            <a:r>
              <a:rPr lang="cs-CZ" b="1" baseline="0"/>
              <a:t> mobilních plateb</a:t>
            </a:r>
            <a:endParaRPr lang="en-GB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Sheet1!$B$2:$B$11</c:f>
              <c:strCache>
                <c:ptCount val="10"/>
                <c:pt idx="0">
                  <c:v>Turecko</c:v>
                </c:pt>
                <c:pt idx="1">
                  <c:v>Dánsko</c:v>
                </c:pt>
                <c:pt idx="2">
                  <c:v>Norsko</c:v>
                </c:pt>
                <c:pt idx="3">
                  <c:v>Izrael</c:v>
                </c:pt>
                <c:pt idx="4">
                  <c:v>Švédsko</c:v>
                </c:pt>
                <c:pt idx="5">
                  <c:v>Polsko</c:v>
                </c:pt>
                <c:pt idx="6">
                  <c:v>Rumunsko</c:v>
                </c:pt>
                <c:pt idx="7">
                  <c:v>Irsko</c:v>
                </c:pt>
                <c:pt idx="8">
                  <c:v>Finsko</c:v>
                </c:pt>
                <c:pt idx="9">
                  <c:v>Belgie</c:v>
                </c:pt>
              </c:strCache>
            </c:strRef>
          </c:cat>
          <c:val>
            <c:numRef>
              <c:f>Sheet1!$A$2:$A$11</c:f>
              <c:numCache>
                <c:formatCode>General</c:formatCode>
                <c:ptCount val="10"/>
                <c:pt idx="0">
                  <c:v>0.91</c:v>
                </c:pt>
                <c:pt idx="1">
                  <c:v>0.89</c:v>
                </c:pt>
                <c:pt idx="2">
                  <c:v>0.87</c:v>
                </c:pt>
                <c:pt idx="3">
                  <c:v>0.87</c:v>
                </c:pt>
                <c:pt idx="4">
                  <c:v>0.86</c:v>
                </c:pt>
                <c:pt idx="5">
                  <c:v>0.79</c:v>
                </c:pt>
                <c:pt idx="6">
                  <c:v>0.79</c:v>
                </c:pt>
                <c:pt idx="7">
                  <c:v>0.78</c:v>
                </c:pt>
                <c:pt idx="8">
                  <c:v>0.77</c:v>
                </c:pt>
                <c:pt idx="9">
                  <c:v>0.75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2334224"/>
        <c:axId val="161925752"/>
      </c:barChart>
      <c:dateAx>
        <c:axId val="1623342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Zdroj</a:t>
                </a:r>
                <a:r>
                  <a:rPr lang="en-GB"/>
                  <a:t>: Visa Digital Payments study, 2016</a:t>
                </a:r>
              </a:p>
            </c:rich>
          </c:tx>
          <c:layout>
            <c:manualLayout>
              <c:xMode val="edge"/>
              <c:yMode val="edge"/>
              <c:x val="0.57853785354629528"/>
              <c:y val="0.9103951110686621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1925752"/>
        <c:crosses val="autoZero"/>
        <c:auto val="0"/>
        <c:lblOffset val="100"/>
        <c:baseTimeUnit val="days"/>
      </c:dateAx>
      <c:valAx>
        <c:axId val="161925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% </a:t>
                </a:r>
                <a:r>
                  <a:rPr lang="cs-CZ"/>
                  <a:t>uživatelů</a:t>
                </a:r>
                <a:r>
                  <a:rPr lang="cs-CZ" baseline="0"/>
                  <a:t> mobilních plateb</a:t>
                </a:r>
                <a:endParaRPr lang="en-GB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2334224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 sz="1600" b="1" i="0" baseline="0">
                <a:effectLst/>
              </a:rPr>
              <a:t>Nárůst užívání mobilního bankovnictví dle věku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'Online banking Europe'!$A$4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'Online banking Europe'!$B$3:$F$3</c:f>
              <c:strCache>
                <c:ptCount val="5"/>
                <c:pt idx="0">
                  <c:v>  18 - 24</c:v>
                </c:pt>
                <c:pt idx="1">
                  <c:v>  25 - 34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</c:strCache>
            </c:strRef>
          </c:cat>
          <c:val>
            <c:numRef>
              <c:f>'Online banking Europe'!$B$4:$F$4</c:f>
              <c:numCache>
                <c:formatCode>0%</c:formatCode>
                <c:ptCount val="5"/>
                <c:pt idx="0">
                  <c:v>0.55000000000000004</c:v>
                </c:pt>
                <c:pt idx="1">
                  <c:v>0.61</c:v>
                </c:pt>
                <c:pt idx="2">
                  <c:v>0.55000000000000004</c:v>
                </c:pt>
                <c:pt idx="3">
                  <c:v>0.46</c:v>
                </c:pt>
                <c:pt idx="4">
                  <c:v>0.39</c:v>
                </c:pt>
              </c:numCache>
            </c:numRef>
          </c:val>
        </c:ser>
        <c:ser>
          <c:idx val="1"/>
          <c:order val="1"/>
          <c:tx>
            <c:strRef>
              <c:f>'Online banking Europe'!$A$5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'Online banking Europe'!$B$3:$F$3</c:f>
              <c:strCache>
                <c:ptCount val="5"/>
                <c:pt idx="0">
                  <c:v>  18 - 24</c:v>
                </c:pt>
                <c:pt idx="1">
                  <c:v>  25 - 34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</c:strCache>
            </c:strRef>
          </c:cat>
          <c:val>
            <c:numRef>
              <c:f>'Online banking Europe'!$B$5:$F$5</c:f>
              <c:numCache>
                <c:formatCode>0%</c:formatCode>
                <c:ptCount val="5"/>
                <c:pt idx="0">
                  <c:v>0.68</c:v>
                </c:pt>
                <c:pt idx="1">
                  <c:v>0.68</c:v>
                </c:pt>
                <c:pt idx="2">
                  <c:v>0.64</c:v>
                </c:pt>
                <c:pt idx="3">
                  <c:v>0.56999999999999995</c:v>
                </c:pt>
                <c:pt idx="4">
                  <c:v>0.52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2158704"/>
        <c:axId val="162169328"/>
      </c:barChart>
      <c:catAx>
        <c:axId val="1621587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algn="l"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900" b="0"/>
                  <a:t>Zdroj</a:t>
                </a:r>
                <a:r>
                  <a:rPr lang="en-GB" sz="900" b="0"/>
                  <a:t>: Visa Digital Payments study, 2016</a:t>
                </a:r>
              </a:p>
            </c:rich>
          </c:tx>
          <c:layout>
            <c:manualLayout>
              <c:xMode val="edge"/>
              <c:yMode val="edge"/>
              <c:x val="0.66278422434037854"/>
              <c:y val="0.9235302683938699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2169328"/>
        <c:crosses val="autoZero"/>
        <c:auto val="1"/>
        <c:lblAlgn val="ctr"/>
        <c:lblOffset val="100"/>
        <c:noMultiLvlLbl val="0"/>
      </c:catAx>
      <c:valAx>
        <c:axId val="16216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215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068941382327206"/>
          <c:y val="0.82057105390871088"/>
          <c:w val="0.18751006124234471"/>
          <c:h val="7.78552161948614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900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Chieng, Stephanie</dc:creator>
  <cp:lastModifiedBy>Jana Pečenková</cp:lastModifiedBy>
  <cp:revision>11</cp:revision>
  <cp:lastPrinted>2016-07-07T13:35:00Z</cp:lastPrinted>
  <dcterms:created xsi:type="dcterms:W3CDTF">2016-10-11T13:54:00Z</dcterms:created>
  <dcterms:modified xsi:type="dcterms:W3CDTF">2016-10-24T07:05:00Z</dcterms:modified>
</cp:coreProperties>
</file>