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750"/>
      </w:tblGrid>
      <w:tr w:rsidR="00574E1C" w:rsidRPr="00B75326" w14:paraId="44159720" w14:textId="77777777" w:rsidTr="00D11E4E">
        <w:trPr>
          <w:trHeight w:val="840"/>
        </w:trPr>
        <w:tc>
          <w:tcPr>
            <w:tcW w:w="13750" w:type="dxa"/>
          </w:tcPr>
          <w:p w14:paraId="4E123ABA" w14:textId="77777777" w:rsidR="00970E6D" w:rsidRPr="006329D4" w:rsidRDefault="00C35051" w:rsidP="00574E1C">
            <w:pPr>
              <w:rPr>
                <w:rFonts w:cstheme="minorHAnsi"/>
                <w:lang w:val="en-US"/>
              </w:rPr>
            </w:pPr>
            <w:r w:rsidRPr="006329D4">
              <w:rPr>
                <w:rFonts w:cstheme="minorHAnsi"/>
                <w:b/>
                <w:lang w:val="en-US"/>
              </w:rPr>
              <w:t xml:space="preserve">Alert </w:t>
            </w:r>
            <w:r w:rsidR="00970E6D" w:rsidRPr="006329D4">
              <w:rPr>
                <w:rFonts w:cstheme="minorHAnsi"/>
                <w:b/>
                <w:lang w:val="en-US"/>
              </w:rPr>
              <w:t xml:space="preserve">Type: </w:t>
            </w:r>
            <w:r w:rsidR="00970E6D" w:rsidRPr="006329D4">
              <w:rPr>
                <w:rFonts w:cstheme="minorHAnsi"/>
                <w:lang w:val="en-US"/>
              </w:rPr>
              <w:t>Other Appeal</w:t>
            </w:r>
          </w:p>
          <w:p w14:paraId="2C63C5F1" w14:textId="393E1D96" w:rsidR="00574E1C" w:rsidRPr="006329D4" w:rsidRDefault="00970E6D" w:rsidP="00574E1C">
            <w:pPr>
              <w:rPr>
                <w:rFonts w:cstheme="minorHAnsi"/>
                <w:lang w:val="en-US"/>
              </w:rPr>
            </w:pPr>
            <w:r w:rsidRPr="006329D4">
              <w:rPr>
                <w:rFonts w:cstheme="minorHAnsi"/>
                <w:b/>
                <w:lang w:val="en-US"/>
              </w:rPr>
              <w:t>Alert</w:t>
            </w:r>
            <w:r w:rsidRPr="006329D4">
              <w:rPr>
                <w:rFonts w:cstheme="minorHAnsi"/>
                <w:lang w:val="en-US"/>
              </w:rPr>
              <w:t xml:space="preserve"> </w:t>
            </w:r>
            <w:r w:rsidRPr="006329D4">
              <w:rPr>
                <w:rFonts w:cstheme="minorHAnsi"/>
                <w:b/>
                <w:lang w:val="en-US"/>
              </w:rPr>
              <w:t>Title</w:t>
            </w:r>
            <w:r w:rsidR="00C35051" w:rsidRPr="006329D4">
              <w:rPr>
                <w:rFonts w:cstheme="minorHAnsi"/>
                <w:b/>
                <w:lang w:val="en-US"/>
              </w:rPr>
              <w:t>:</w:t>
            </w:r>
            <w:r w:rsidR="007800C7" w:rsidRPr="006329D4">
              <w:rPr>
                <w:rFonts w:cstheme="minorHAnsi"/>
                <w:lang w:val="en-US"/>
              </w:rPr>
              <w:t xml:space="preserve"> </w:t>
            </w:r>
            <w:r w:rsidR="005A7DE9">
              <w:rPr>
                <w:rFonts w:cstheme="minorHAnsi"/>
                <w:lang w:val="en-US"/>
              </w:rPr>
              <w:t xml:space="preserve">Floods in </w:t>
            </w:r>
            <w:r w:rsidR="00B1163B">
              <w:rPr>
                <w:rFonts w:cstheme="minorHAnsi"/>
                <w:lang w:val="en-US"/>
              </w:rPr>
              <w:t>Vietnam</w:t>
            </w:r>
          </w:p>
          <w:p w14:paraId="0AAD7643" w14:textId="77777777" w:rsidR="008B2292" w:rsidRPr="006329D4" w:rsidRDefault="008B2292" w:rsidP="00574E1C">
            <w:pPr>
              <w:rPr>
                <w:rFonts w:cstheme="minorHAnsi"/>
                <w:lang w:val="en-US"/>
              </w:rPr>
            </w:pPr>
          </w:p>
          <w:p w14:paraId="3B9E954C" w14:textId="648CF76E" w:rsidR="00D02AC0" w:rsidRPr="006329D4" w:rsidRDefault="00D02AC0" w:rsidP="00D02AC0">
            <w:pPr>
              <w:rPr>
                <w:rFonts w:cstheme="minorHAnsi"/>
                <w:lang w:val="en-US"/>
              </w:rPr>
            </w:pPr>
            <w:r w:rsidRPr="006329D4">
              <w:rPr>
                <w:rFonts w:cstheme="minorHAnsi"/>
                <w:b/>
                <w:lang w:val="en-US"/>
              </w:rPr>
              <w:t>Alerting Organisation</w:t>
            </w:r>
            <w:r w:rsidR="00883BB8" w:rsidRPr="006329D4">
              <w:rPr>
                <w:rFonts w:cstheme="minorHAnsi"/>
                <w:b/>
                <w:lang w:val="en-US"/>
              </w:rPr>
              <w:t>(s)</w:t>
            </w:r>
            <w:r w:rsidRPr="006329D4">
              <w:rPr>
                <w:rFonts w:cstheme="minorHAnsi"/>
                <w:b/>
                <w:lang w:val="en-US"/>
              </w:rPr>
              <w:t xml:space="preserve">: </w:t>
            </w:r>
            <w:r w:rsidR="00B1163B">
              <w:rPr>
                <w:rFonts w:cstheme="minorHAnsi"/>
                <w:bCs/>
                <w:lang w:val="en-GB"/>
              </w:rPr>
              <w:t>CARE Denmark</w:t>
            </w:r>
          </w:p>
          <w:p w14:paraId="4DD25DD9" w14:textId="3FC5582C" w:rsidR="00C35051" w:rsidRPr="006329D4" w:rsidRDefault="00C35051" w:rsidP="00574E1C">
            <w:pPr>
              <w:rPr>
                <w:rFonts w:cstheme="minorHAnsi"/>
                <w:lang w:val="en-US"/>
              </w:rPr>
            </w:pPr>
            <w:r w:rsidRPr="006329D4">
              <w:rPr>
                <w:rFonts w:cstheme="minorHAnsi"/>
                <w:b/>
                <w:lang w:val="en-US"/>
              </w:rPr>
              <w:t xml:space="preserve">Date Received: </w:t>
            </w:r>
            <w:r w:rsidR="005A7DE9">
              <w:rPr>
                <w:rFonts w:cstheme="minorHAnsi"/>
                <w:lang w:val="en-US"/>
              </w:rPr>
              <w:t>2</w:t>
            </w:r>
            <w:r w:rsidR="00B1163B">
              <w:rPr>
                <w:rFonts w:cstheme="minorHAnsi"/>
                <w:lang w:val="en-US"/>
              </w:rPr>
              <w:t>8</w:t>
            </w:r>
            <w:r w:rsidR="00A43DD1" w:rsidRPr="006329D4">
              <w:rPr>
                <w:rFonts w:cstheme="minorHAnsi"/>
                <w:lang w:val="en-US"/>
              </w:rPr>
              <w:t xml:space="preserve"> </w:t>
            </w:r>
            <w:r w:rsidR="00B1163B">
              <w:rPr>
                <w:rFonts w:cstheme="minorHAnsi"/>
                <w:lang w:val="en-US"/>
              </w:rPr>
              <w:t>October</w:t>
            </w:r>
            <w:r w:rsidR="00A43DD1" w:rsidRPr="006329D4">
              <w:rPr>
                <w:rFonts w:cstheme="minorHAnsi"/>
                <w:lang w:val="en-US"/>
              </w:rPr>
              <w:t xml:space="preserve"> 2020</w:t>
            </w:r>
          </w:p>
          <w:p w14:paraId="1A67347D" w14:textId="48851DB4" w:rsidR="00C35051" w:rsidRPr="006329D4" w:rsidRDefault="00C35051" w:rsidP="00574E1C">
            <w:pPr>
              <w:rPr>
                <w:rFonts w:cstheme="minorHAnsi"/>
                <w:lang w:val="en-US"/>
              </w:rPr>
            </w:pPr>
            <w:r w:rsidRPr="006329D4">
              <w:rPr>
                <w:rFonts w:cstheme="minorHAnsi"/>
                <w:b/>
                <w:lang w:val="en-US"/>
              </w:rPr>
              <w:t xml:space="preserve">Decision Date: </w:t>
            </w:r>
            <w:r w:rsidR="00B1163B">
              <w:rPr>
                <w:rFonts w:cstheme="minorHAnsi"/>
                <w:lang w:val="en-US"/>
              </w:rPr>
              <w:t>29</w:t>
            </w:r>
            <w:r w:rsidR="000D033F" w:rsidRPr="006329D4">
              <w:rPr>
                <w:rFonts w:cstheme="minorHAnsi"/>
                <w:lang w:val="en-US"/>
              </w:rPr>
              <w:t xml:space="preserve"> </w:t>
            </w:r>
            <w:r w:rsidR="005A7DE9">
              <w:rPr>
                <w:rFonts w:cstheme="minorHAnsi"/>
                <w:lang w:val="en-US"/>
              </w:rPr>
              <w:t>October</w:t>
            </w:r>
            <w:r w:rsidR="000251F2" w:rsidRPr="006329D4">
              <w:rPr>
                <w:rFonts w:cstheme="minorHAnsi"/>
                <w:lang w:val="en-US"/>
              </w:rPr>
              <w:t xml:space="preserve"> </w:t>
            </w:r>
            <w:r w:rsidR="00B16741" w:rsidRPr="006329D4">
              <w:rPr>
                <w:rFonts w:cstheme="minorHAnsi"/>
                <w:lang w:val="en-US"/>
              </w:rPr>
              <w:t>20</w:t>
            </w:r>
            <w:r w:rsidR="00A43DD1" w:rsidRPr="006329D4">
              <w:rPr>
                <w:rFonts w:cstheme="minorHAnsi"/>
                <w:lang w:val="en-US"/>
              </w:rPr>
              <w:t>20</w:t>
            </w:r>
          </w:p>
          <w:p w14:paraId="04554D0C" w14:textId="77777777" w:rsidR="007F6DA3" w:rsidRPr="006329D4" w:rsidRDefault="007F6DA3" w:rsidP="00574E1C">
            <w:pPr>
              <w:rPr>
                <w:rFonts w:cstheme="minorHAnsi"/>
                <w:lang w:val="en-US"/>
              </w:rPr>
            </w:pPr>
            <w:r w:rsidRPr="006329D4">
              <w:rPr>
                <w:rFonts w:cstheme="minorHAnsi"/>
                <w:b/>
                <w:lang w:val="en-US"/>
              </w:rPr>
              <w:t xml:space="preserve">By: </w:t>
            </w:r>
            <w:r w:rsidRPr="006329D4">
              <w:rPr>
                <w:rFonts w:cstheme="minorHAnsi"/>
                <w:lang w:val="en-US"/>
              </w:rPr>
              <w:t>DERF Fund Management</w:t>
            </w:r>
          </w:p>
          <w:p w14:paraId="57796A39" w14:textId="77777777" w:rsidR="00C35051" w:rsidRPr="006329D4" w:rsidRDefault="00C35051" w:rsidP="00574E1C">
            <w:pPr>
              <w:rPr>
                <w:rFonts w:cstheme="minorHAnsi"/>
                <w:lang w:val="en-US"/>
              </w:rPr>
            </w:pPr>
          </w:p>
          <w:p w14:paraId="2C398C3D" w14:textId="7DB2EB1C" w:rsidR="00B1163B" w:rsidRPr="00B1163B" w:rsidRDefault="00D11E4E" w:rsidP="000D033F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bookmarkStart w:id="0" w:name="_Hlk54854227"/>
            <w:r w:rsidRPr="006329D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Crisis location(s</w:t>
            </w:r>
            <w:r w:rsidRPr="00B1163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):</w:t>
            </w:r>
            <w:r w:rsidR="00A43DD1" w:rsidRPr="00B1163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B1163B" w:rsidRPr="00B1163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Three provinces of Central Vietnam: Ha </w:t>
            </w:r>
            <w:proofErr w:type="spellStart"/>
            <w:r w:rsidR="00B1163B" w:rsidRPr="00B1163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Tinh</w:t>
            </w:r>
            <w:proofErr w:type="spellEnd"/>
            <w:r w:rsidR="00B1163B" w:rsidRPr="00B1163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, Quang </w:t>
            </w:r>
            <w:proofErr w:type="spellStart"/>
            <w:r w:rsidR="00B1163B" w:rsidRPr="00B1163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Binh</w:t>
            </w:r>
            <w:proofErr w:type="spellEnd"/>
            <w:r w:rsidR="00B1163B" w:rsidRPr="00B1163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and Quang Tri.</w:t>
            </w:r>
          </w:p>
          <w:p w14:paraId="0871C239" w14:textId="5CE864D1" w:rsidR="00D11E4E" w:rsidRPr="006329D4" w:rsidRDefault="00D11E4E" w:rsidP="00D11E4E">
            <w:pPr>
              <w:rPr>
                <w:rFonts w:cstheme="minorHAnsi"/>
                <w:lang w:val="en-US"/>
              </w:rPr>
            </w:pPr>
            <w:r w:rsidRPr="006329D4">
              <w:rPr>
                <w:rFonts w:cstheme="minorHAnsi"/>
                <w:b/>
                <w:lang w:val="en-US"/>
              </w:rPr>
              <w:t>Crisis type:</w:t>
            </w:r>
            <w:r w:rsidR="00B16741" w:rsidRPr="006329D4">
              <w:rPr>
                <w:rFonts w:cstheme="minorHAnsi"/>
                <w:lang w:val="en-US"/>
              </w:rPr>
              <w:t xml:space="preserve"> </w:t>
            </w:r>
            <w:r w:rsidR="000D033F" w:rsidRPr="006329D4">
              <w:rPr>
                <w:rFonts w:cstheme="minorHAnsi"/>
                <w:lang w:val="en-US"/>
              </w:rPr>
              <w:t>Rapid onset</w:t>
            </w:r>
            <w:r w:rsidR="00F032BC" w:rsidRPr="006329D4">
              <w:rPr>
                <w:rFonts w:cstheme="minorHAnsi"/>
                <w:lang w:val="en-US"/>
              </w:rPr>
              <w:t xml:space="preserve"> humanitarian crisis</w:t>
            </w:r>
            <w:r w:rsidR="008D6912">
              <w:rPr>
                <w:rFonts w:cstheme="minorHAnsi"/>
                <w:lang w:val="en-US"/>
              </w:rPr>
              <w:t>.</w:t>
            </w:r>
          </w:p>
          <w:p w14:paraId="0F34B03E" w14:textId="77777777" w:rsidR="00D11E4E" w:rsidRPr="006329D4" w:rsidRDefault="00D11E4E" w:rsidP="00574E1C">
            <w:pPr>
              <w:rPr>
                <w:rFonts w:cstheme="minorHAnsi"/>
                <w:lang w:val="en-US"/>
              </w:rPr>
            </w:pPr>
          </w:p>
          <w:p w14:paraId="735A0274" w14:textId="60A2F698" w:rsidR="00DF494B" w:rsidRPr="00B1163B" w:rsidRDefault="00142F46" w:rsidP="00970E6D">
            <w:pPr>
              <w:rPr>
                <w:rFonts w:cstheme="minorHAnsi"/>
                <w:u w:val="single"/>
                <w:lang w:val="en-US"/>
              </w:rPr>
            </w:pPr>
            <w:r w:rsidRPr="00B1163B">
              <w:rPr>
                <w:rFonts w:cstheme="minorHAnsi"/>
                <w:b/>
                <w:u w:val="single"/>
                <w:lang w:val="en-US"/>
              </w:rPr>
              <w:t>Decision</w:t>
            </w:r>
            <w:r w:rsidR="00970E6D" w:rsidRPr="00B1163B">
              <w:rPr>
                <w:rFonts w:cstheme="minorHAnsi"/>
                <w:b/>
                <w:u w:val="single"/>
                <w:lang w:val="en-US"/>
              </w:rPr>
              <w:t xml:space="preserve">: </w:t>
            </w:r>
            <w:r w:rsidR="00DF494B" w:rsidRPr="00B1163B">
              <w:rPr>
                <w:rFonts w:cstheme="minorHAnsi"/>
                <w:u w:val="single"/>
                <w:lang w:val="en-US"/>
              </w:rPr>
              <w:t xml:space="preserve">Not to activate the DERF to respond to </w:t>
            </w:r>
            <w:r w:rsidR="008D6912" w:rsidRPr="00B1163B">
              <w:rPr>
                <w:rFonts w:cstheme="minorHAnsi"/>
                <w:u w:val="single"/>
                <w:lang w:val="en-US"/>
              </w:rPr>
              <w:t>Flood</w:t>
            </w:r>
            <w:r w:rsidR="005A7DE9" w:rsidRPr="00B1163B">
              <w:rPr>
                <w:rFonts w:cstheme="minorHAnsi"/>
                <w:u w:val="single"/>
                <w:lang w:val="en-US"/>
              </w:rPr>
              <w:t xml:space="preserve">s in </w:t>
            </w:r>
            <w:r w:rsidR="0034432A">
              <w:rPr>
                <w:rFonts w:cstheme="minorHAnsi"/>
                <w:u w:val="single"/>
                <w:lang w:val="en-US"/>
              </w:rPr>
              <w:t>Vietnam</w:t>
            </w:r>
          </w:p>
          <w:p w14:paraId="5F1D045D" w14:textId="77777777" w:rsidR="00DF494B" w:rsidRPr="006329D4" w:rsidRDefault="00DF494B" w:rsidP="00970E6D">
            <w:pPr>
              <w:rPr>
                <w:rFonts w:cstheme="minorHAnsi"/>
                <w:b/>
                <w:lang w:val="en-US"/>
              </w:rPr>
            </w:pPr>
          </w:p>
          <w:p w14:paraId="29AD56A9" w14:textId="2C79D3CE" w:rsidR="000251F2" w:rsidRDefault="00B53D23" w:rsidP="00D11E4E">
            <w:pPr>
              <w:rPr>
                <w:rFonts w:cstheme="minorHAnsi"/>
                <w:lang w:val="en-US"/>
              </w:rPr>
            </w:pPr>
            <w:r w:rsidRPr="006329D4">
              <w:rPr>
                <w:rFonts w:cstheme="minorHAnsi"/>
                <w:b/>
                <w:lang w:val="en-US"/>
              </w:rPr>
              <w:t>Reason</w:t>
            </w:r>
            <w:r w:rsidR="00142F46" w:rsidRPr="006329D4">
              <w:rPr>
                <w:rFonts w:cstheme="minorHAnsi"/>
                <w:b/>
                <w:lang w:val="en-US"/>
              </w:rPr>
              <w:t>:</w:t>
            </w:r>
          </w:p>
          <w:p w14:paraId="250FAAA1" w14:textId="7541884F" w:rsidR="001273F2" w:rsidRPr="001273F2" w:rsidRDefault="005A7DE9" w:rsidP="001273F2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There is no availability of DERF funds</w:t>
            </w:r>
            <w:r w:rsidR="009F6712">
              <w:rPr>
                <w:rFonts w:cstheme="minorHAnsi"/>
                <w:lang w:val="en-US"/>
              </w:rPr>
              <w:t xml:space="preserve"> within the year of 2020</w:t>
            </w:r>
            <w:r w:rsidR="00386626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 xml:space="preserve"> With </w:t>
            </w:r>
            <w:r w:rsidR="00B1163B">
              <w:rPr>
                <w:rFonts w:cstheme="minorHAnsi"/>
                <w:lang w:val="en-US"/>
              </w:rPr>
              <w:t>an</w:t>
            </w:r>
            <w:r>
              <w:rPr>
                <w:rFonts w:cstheme="minorHAnsi"/>
                <w:lang w:val="en-US"/>
              </w:rPr>
              <w:t xml:space="preserve"> open </w:t>
            </w:r>
            <w:r w:rsidR="00B1163B">
              <w:rPr>
                <w:rFonts w:cstheme="minorHAnsi"/>
                <w:lang w:val="en-US"/>
              </w:rPr>
              <w:t xml:space="preserve">call </w:t>
            </w:r>
            <w:r>
              <w:rPr>
                <w:rFonts w:cstheme="minorHAnsi"/>
                <w:lang w:val="en-US"/>
              </w:rPr>
              <w:t>at the time of decision (</w:t>
            </w:r>
            <w:r w:rsidR="00B1163B">
              <w:rPr>
                <w:rFonts w:cstheme="minorHAnsi"/>
                <w:lang w:val="en-US"/>
              </w:rPr>
              <w:t>Conflict in Mozambique</w:t>
            </w:r>
            <w:r>
              <w:rPr>
                <w:rFonts w:cstheme="minorHAnsi"/>
                <w:lang w:val="en-US"/>
              </w:rPr>
              <w:t xml:space="preserve">), all funds available in the DERF are </w:t>
            </w:r>
            <w:r w:rsidR="009F6712">
              <w:rPr>
                <w:rFonts w:cstheme="minorHAnsi"/>
                <w:lang w:val="en-US"/>
              </w:rPr>
              <w:t xml:space="preserve">estimated </w:t>
            </w:r>
            <w:r w:rsidR="00B26A3C">
              <w:rPr>
                <w:rFonts w:cstheme="minorHAnsi"/>
                <w:lang w:val="en-US"/>
              </w:rPr>
              <w:t xml:space="preserve">to be </w:t>
            </w:r>
            <w:r>
              <w:rPr>
                <w:rFonts w:cstheme="minorHAnsi"/>
                <w:lang w:val="en-US"/>
              </w:rPr>
              <w:t>allocated</w:t>
            </w:r>
            <w:r w:rsidR="00B1163B">
              <w:rPr>
                <w:rFonts w:cstheme="minorHAnsi"/>
                <w:lang w:val="en-US"/>
              </w:rPr>
              <w:t xml:space="preserve"> there</w:t>
            </w:r>
            <w:r w:rsidR="00B26A3C">
              <w:rPr>
                <w:rFonts w:cstheme="minorHAnsi"/>
                <w:lang w:val="en-US"/>
              </w:rPr>
              <w:t>.</w:t>
            </w:r>
          </w:p>
          <w:p w14:paraId="7AE01501" w14:textId="77777777" w:rsidR="000251F2" w:rsidRPr="00112774" w:rsidRDefault="000251F2" w:rsidP="00D11E4E">
            <w:pPr>
              <w:rPr>
                <w:lang w:val="en-US"/>
              </w:rPr>
            </w:pPr>
          </w:p>
          <w:p w14:paraId="4B49DB90" w14:textId="77777777" w:rsidR="006329D4" w:rsidRDefault="00E42343" w:rsidP="006329D4">
            <w:pPr>
              <w:rPr>
                <w:lang w:val="en-US"/>
              </w:rPr>
            </w:pPr>
            <w:r w:rsidRPr="00112774">
              <w:rPr>
                <w:b/>
                <w:lang w:val="en-US"/>
              </w:rPr>
              <w:t>Assessment:</w:t>
            </w:r>
            <w:r w:rsidRPr="00112774">
              <w:rPr>
                <w:lang w:val="en-US"/>
              </w:rPr>
              <w:t xml:space="preserve"> </w:t>
            </w:r>
          </w:p>
          <w:p w14:paraId="3A8E6478" w14:textId="77026276" w:rsidR="00B2020F" w:rsidRPr="0034432A" w:rsidRDefault="008D4257" w:rsidP="00B2020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It is assessed that there is an eligible crisis. </w:t>
            </w:r>
            <w:r w:rsidR="00B2020F" w:rsidRPr="0034432A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Since 6</w:t>
            </w:r>
            <w:r w:rsidR="00B2020F" w:rsidRPr="0034432A">
              <w:rPr>
                <w:rFonts w:asciiTheme="minorHAnsi" w:eastAsia="Arial" w:hAnsiTheme="minorHAnsi"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="00B2020F" w:rsidRPr="0034432A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October, Central Vietnam has been hit by </w:t>
            </w:r>
            <w:r w:rsidR="0034432A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several </w:t>
            </w:r>
            <w:r w:rsidR="00B2020F" w:rsidRPr="0034432A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heavy storms.</w:t>
            </w:r>
            <w:r w:rsidR="0034432A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2020F" w:rsidRPr="0034432A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1.3 mil people are affected by the storms, </w:t>
            </w:r>
            <w:r w:rsidR="00B1163B" w:rsidRPr="0034432A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46,785 households have been flooded.</w:t>
            </w:r>
            <w:r w:rsidR="00B2020F" w:rsidRPr="0034432A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206,755 people have been evacuated to temporary shelters. </w:t>
            </w:r>
            <w:r w:rsidR="005C388A" w:rsidRPr="0034432A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111 people have lost their lives, 22 people are still reported missing. </w:t>
            </w:r>
          </w:p>
          <w:p w14:paraId="25C320E9" w14:textId="0BD30A56" w:rsidR="00B1163B" w:rsidRPr="0034432A" w:rsidRDefault="005C388A" w:rsidP="00B1163B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Identified needs include shelter (household repair kits), food and seeds, WASH (water, water filters</w:t>
            </w:r>
            <w:r w:rsidR="00E223F9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,</w:t>
            </w:r>
            <w:r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and family hygiene kits), as well as cash for food and non-food items (blankets, mosquito nets, household items). </w:t>
            </w:r>
          </w:p>
          <w:p w14:paraId="4AAB9E52" w14:textId="31BD8458" w:rsidR="00B1163B" w:rsidRPr="0034432A" w:rsidRDefault="00B2020F" w:rsidP="00B1163B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34432A">
              <w:rPr>
                <w:rFonts w:asciiTheme="minorHAnsi" w:hAnsiTheme="minorHAnsi" w:cstheme="minorHAnsi"/>
                <w:sz w:val="22"/>
                <w:szCs w:val="22"/>
                <w:lang w:val="vi-VN"/>
              </w:rPr>
              <w:t xml:space="preserve">the Central Committee </w:t>
            </w:r>
            <w:r w:rsidRPr="003443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for Natural Disaster Prevention and Control (CCNDPC) has </w:t>
            </w:r>
            <w:r w:rsidRPr="0034432A">
              <w:rPr>
                <w:rFonts w:asciiTheme="minorHAnsi" w:hAnsiTheme="minorHAnsi" w:cstheme="minorHAnsi"/>
                <w:sz w:val="22"/>
                <w:szCs w:val="22"/>
                <w:lang w:val="vi-VN"/>
              </w:rPr>
              <w:t xml:space="preserve">sent missions to the affected provinces (Quang Binh, Quang Tri, Thua Thien Hue, Da Nang, and Quang Ngai) to provide </w:t>
            </w:r>
            <w:r w:rsidRPr="003443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support and </w:t>
            </w:r>
            <w:r w:rsidRPr="0034432A">
              <w:rPr>
                <w:rFonts w:asciiTheme="minorHAnsi" w:hAnsiTheme="minorHAnsi" w:cstheme="minorHAnsi"/>
                <w:sz w:val="22"/>
                <w:szCs w:val="22"/>
                <w:lang w:val="vi-VN"/>
              </w:rPr>
              <w:t>concrete guidance</w:t>
            </w:r>
            <w:r w:rsidRPr="003443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="003443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On 21.10.2020 The Peoples Aid Coordination Committee (PACCOM) has send out an appeal to international NGOs to assist the affected people with recovery of their livelihoods. </w:t>
            </w:r>
          </w:p>
          <w:p w14:paraId="2D9F6559" w14:textId="78391396" w:rsidR="00B1163B" w:rsidRDefault="005C388A" w:rsidP="00B1163B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The situation is expected to continue as another storm is approaching central Vietnam. Additional people </w:t>
            </w:r>
            <w:r w:rsidR="00E223F9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are in the process of been</w:t>
            </w:r>
            <w:r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eva</w:t>
            </w:r>
            <w:r w:rsidR="00E223F9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c</w:t>
            </w:r>
            <w:r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uat</w:t>
            </w:r>
            <w:r w:rsidR="00E223F9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ed</w:t>
            </w:r>
            <w:r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. </w:t>
            </w:r>
          </w:p>
          <w:p w14:paraId="724A5CE0" w14:textId="77777777" w:rsidR="0034432A" w:rsidRPr="0034432A" w:rsidRDefault="0034432A" w:rsidP="00B1163B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14"/>
                <w:szCs w:val="14"/>
                <w:lang w:val="en-US"/>
              </w:rPr>
            </w:pPr>
            <w:bookmarkStart w:id="1" w:name="_GoBack"/>
            <w:bookmarkEnd w:id="1"/>
          </w:p>
          <w:p w14:paraId="494A57C2" w14:textId="4B7797FA" w:rsidR="00975B6A" w:rsidRPr="00B26A3C" w:rsidRDefault="008A03CD" w:rsidP="00B1163B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With the above assessment</w:t>
            </w:r>
            <w:r w:rsidR="00B7532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,</w:t>
            </w:r>
            <w:r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it is </w:t>
            </w:r>
            <w:r w:rsidR="004C356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likely</w:t>
            </w:r>
            <w:r w:rsidR="004C3566"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</w:t>
            </w:r>
            <w:r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that the DERF would have activated a call if funds had been available.</w:t>
            </w:r>
            <w:r w:rsidR="00975B6A"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</w:t>
            </w:r>
            <w:r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Unfortunately, this alert comes at a time where the DERF has </w:t>
            </w:r>
            <w:r w:rsidR="0062617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allocated</w:t>
            </w:r>
            <w:r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remaining funds</w:t>
            </w:r>
            <w:r w:rsidR="003A3098"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</w:t>
            </w:r>
            <w:r w:rsidR="00E223F9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for the</w:t>
            </w:r>
            <w:r w:rsidR="003A3098"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</w:t>
            </w:r>
            <w:r w:rsidR="00B1163B"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already opened call about Conflict in Mozambique</w:t>
            </w:r>
            <w:r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. Therefore, the DERF has </w:t>
            </w:r>
            <w:r w:rsidR="003E5AA6"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been necessitated to </w:t>
            </w:r>
            <w:r w:rsidR="003A3098"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decide</w:t>
            </w:r>
            <w:r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not to activ</w:t>
            </w:r>
            <w:r w:rsidR="003E5AA6"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at</w:t>
            </w:r>
            <w:r w:rsidR="001614E0"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e</w:t>
            </w:r>
            <w:r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the DERF to respond to the floods in </w:t>
            </w:r>
            <w:r w:rsidR="00B1163B"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Vietnam</w:t>
            </w:r>
            <w:r w:rsidRPr="0034432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</w:t>
            </w:r>
            <w:bookmarkEnd w:id="0"/>
          </w:p>
        </w:tc>
      </w:tr>
    </w:tbl>
    <w:p w14:paraId="0B5384D0" w14:textId="77777777" w:rsidR="00C33388" w:rsidRPr="008A03CD" w:rsidRDefault="00C33388" w:rsidP="008A03CD">
      <w:pPr>
        <w:spacing w:after="0"/>
        <w:rPr>
          <w:sz w:val="14"/>
          <w:szCs w:val="14"/>
          <w:lang w:val="en-US"/>
        </w:rPr>
      </w:pPr>
    </w:p>
    <w:sectPr w:rsidR="00C33388" w:rsidRPr="008A03CD" w:rsidSect="008A03CD">
      <w:pgSz w:w="16838" w:h="11906" w:orient="landscape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8CD"/>
    <w:multiLevelType w:val="hybridMultilevel"/>
    <w:tmpl w:val="F0CE9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452B"/>
    <w:multiLevelType w:val="hybridMultilevel"/>
    <w:tmpl w:val="9C48E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E4B15"/>
    <w:multiLevelType w:val="hybridMultilevel"/>
    <w:tmpl w:val="3A2657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72D80"/>
    <w:multiLevelType w:val="hybridMultilevel"/>
    <w:tmpl w:val="C6AC2D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6742B"/>
    <w:multiLevelType w:val="hybridMultilevel"/>
    <w:tmpl w:val="AB36BC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263BC"/>
    <w:multiLevelType w:val="hybridMultilevel"/>
    <w:tmpl w:val="DAA209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B6578"/>
    <w:multiLevelType w:val="hybridMultilevel"/>
    <w:tmpl w:val="052CA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C08"/>
    <w:rsid w:val="000246E0"/>
    <w:rsid w:val="000251F2"/>
    <w:rsid w:val="0004662A"/>
    <w:rsid w:val="000A664E"/>
    <w:rsid w:val="000C30F7"/>
    <w:rsid w:val="000D033F"/>
    <w:rsid w:val="000D2E9C"/>
    <w:rsid w:val="00112774"/>
    <w:rsid w:val="001273F2"/>
    <w:rsid w:val="00142F46"/>
    <w:rsid w:val="001614E0"/>
    <w:rsid w:val="001D247B"/>
    <w:rsid w:val="001E798B"/>
    <w:rsid w:val="001F3095"/>
    <w:rsid w:val="00222838"/>
    <w:rsid w:val="00263922"/>
    <w:rsid w:val="002909EC"/>
    <w:rsid w:val="002B36C7"/>
    <w:rsid w:val="002B3E3C"/>
    <w:rsid w:val="002E164F"/>
    <w:rsid w:val="002E3C82"/>
    <w:rsid w:val="003371A0"/>
    <w:rsid w:val="0034432A"/>
    <w:rsid w:val="00382193"/>
    <w:rsid w:val="00386626"/>
    <w:rsid w:val="003A3098"/>
    <w:rsid w:val="003D73F3"/>
    <w:rsid w:val="003E5AA6"/>
    <w:rsid w:val="003F1A43"/>
    <w:rsid w:val="004533FC"/>
    <w:rsid w:val="00465581"/>
    <w:rsid w:val="004B1B1A"/>
    <w:rsid w:val="004B4A1F"/>
    <w:rsid w:val="004C3566"/>
    <w:rsid w:val="005229EC"/>
    <w:rsid w:val="0056533E"/>
    <w:rsid w:val="00574E1C"/>
    <w:rsid w:val="005A4F5C"/>
    <w:rsid w:val="005A7DE9"/>
    <w:rsid w:val="005B01F0"/>
    <w:rsid w:val="005B2FBD"/>
    <w:rsid w:val="005C388A"/>
    <w:rsid w:val="005D1561"/>
    <w:rsid w:val="00603203"/>
    <w:rsid w:val="00626170"/>
    <w:rsid w:val="006329D4"/>
    <w:rsid w:val="00640387"/>
    <w:rsid w:val="006475C1"/>
    <w:rsid w:val="006539DE"/>
    <w:rsid w:val="00656B41"/>
    <w:rsid w:val="00667220"/>
    <w:rsid w:val="00691C14"/>
    <w:rsid w:val="006D3257"/>
    <w:rsid w:val="006F042E"/>
    <w:rsid w:val="00703850"/>
    <w:rsid w:val="00732C0B"/>
    <w:rsid w:val="007401DE"/>
    <w:rsid w:val="00765FE1"/>
    <w:rsid w:val="007800C7"/>
    <w:rsid w:val="007857FD"/>
    <w:rsid w:val="007F6DA3"/>
    <w:rsid w:val="00817337"/>
    <w:rsid w:val="008337EE"/>
    <w:rsid w:val="008353F8"/>
    <w:rsid w:val="008635A7"/>
    <w:rsid w:val="00883558"/>
    <w:rsid w:val="00883BB8"/>
    <w:rsid w:val="008A03CD"/>
    <w:rsid w:val="008B2292"/>
    <w:rsid w:val="008B2607"/>
    <w:rsid w:val="008C7706"/>
    <w:rsid w:val="008D4257"/>
    <w:rsid w:val="008D6912"/>
    <w:rsid w:val="008F0BC2"/>
    <w:rsid w:val="008F774F"/>
    <w:rsid w:val="00904DE3"/>
    <w:rsid w:val="009236A9"/>
    <w:rsid w:val="009430D3"/>
    <w:rsid w:val="009601D1"/>
    <w:rsid w:val="00970E6D"/>
    <w:rsid w:val="00971F2D"/>
    <w:rsid w:val="00974B78"/>
    <w:rsid w:val="00975B6A"/>
    <w:rsid w:val="00980426"/>
    <w:rsid w:val="009A0B50"/>
    <w:rsid w:val="009A3763"/>
    <w:rsid w:val="009F6712"/>
    <w:rsid w:val="00A10FB7"/>
    <w:rsid w:val="00A34E60"/>
    <w:rsid w:val="00A43DD1"/>
    <w:rsid w:val="00A95021"/>
    <w:rsid w:val="00AE0C08"/>
    <w:rsid w:val="00AE13C5"/>
    <w:rsid w:val="00AF4FFD"/>
    <w:rsid w:val="00AF5658"/>
    <w:rsid w:val="00B0327C"/>
    <w:rsid w:val="00B1163B"/>
    <w:rsid w:val="00B16741"/>
    <w:rsid w:val="00B2020F"/>
    <w:rsid w:val="00B26A3C"/>
    <w:rsid w:val="00B3205A"/>
    <w:rsid w:val="00B37278"/>
    <w:rsid w:val="00B53D23"/>
    <w:rsid w:val="00B75326"/>
    <w:rsid w:val="00BB3B30"/>
    <w:rsid w:val="00BD01EA"/>
    <w:rsid w:val="00BD2687"/>
    <w:rsid w:val="00BF5FD2"/>
    <w:rsid w:val="00C178F2"/>
    <w:rsid w:val="00C33388"/>
    <w:rsid w:val="00C35051"/>
    <w:rsid w:val="00C56B4A"/>
    <w:rsid w:val="00C93494"/>
    <w:rsid w:val="00CB23E9"/>
    <w:rsid w:val="00CC179D"/>
    <w:rsid w:val="00CF7CC6"/>
    <w:rsid w:val="00D02257"/>
    <w:rsid w:val="00D02AC0"/>
    <w:rsid w:val="00D11E4E"/>
    <w:rsid w:val="00D5106F"/>
    <w:rsid w:val="00D758CA"/>
    <w:rsid w:val="00D95245"/>
    <w:rsid w:val="00DB25F5"/>
    <w:rsid w:val="00DC5580"/>
    <w:rsid w:val="00DC6EE5"/>
    <w:rsid w:val="00DF494B"/>
    <w:rsid w:val="00E223F9"/>
    <w:rsid w:val="00E36FD3"/>
    <w:rsid w:val="00E42343"/>
    <w:rsid w:val="00E80C97"/>
    <w:rsid w:val="00E90D13"/>
    <w:rsid w:val="00E91AC9"/>
    <w:rsid w:val="00EB1559"/>
    <w:rsid w:val="00EC6FD1"/>
    <w:rsid w:val="00F00C2B"/>
    <w:rsid w:val="00F01C57"/>
    <w:rsid w:val="00F032BC"/>
    <w:rsid w:val="00F165E3"/>
    <w:rsid w:val="00F64DF7"/>
    <w:rsid w:val="00F72583"/>
    <w:rsid w:val="00F8191E"/>
    <w:rsid w:val="00FA46B1"/>
    <w:rsid w:val="00FA7D7C"/>
    <w:rsid w:val="00FE1FEE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42F8"/>
  <w15:docId w15:val="{1A2D6393-B376-4331-B25C-749411D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C08"/>
  </w:style>
  <w:style w:type="paragraph" w:styleId="Overskrift1">
    <w:name w:val="heading 1"/>
    <w:basedOn w:val="Normal"/>
    <w:link w:val="Overskrift1Tegn"/>
    <w:uiPriority w:val="9"/>
    <w:qFormat/>
    <w:rsid w:val="00943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9430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E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E0C08"/>
    <w:pPr>
      <w:ind w:left="720"/>
      <w:contextualSpacing/>
    </w:pPr>
  </w:style>
  <w:style w:type="paragraph" w:customStyle="1" w:styleId="Default">
    <w:name w:val="Default"/>
    <w:rsid w:val="00AE0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401DE"/>
    <w:pPr>
      <w:spacing w:after="0" w:line="240" w:lineRule="auto"/>
    </w:pPr>
    <w:rPr>
      <w:rFonts w:ascii="Consolas" w:hAnsi="Consolas" w:cs="Consolas"/>
      <w:sz w:val="21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01DE"/>
    <w:rPr>
      <w:rFonts w:ascii="Consolas" w:hAnsi="Consolas" w:cs="Consolas"/>
      <w:sz w:val="21"/>
      <w:szCs w:val="21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1E798B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430D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30D3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release-type">
    <w:name w:val="release-type"/>
    <w:basedOn w:val="Standardskrifttypeiafsnit"/>
    <w:rsid w:val="009430D3"/>
  </w:style>
  <w:style w:type="character" w:customStyle="1" w:styleId="material-date">
    <w:name w:val="material-date"/>
    <w:basedOn w:val="Standardskrifttypeiafsnit"/>
    <w:rsid w:val="009430D3"/>
  </w:style>
  <w:style w:type="character" w:customStyle="1" w:styleId="material-time">
    <w:name w:val="material-time"/>
    <w:basedOn w:val="Standardskrifttypeiafsnit"/>
    <w:rsid w:val="009430D3"/>
  </w:style>
  <w:style w:type="character" w:customStyle="1" w:styleId="material-timezone">
    <w:name w:val="material-timezone"/>
    <w:basedOn w:val="Standardskrifttypeiafsnit"/>
    <w:rsid w:val="009430D3"/>
  </w:style>
  <w:style w:type="paragraph" w:styleId="NormalWeb">
    <w:name w:val="Normal (Web)"/>
    <w:basedOn w:val="Normal"/>
    <w:uiPriority w:val="99"/>
    <w:unhideWhenUsed/>
    <w:rsid w:val="0094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912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E5AA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E5AA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E5AA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E5AA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5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sia</dc:creator>
  <cp:lastModifiedBy>Christoph Lodemann</cp:lastModifiedBy>
  <cp:revision>8</cp:revision>
  <cp:lastPrinted>2019-05-13T10:59:00Z</cp:lastPrinted>
  <dcterms:created xsi:type="dcterms:W3CDTF">2020-10-01T11:53:00Z</dcterms:created>
  <dcterms:modified xsi:type="dcterms:W3CDTF">2020-10-29T09:03:00Z</dcterms:modified>
</cp:coreProperties>
</file>