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73" w:rsidRDefault="006E4873" w:rsidP="006E4873"/>
    <w:p w:rsidR="006E4873" w:rsidRDefault="006E4873" w:rsidP="006E4873">
      <w:pPr>
        <w:pStyle w:val="Kopfzeile"/>
        <w:jc w:val="center"/>
        <w:rPr>
          <w:rFonts w:ascii="Swis721 Cn BT" w:hAnsi="Swis721 Cn BT" w:cs="Arial"/>
          <w:b/>
          <w:sz w:val="28"/>
          <w:szCs w:val="28"/>
        </w:rPr>
      </w:pPr>
      <w:r>
        <w:rPr>
          <w:rFonts w:ascii="Swis721 Cn BT" w:hAnsi="Swis721 Cn BT" w:cs="Arial"/>
          <w:b/>
          <w:sz w:val="28"/>
          <w:szCs w:val="28"/>
        </w:rPr>
        <w:t>Rechtsanwälte</w:t>
      </w:r>
    </w:p>
    <w:p w:rsidR="006E4873" w:rsidRDefault="006E4873" w:rsidP="006E4873">
      <w:pPr>
        <w:pStyle w:val="Kopfzeile"/>
        <w:jc w:val="center"/>
        <w:rPr>
          <w:rFonts w:ascii="Swis721 Cn BT" w:hAnsi="Swis721 Cn BT" w:cs="Arial"/>
          <w:b/>
          <w:sz w:val="28"/>
          <w:szCs w:val="28"/>
        </w:rPr>
      </w:pPr>
      <w:r>
        <w:rPr>
          <w:rFonts w:ascii="Swis721 Cn BT" w:hAnsi="Swis721 Cn BT" w:cs="Arial"/>
          <w:b/>
          <w:sz w:val="28"/>
          <w:szCs w:val="28"/>
        </w:rPr>
        <w:t>Aslanidis, Kress &amp; Häcker-Hollmann</w:t>
      </w:r>
    </w:p>
    <w:p w:rsidR="006E4873" w:rsidRDefault="006E4873" w:rsidP="006E4873">
      <w:pPr>
        <w:pStyle w:val="Kopfzeile"/>
        <w:tabs>
          <w:tab w:val="clear" w:pos="9072"/>
          <w:tab w:val="left" w:pos="7230"/>
          <w:tab w:val="right" w:pos="9356"/>
        </w:tabs>
        <w:jc w:val="center"/>
        <w:rPr>
          <w:rFonts w:ascii="Swis721 Cn BT" w:hAnsi="Swis721 Cn BT" w:cs="Arial"/>
          <w:sz w:val="18"/>
          <w:szCs w:val="18"/>
        </w:rPr>
      </w:pPr>
      <w:r>
        <w:rPr>
          <w:rFonts w:ascii="Swis721 Cn BT" w:hAnsi="Swis721 Cn BT" w:cs="Arial"/>
          <w:sz w:val="18"/>
          <w:szCs w:val="18"/>
        </w:rPr>
        <w:t>Partnerschaftsgesellschaft  mbB</w:t>
      </w:r>
    </w:p>
    <w:p w:rsidR="006E4873" w:rsidRDefault="006E4873" w:rsidP="006E4873">
      <w:pPr>
        <w:pStyle w:val="Kopfzeile"/>
        <w:tabs>
          <w:tab w:val="clear" w:pos="9072"/>
          <w:tab w:val="left" w:pos="7655"/>
          <w:tab w:val="right" w:pos="9356"/>
          <w:tab w:val="right" w:pos="11482"/>
          <w:tab w:val="left" w:pos="11766"/>
          <w:tab w:val="left" w:pos="12474"/>
        </w:tabs>
        <w:rPr>
          <w:rFonts w:ascii="Swis721 Cn BT" w:hAnsi="Swis721 Cn BT" w:cs="Arial"/>
          <w:sz w:val="16"/>
          <w:szCs w:val="16"/>
        </w:rPr>
      </w:pP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sz w:val="16"/>
          <w:szCs w:val="16"/>
        </w:rPr>
        <w:tab/>
        <w:t xml:space="preserve">Telefon 0711 / 93 08 11 </w:t>
      </w:r>
    </w:p>
    <w:p w:rsidR="006E4873" w:rsidRDefault="006E4873" w:rsidP="006E4873">
      <w:pPr>
        <w:pStyle w:val="Kopfzeile"/>
        <w:tabs>
          <w:tab w:val="clear" w:pos="9072"/>
          <w:tab w:val="left" w:pos="7655"/>
          <w:tab w:val="right" w:pos="9356"/>
          <w:tab w:val="right" w:pos="11482"/>
          <w:tab w:val="left" w:pos="13041"/>
        </w:tabs>
        <w:rPr>
          <w:rFonts w:ascii="Swis721 Cn BT" w:hAnsi="Swis721 Cn BT" w:cs="Arial"/>
          <w:sz w:val="16"/>
          <w:szCs w:val="16"/>
        </w:rPr>
      </w:pP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sz w:val="16"/>
          <w:szCs w:val="16"/>
        </w:rPr>
        <w:tab/>
        <w:t>Telefax 0711 / 36 84 38</w:t>
      </w:r>
    </w:p>
    <w:p w:rsidR="006E4873" w:rsidRDefault="006E4873" w:rsidP="006E4873">
      <w:pPr>
        <w:pStyle w:val="Kopfzeile"/>
        <w:tabs>
          <w:tab w:val="clear" w:pos="9072"/>
          <w:tab w:val="left" w:pos="7655"/>
          <w:tab w:val="right" w:pos="9356"/>
          <w:tab w:val="right" w:pos="11482"/>
          <w:tab w:val="left" w:pos="13041"/>
        </w:tabs>
        <w:rPr>
          <w:rFonts w:ascii="Swis721 Cn BT" w:hAnsi="Swis721 Cn BT" w:cs="Arial"/>
          <w:szCs w:val="24"/>
        </w:rPr>
      </w:pPr>
      <w:r>
        <w:rPr>
          <w:rFonts w:ascii="Swis721 Cn BT" w:hAnsi="Swis721 Cn BT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wis721 Cn BT" w:hAnsi="Swis721 Cn BT" w:cs="Arial"/>
          <w:sz w:val="16"/>
          <w:szCs w:val="16"/>
        </w:rPr>
        <w:br/>
      </w: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b/>
          <w:color w:val="FF9900"/>
          <w:szCs w:val="24"/>
        </w:rPr>
        <w:t>www.akh-h.de</w:t>
      </w:r>
    </w:p>
    <w:p w:rsidR="006E4873" w:rsidRDefault="006E4873" w:rsidP="006E4873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110490</wp:posOffset>
                </wp:positionV>
                <wp:extent cx="2857500" cy="1371600"/>
                <wp:effectExtent l="0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873" w:rsidRDefault="006E4873" w:rsidP="006E48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7.5pt;margin-top:8.7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" filled="f" stroked="f">
                <v:textbox>
                  <w:txbxContent>
                    <w:p w:rsidR="006E4873" w:rsidRDefault="006E4873" w:rsidP="006E487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4873" w:rsidRDefault="006E4873" w:rsidP="006E4873">
      <w:pPr>
        <w:rPr>
          <w:sz w:val="40"/>
          <w:szCs w:val="40"/>
        </w:rPr>
      </w:pPr>
    </w:p>
    <w:p w:rsidR="006E4873" w:rsidRDefault="006E4873" w:rsidP="006E4873">
      <w:pPr>
        <w:rPr>
          <w:sz w:val="40"/>
          <w:szCs w:val="40"/>
        </w:rPr>
      </w:pPr>
      <w:r>
        <w:rPr>
          <w:sz w:val="40"/>
          <w:szCs w:val="40"/>
        </w:rPr>
        <w:t>Pressemitteilung</w:t>
      </w:r>
    </w:p>
    <w:p w:rsidR="006E4873" w:rsidRDefault="006E4873" w:rsidP="006E4873"/>
    <w:p w:rsidR="006E4873" w:rsidRDefault="006E4873" w:rsidP="006E4873">
      <w:r>
        <w:t xml:space="preserve">vom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0F6848">
        <w:rPr>
          <w:noProof/>
        </w:rPr>
        <w:t>25.04.2016</w:t>
      </w:r>
      <w:r>
        <w:fldChar w:fldCharType="end"/>
      </w:r>
    </w:p>
    <w:p w:rsidR="006E4873" w:rsidRDefault="006E4873" w:rsidP="006E4873"/>
    <w:p w:rsidR="006E4873" w:rsidRDefault="006E4873" w:rsidP="006E4873">
      <w:pPr>
        <w:rPr>
          <w:sz w:val="28"/>
          <w:szCs w:val="28"/>
        </w:rPr>
      </w:pPr>
    </w:p>
    <w:p w:rsidR="006E4873" w:rsidRDefault="000F6848" w:rsidP="006E4873">
      <w:pPr>
        <w:rPr>
          <w:rFonts w:eastAsia="Calibri"/>
          <w:b/>
        </w:rPr>
      </w:pPr>
      <w:r>
        <w:rPr>
          <w:rFonts w:eastAsia="Calibri"/>
          <w:b/>
        </w:rPr>
        <w:t xml:space="preserve">Schiffsfonds Krise aktuell: Esslinger Kanzlei Aslanidis, Kress &amp; Häcker-Hollmann erstreitet obsiegendes Urteil gegen Deutsche Bank </w:t>
      </w:r>
    </w:p>
    <w:p w:rsidR="000F6848" w:rsidRPr="006E4873" w:rsidRDefault="000F6848" w:rsidP="006E4873">
      <w:pPr>
        <w:rPr>
          <w:rFonts w:eastAsia="Calibri"/>
        </w:rPr>
      </w:pPr>
    </w:p>
    <w:p w:rsidR="006E4873" w:rsidRPr="00FD37C2" w:rsidRDefault="006E4873" w:rsidP="006E4873">
      <w:pPr>
        <w:spacing w:after="225" w:line="300" w:lineRule="atLeast"/>
        <w:rPr>
          <w:color w:val="65686D"/>
        </w:rPr>
      </w:pPr>
      <w:r w:rsidRPr="00FD37C2">
        <w:rPr>
          <w:color w:val="65686D"/>
        </w:rPr>
        <w:t xml:space="preserve">In einem seitens der Kanzlei Aslanidis, Kress und Häcker-Hollmann für einen Anleger des </w:t>
      </w:r>
      <w:r w:rsidR="000F6848" w:rsidRPr="00FD37C2">
        <w:rPr>
          <w:color w:val="65686D"/>
        </w:rPr>
        <w:t xml:space="preserve">geschlossenen Schiffsfonds </w:t>
      </w:r>
      <w:r w:rsidR="000F6848" w:rsidRPr="00FD37C2">
        <w:rPr>
          <w:b/>
          <w:bCs/>
        </w:rPr>
        <w:t>HCI Schiffsportfolio Ocean Shipping I</w:t>
      </w:r>
      <w:r w:rsidR="000F6848" w:rsidRPr="00FD37C2">
        <w:t xml:space="preserve"> </w:t>
      </w:r>
      <w:r w:rsidR="000F6848" w:rsidRPr="00FD37C2">
        <w:t xml:space="preserve"> </w:t>
      </w:r>
      <w:r w:rsidRPr="00FD37C2">
        <w:rPr>
          <w:color w:val="65686D"/>
        </w:rPr>
        <w:t>erstrittenen Urte</w:t>
      </w:r>
      <w:r w:rsidR="000F6848" w:rsidRPr="00FD37C2">
        <w:rPr>
          <w:color w:val="65686D"/>
        </w:rPr>
        <w:t>il vom 15</w:t>
      </w:r>
      <w:r w:rsidRPr="00FD37C2">
        <w:rPr>
          <w:color w:val="65686D"/>
        </w:rPr>
        <w:t xml:space="preserve">.04.2016 hat das Landgericht Frankfurt die </w:t>
      </w:r>
      <w:r w:rsidR="000F6848" w:rsidRPr="00FD37C2">
        <w:rPr>
          <w:color w:val="65686D"/>
        </w:rPr>
        <w:t xml:space="preserve">Deutsche Bank </w:t>
      </w:r>
      <w:r w:rsidRPr="00FD37C2">
        <w:rPr>
          <w:color w:val="65686D"/>
        </w:rPr>
        <w:t>zu Schadensersatz und Rückabwicklung verurteilt.</w:t>
      </w:r>
    </w:p>
    <w:p w:rsidR="006E4873" w:rsidRPr="00FD37C2" w:rsidRDefault="000F6848" w:rsidP="000F6848">
      <w:r w:rsidRPr="00FD37C2">
        <w:rPr>
          <w:b/>
        </w:rPr>
        <w:t>Das Urteil basiert auf einer unterbliebenen Aufklärung über das Risiko der Rückzahlung von Ausschüttungen gemäß § 172 IV HGB. Der Emissionsprospekt wurde nach Überzeugung des Gerichts nicht rechtzeitig übergeben.</w:t>
      </w:r>
      <w:r>
        <w:t xml:space="preserve"> </w:t>
      </w:r>
      <w:r w:rsidR="006E4873" w:rsidRPr="00FD37C2">
        <w:rPr>
          <w:color w:val="65686D"/>
        </w:rPr>
        <w:t xml:space="preserve">Das </w:t>
      </w:r>
      <w:r w:rsidRPr="00FD37C2">
        <w:rPr>
          <w:color w:val="65686D"/>
        </w:rPr>
        <w:t xml:space="preserve">in der Anlage beigefügte </w:t>
      </w:r>
      <w:r w:rsidR="006E4873" w:rsidRPr="00FD37C2">
        <w:rPr>
          <w:color w:val="65686D"/>
        </w:rPr>
        <w:t>Urteil ist noch nicht rechtskräftig.</w:t>
      </w:r>
    </w:p>
    <w:p w:rsidR="000F6848" w:rsidRPr="00FD37C2" w:rsidRDefault="000F6848" w:rsidP="006E4873">
      <w:pPr>
        <w:spacing w:after="150" w:line="240" w:lineRule="atLeast"/>
        <w:outlineLvl w:val="2"/>
        <w:rPr>
          <w:b/>
          <w:color w:val="6A6A6A"/>
        </w:rPr>
      </w:pPr>
    </w:p>
    <w:p w:rsidR="000F6848" w:rsidRPr="00FD37C2" w:rsidRDefault="000F6848" w:rsidP="000F6848">
      <w:pPr>
        <w:spacing w:after="150" w:line="240" w:lineRule="atLeast"/>
        <w:outlineLvl w:val="2"/>
        <w:rPr>
          <w:b/>
          <w:color w:val="6A6A6A"/>
        </w:rPr>
      </w:pPr>
      <w:r w:rsidRPr="00FD37C2">
        <w:rPr>
          <w:b/>
          <w:color w:val="6A6A6A"/>
        </w:rPr>
        <w:t xml:space="preserve">Fazit: Urteil stärkt Position geschädigter </w:t>
      </w:r>
      <w:r w:rsidRPr="00FD37C2">
        <w:rPr>
          <w:b/>
          <w:color w:val="6A6A6A"/>
        </w:rPr>
        <w:t>Schiffsfonds A</w:t>
      </w:r>
      <w:r w:rsidRPr="00FD37C2">
        <w:rPr>
          <w:b/>
          <w:color w:val="6A6A6A"/>
        </w:rPr>
        <w:t>nleger</w:t>
      </w:r>
    </w:p>
    <w:p w:rsidR="006E4873" w:rsidRPr="00FD37C2" w:rsidRDefault="006E4873" w:rsidP="006E4873">
      <w:pPr>
        <w:spacing w:after="225" w:line="300" w:lineRule="atLeast"/>
        <w:rPr>
          <w:color w:val="65686D"/>
        </w:rPr>
      </w:pPr>
      <w:r w:rsidRPr="00FD37C2">
        <w:rPr>
          <w:color w:val="65686D"/>
        </w:rPr>
        <w:t xml:space="preserve">Die Entscheidung des Landgerichtes </w:t>
      </w:r>
      <w:r w:rsidR="000F6848" w:rsidRPr="00FD37C2">
        <w:rPr>
          <w:color w:val="65686D"/>
        </w:rPr>
        <w:t xml:space="preserve">Frankfurt </w:t>
      </w:r>
      <w:r w:rsidRPr="00FD37C2">
        <w:rPr>
          <w:color w:val="65686D"/>
        </w:rPr>
        <w:t xml:space="preserve">stärkt die Stellung geschädigter und fehlerhaft beratener </w:t>
      </w:r>
      <w:r w:rsidR="000F6848" w:rsidRPr="00FD37C2">
        <w:rPr>
          <w:color w:val="65686D"/>
        </w:rPr>
        <w:t xml:space="preserve">Schiffsfonds </w:t>
      </w:r>
      <w:r w:rsidRPr="00FD37C2">
        <w:rPr>
          <w:color w:val="65686D"/>
        </w:rPr>
        <w:t>Anleger. Sie zeigt erneut, dass eine erfolgreiche Geltendmachung bestehender Ansprüche gegen Banken und Sparkassen erfolgversprechend ist.</w:t>
      </w:r>
    </w:p>
    <w:p w:rsidR="006E4873" w:rsidRPr="00FD37C2" w:rsidRDefault="006E4873" w:rsidP="006E4873">
      <w:pPr>
        <w:spacing w:after="150" w:line="240" w:lineRule="atLeast"/>
        <w:outlineLvl w:val="2"/>
        <w:rPr>
          <w:color w:val="6A6A6A"/>
        </w:rPr>
      </w:pPr>
      <w:r w:rsidRPr="00FD37C2">
        <w:rPr>
          <w:color w:val="6A6A6A"/>
        </w:rPr>
        <w:t xml:space="preserve">Diese haben nun die Möglichkeit, durch ein Vorgehen gegen die vermittelnden Banken oder Sparkassen eine Rückabwicklung der riskanten Kapitalanlage durchzusetzen. </w:t>
      </w:r>
    </w:p>
    <w:p w:rsidR="006E4873" w:rsidRPr="006E4873" w:rsidRDefault="006E4873" w:rsidP="006E4873"/>
    <w:p w:rsidR="006E4873" w:rsidRPr="006E4873" w:rsidRDefault="006E4873" w:rsidP="006E4873">
      <w:r w:rsidRPr="006E4873">
        <w:t>_______________________________________________</w:t>
      </w:r>
    </w:p>
    <w:p w:rsidR="006E4873" w:rsidRPr="006E4873" w:rsidRDefault="006E4873" w:rsidP="006E4873">
      <w:pPr>
        <w:rPr>
          <w:b/>
        </w:rPr>
      </w:pPr>
      <w:r w:rsidRPr="006E4873">
        <w:rPr>
          <w:b/>
        </w:rPr>
        <w:t>Pressekontakt:</w:t>
      </w:r>
    </w:p>
    <w:p w:rsidR="006E4873" w:rsidRPr="006E4873" w:rsidRDefault="006E4873" w:rsidP="006E4873">
      <w:r w:rsidRPr="006E4873">
        <w:t xml:space="preserve">RAin Nursel Özel </w:t>
      </w:r>
    </w:p>
    <w:p w:rsidR="006E4873" w:rsidRPr="006E4873" w:rsidRDefault="006E4873" w:rsidP="006E4873">
      <w:r w:rsidRPr="006E4873">
        <w:t>RA    Andreas Frank</w:t>
      </w:r>
    </w:p>
    <w:p w:rsidR="006E4873" w:rsidRPr="006E4873" w:rsidRDefault="006E4873" w:rsidP="006E4873">
      <w:r w:rsidRPr="006E4873">
        <w:t>Rechtsanwälte</w:t>
      </w:r>
    </w:p>
    <w:p w:rsidR="006E4873" w:rsidRPr="006E4873" w:rsidRDefault="006E4873" w:rsidP="006E4873">
      <w:r w:rsidRPr="006E4873">
        <w:t>Aslanidis, Kress &amp; Häcker-Hollmann</w:t>
      </w:r>
    </w:p>
    <w:p w:rsidR="006E4873" w:rsidRPr="006E4873" w:rsidRDefault="006E4873" w:rsidP="006E4873">
      <w:r w:rsidRPr="006E4873">
        <w:t>Freihofstr. 6</w:t>
      </w:r>
    </w:p>
    <w:p w:rsidR="006E4873" w:rsidRPr="006E4873" w:rsidRDefault="006E4873" w:rsidP="006E4873">
      <w:r w:rsidRPr="006E4873">
        <w:t>73730 Esslingen</w:t>
      </w:r>
    </w:p>
    <w:p w:rsidR="006E4873" w:rsidRPr="006E4873" w:rsidRDefault="00FD37C2" w:rsidP="006E4873">
      <w:hyperlink r:id="rId5" w:history="1">
        <w:r w:rsidR="006E4873" w:rsidRPr="006E4873">
          <w:rPr>
            <w:rStyle w:val="Hyperlink"/>
          </w:rPr>
          <w:t>presse@akh-h.de</w:t>
        </w:r>
      </w:hyperlink>
      <w:r w:rsidR="006E4873" w:rsidRPr="006E4873">
        <w:t xml:space="preserve"> </w:t>
      </w:r>
    </w:p>
    <w:p w:rsidR="006E4873" w:rsidRPr="006E4873" w:rsidRDefault="006E4873" w:rsidP="006E4873"/>
    <w:p w:rsidR="006E4873" w:rsidRPr="006E4873" w:rsidRDefault="006E4873" w:rsidP="006E4873">
      <w:bookmarkStart w:id="0" w:name="_GoBack"/>
      <w:bookmarkEnd w:id="0"/>
      <w:r w:rsidRPr="006E4873">
        <w:t>Wir freuen uns über Ihre Rückmeldung, soweit Sie diese Pre</w:t>
      </w:r>
      <w:r w:rsidR="00FD37C2">
        <w:t>ssemitteilung verwenden konnten.</w:t>
      </w:r>
    </w:p>
    <w:p w:rsidR="00605916" w:rsidRPr="006E4873" w:rsidRDefault="00605916"/>
    <w:sectPr w:rsidR="00605916" w:rsidRPr="006E4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3"/>
    <w:rsid w:val="000F6848"/>
    <w:rsid w:val="00605916"/>
    <w:rsid w:val="006E4873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873"/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E4873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unhideWhenUsed/>
    <w:rsid w:val="006E487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6E4873"/>
    <w:rPr>
      <w:rFonts w:eastAsia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873"/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E4873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unhideWhenUsed/>
    <w:rsid w:val="006E487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6E4873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1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@akh-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Andreas</dc:creator>
  <cp:lastModifiedBy>Frank, Andreas</cp:lastModifiedBy>
  <cp:revision>2</cp:revision>
  <dcterms:created xsi:type="dcterms:W3CDTF">2016-04-25T11:35:00Z</dcterms:created>
  <dcterms:modified xsi:type="dcterms:W3CDTF">2016-04-25T11:35:00Z</dcterms:modified>
</cp:coreProperties>
</file>