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32" w:tblpY="1606"/>
        <w:tblW w:w="0" w:type="auto"/>
        <w:tblLook w:val="00A0" w:firstRow="1" w:lastRow="0" w:firstColumn="1" w:lastColumn="0" w:noHBand="0" w:noVBand="0"/>
      </w:tblPr>
      <w:tblGrid>
        <w:gridCol w:w="5801"/>
      </w:tblGrid>
      <w:tr w:rsidR="009E3F7C" w:rsidRPr="009E3F7C" w:rsidTr="002D78D5">
        <w:trPr>
          <w:trHeight w:val="279"/>
        </w:trPr>
        <w:tc>
          <w:tcPr>
            <w:tcW w:w="580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BA03D8" w:rsidRDefault="009E3F7C" w:rsidP="00BA03D8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2" w:name="bmBox" w:colFirst="0" w:colLast="0"/>
            <w:bookmarkEnd w:id="1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3" w:name="bmPostadress" w:colFirst="0" w:colLast="0"/>
            <w:bookmarkEnd w:id="2"/>
          </w:p>
        </w:tc>
      </w:tr>
      <w:bookmarkEnd w:id="3"/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2D78D5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5082" w:type="dxa"/>
        <w:tblLook w:val="00A0" w:firstRow="1" w:lastRow="0" w:firstColumn="1" w:lastColumn="0" w:noHBand="0" w:noVBand="0"/>
      </w:tblPr>
      <w:tblGrid>
        <w:gridCol w:w="5082"/>
      </w:tblGrid>
      <w:tr w:rsidR="00C01851" w:rsidRPr="00B22B6E" w:rsidTr="00C01851">
        <w:trPr>
          <w:trHeight w:val="255"/>
        </w:trPr>
        <w:tc>
          <w:tcPr>
            <w:tcW w:w="5082" w:type="dxa"/>
          </w:tcPr>
          <w:p w:rsidR="00C01851" w:rsidRPr="005616BC" w:rsidRDefault="0017464F" w:rsidP="00E82FBD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Göteborg den </w:t>
            </w:r>
            <w:r w:rsidR="00E82FBD">
              <w:rPr>
                <w:rFonts w:ascii="Arial" w:hAnsi="Arial" w:cs="Arial"/>
                <w:sz w:val="24"/>
                <w:szCs w:val="24"/>
              </w:rPr>
              <w:t xml:space="preserve">25 februari </w:t>
            </w:r>
            <w:r w:rsidR="008D1BF9">
              <w:rPr>
                <w:rFonts w:ascii="Arial" w:hAnsi="Arial" w:cs="Arial"/>
                <w:sz w:val="24"/>
                <w:szCs w:val="24"/>
              </w:rPr>
              <w:t>201</w:t>
            </w:r>
            <w:r w:rsidR="001E25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22B6E" w:rsidRPr="00F81166" w:rsidRDefault="007B3287" w:rsidP="0010798E">
      <w:pPr>
        <w:ind w:right="14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0"/>
          <w:lang w:eastAsia="sv-SE"/>
        </w:rPr>
        <w:drawing>
          <wp:anchor distT="0" distB="0" distL="114300" distR="114300" simplePos="0" relativeHeight="251659264" behindDoc="1" locked="0" layoutInCell="1" allowOverlap="1" wp14:anchorId="7027EFD9" wp14:editId="47294CA5">
            <wp:simplePos x="0" y="0"/>
            <wp:positionH relativeFrom="column">
              <wp:posOffset>4297680</wp:posOffset>
            </wp:positionH>
            <wp:positionV relativeFrom="paragraph">
              <wp:posOffset>48260</wp:posOffset>
            </wp:positionV>
            <wp:extent cx="1466215" cy="1990725"/>
            <wp:effectExtent l="0" t="0" r="635" b="9525"/>
            <wp:wrapTight wrapText="bothSides">
              <wp:wrapPolygon edited="0">
                <wp:start x="0" y="0"/>
                <wp:lineTo x="0" y="21497"/>
                <wp:lineTo x="21329" y="21497"/>
                <wp:lineTo x="21329" y="0"/>
                <wp:lineTo x="0" y="0"/>
              </wp:wrapPolygon>
            </wp:wrapTight>
            <wp:docPr id="1" name="Bildobjekt 0" descr="Claes1_fa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es1_farg.jpg"/>
                    <pic:cNvPicPr/>
                  </pic:nvPicPr>
                  <pic:blipFill>
                    <a:blip r:embed="rId8" cstate="print"/>
                    <a:srcRect t="4609" b="7014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020E0">
        <w:rPr>
          <w:rFonts w:ascii="Arial" w:hAnsi="Arial" w:cs="Arial"/>
          <w:b/>
          <w:sz w:val="32"/>
          <w:szCs w:val="32"/>
        </w:rPr>
        <w:t>SveaReal</w:t>
      </w:r>
      <w:proofErr w:type="spellEnd"/>
      <w:r w:rsidR="005020E0">
        <w:rPr>
          <w:rFonts w:ascii="Arial" w:hAnsi="Arial" w:cs="Arial"/>
          <w:b/>
          <w:sz w:val="32"/>
          <w:szCs w:val="32"/>
        </w:rPr>
        <w:t xml:space="preserve"> </w:t>
      </w:r>
      <w:r w:rsidR="00E82FBD">
        <w:rPr>
          <w:rFonts w:ascii="Arial" w:hAnsi="Arial" w:cs="Arial"/>
          <w:b/>
          <w:sz w:val="32"/>
          <w:szCs w:val="32"/>
        </w:rPr>
        <w:t>går bättre än någonsin!</w:t>
      </w:r>
      <w:r w:rsidRPr="007B3287">
        <w:rPr>
          <w:rFonts w:ascii="Arial" w:hAnsi="Arial" w:cs="Arial"/>
          <w:noProof/>
          <w:sz w:val="20"/>
          <w:lang w:eastAsia="sv-SE"/>
        </w:rPr>
        <w:t xml:space="preserve"> </w:t>
      </w:r>
    </w:p>
    <w:p w:rsidR="001E251C" w:rsidRPr="00F600E2" w:rsidRDefault="001E251C" w:rsidP="00DC4B74">
      <w:pPr>
        <w:rPr>
          <w:rFonts w:ascii="Arial" w:hAnsi="Arial" w:cs="Arial"/>
          <w:color w:val="000000"/>
          <w:sz w:val="24"/>
          <w:szCs w:val="24"/>
        </w:rPr>
      </w:pPr>
    </w:p>
    <w:p w:rsidR="005020E0" w:rsidRPr="007B3287" w:rsidRDefault="00E82FBD" w:rsidP="005020E0">
      <w:pPr>
        <w:rPr>
          <w:rFonts w:ascii="Arial" w:hAnsi="Arial" w:cs="Arial"/>
          <w:sz w:val="28"/>
          <w:szCs w:val="28"/>
        </w:rPr>
      </w:pPr>
      <w:r w:rsidRPr="007B3287">
        <w:rPr>
          <w:rFonts w:ascii="Arial" w:hAnsi="Arial" w:cs="Arial"/>
          <w:sz w:val="28"/>
          <w:szCs w:val="28"/>
        </w:rPr>
        <w:t xml:space="preserve">Med en ökning på </w:t>
      </w:r>
      <w:proofErr w:type="gramStart"/>
      <w:r w:rsidRPr="007B3287">
        <w:rPr>
          <w:rFonts w:ascii="Arial" w:hAnsi="Arial" w:cs="Arial"/>
          <w:sz w:val="28"/>
          <w:szCs w:val="28"/>
        </w:rPr>
        <w:t>30%</w:t>
      </w:r>
      <w:proofErr w:type="gramEnd"/>
      <w:r w:rsidRPr="007B3287">
        <w:rPr>
          <w:rFonts w:ascii="Arial" w:hAnsi="Arial" w:cs="Arial"/>
          <w:sz w:val="28"/>
          <w:szCs w:val="28"/>
        </w:rPr>
        <w:t xml:space="preserve"> sedan fjolåret, hamnar årets förvaltningsresultat på 150 MSEK (117). </w:t>
      </w:r>
      <w:r w:rsidR="007B3287">
        <w:rPr>
          <w:rFonts w:ascii="Arial" w:hAnsi="Arial" w:cs="Arial"/>
          <w:sz w:val="28"/>
          <w:szCs w:val="28"/>
        </w:rPr>
        <w:br/>
      </w:r>
      <w:r w:rsidRPr="007B3287">
        <w:rPr>
          <w:rFonts w:ascii="Arial" w:hAnsi="Arial" w:cs="Arial"/>
          <w:sz w:val="28"/>
          <w:szCs w:val="28"/>
        </w:rPr>
        <w:t>Det totala resultatet före skat</w:t>
      </w:r>
      <w:r w:rsidR="00B777EB">
        <w:rPr>
          <w:rFonts w:ascii="Arial" w:hAnsi="Arial" w:cs="Arial"/>
          <w:sz w:val="28"/>
          <w:szCs w:val="28"/>
        </w:rPr>
        <w:t>t nådde rekordnivån 236 MSEK (83</w:t>
      </w:r>
      <w:r w:rsidRPr="007B3287">
        <w:rPr>
          <w:rFonts w:ascii="Arial" w:hAnsi="Arial" w:cs="Arial"/>
          <w:sz w:val="28"/>
          <w:szCs w:val="28"/>
        </w:rPr>
        <w:t>).</w:t>
      </w:r>
    </w:p>
    <w:p w:rsidR="00EA59FC" w:rsidRPr="00723B10" w:rsidRDefault="00EA59FC" w:rsidP="005020E0">
      <w:pPr>
        <w:rPr>
          <w:rFonts w:ascii="Arial" w:hAnsi="Arial" w:cs="Arial"/>
          <w:sz w:val="24"/>
          <w:szCs w:val="24"/>
        </w:rPr>
      </w:pPr>
    </w:p>
    <w:p w:rsidR="00723B10" w:rsidRPr="009D3086" w:rsidRDefault="00007FB6" w:rsidP="00723B10">
      <w:pPr>
        <w:rPr>
          <w:rFonts w:ascii="Arial" w:hAnsi="Arial" w:cs="Arial"/>
          <w:szCs w:val="22"/>
        </w:rPr>
      </w:pPr>
      <w:proofErr w:type="gramStart"/>
      <w:r w:rsidRPr="00723B10">
        <w:rPr>
          <w:rFonts w:ascii="Arial" w:hAnsi="Arial" w:cs="Arial"/>
        </w:rPr>
        <w:t>-</w:t>
      </w:r>
      <w:proofErr w:type="gramEnd"/>
      <w:r w:rsidRPr="00723B10">
        <w:rPr>
          <w:rFonts w:ascii="Arial" w:hAnsi="Arial" w:cs="Arial"/>
        </w:rPr>
        <w:t xml:space="preserve"> </w:t>
      </w:r>
      <w:r w:rsidRPr="00723B10">
        <w:rPr>
          <w:rFonts w:ascii="Arial" w:hAnsi="Arial" w:cs="Arial"/>
          <w:i/>
        </w:rPr>
        <w:t xml:space="preserve">Det har varit ett utmanande år med tuffa förutsättningar, men jag känner mig ändå </w:t>
      </w:r>
      <w:r w:rsidR="007B3287" w:rsidRPr="00723B10">
        <w:rPr>
          <w:rFonts w:ascii="Arial" w:hAnsi="Arial" w:cs="Arial"/>
          <w:i/>
        </w:rPr>
        <w:t xml:space="preserve">nöjd och mycket </w:t>
      </w:r>
      <w:r w:rsidRPr="00723B10">
        <w:rPr>
          <w:rFonts w:ascii="Arial" w:hAnsi="Arial" w:cs="Arial"/>
          <w:i/>
        </w:rPr>
        <w:t xml:space="preserve">optimistisk inför 2014. Marknaden är positiv till vår typ av fastighetsportfölj och vi har nu en stark organisation på plats. </w:t>
      </w:r>
      <w:r w:rsidR="00691D55" w:rsidRPr="00723B10">
        <w:rPr>
          <w:rFonts w:ascii="Arial" w:hAnsi="Arial" w:cs="Arial"/>
          <w:i/>
        </w:rPr>
        <w:br/>
      </w:r>
      <w:r w:rsidR="00723B10" w:rsidRPr="00723B10">
        <w:rPr>
          <w:rFonts w:ascii="Arial" w:hAnsi="Arial" w:cs="Arial"/>
          <w:i/>
        </w:rPr>
        <w:t xml:space="preserve">Under året har vi speciellt fokus på att minska vakansgraden som uppstod i samband med </w:t>
      </w:r>
      <w:r w:rsidR="00723B10" w:rsidRPr="009D3086">
        <w:rPr>
          <w:rFonts w:ascii="Arial" w:hAnsi="Arial" w:cs="Arial"/>
          <w:i/>
          <w:szCs w:val="22"/>
        </w:rPr>
        <w:t xml:space="preserve">det omfattande fastighetsförvärvet i Kista förra året. </w:t>
      </w:r>
      <w:r w:rsidR="009D3086" w:rsidRPr="009D3086">
        <w:rPr>
          <w:rFonts w:ascii="Arial" w:hAnsi="Arial" w:cs="Arial"/>
          <w:i/>
          <w:szCs w:val="22"/>
        </w:rPr>
        <w:t xml:space="preserve">Dessutom </w:t>
      </w:r>
      <w:r w:rsidR="00627C59">
        <w:rPr>
          <w:rFonts w:ascii="Arial" w:hAnsi="Arial" w:cs="Arial"/>
          <w:i/>
          <w:szCs w:val="22"/>
        </w:rPr>
        <w:t>utvärderar vi möjligheten</w:t>
      </w:r>
      <w:r w:rsidR="009D3086" w:rsidRPr="009D3086">
        <w:rPr>
          <w:rFonts w:ascii="Arial" w:hAnsi="Arial" w:cs="Arial"/>
          <w:i/>
          <w:szCs w:val="22"/>
        </w:rPr>
        <w:t xml:space="preserve"> för en ägarspridning och notering av aktie</w:t>
      </w:r>
      <w:r w:rsidR="00627C59">
        <w:rPr>
          <w:rFonts w:ascii="Arial" w:hAnsi="Arial" w:cs="Arial"/>
          <w:i/>
          <w:szCs w:val="22"/>
        </w:rPr>
        <w:t>n</w:t>
      </w:r>
      <w:r w:rsidR="009D3086" w:rsidRPr="009D3086">
        <w:rPr>
          <w:rFonts w:ascii="Arial" w:hAnsi="Arial" w:cs="Arial"/>
          <w:i/>
          <w:szCs w:val="22"/>
        </w:rPr>
        <w:t xml:space="preserve"> på </w:t>
      </w:r>
      <w:r w:rsidR="00627C59">
        <w:rPr>
          <w:rFonts w:ascii="Arial" w:hAnsi="Arial" w:cs="Arial"/>
          <w:i/>
          <w:szCs w:val="22"/>
        </w:rPr>
        <w:t>Stockholmsbörsen</w:t>
      </w:r>
      <w:r w:rsidR="009D3086" w:rsidRPr="009D3086">
        <w:rPr>
          <w:rFonts w:ascii="Arial" w:hAnsi="Arial" w:cs="Arial"/>
          <w:i/>
          <w:szCs w:val="22"/>
        </w:rPr>
        <w:t xml:space="preserve"> under 2014</w:t>
      </w:r>
      <w:r w:rsidR="00723B10" w:rsidRPr="009D3086">
        <w:rPr>
          <w:rFonts w:ascii="Arial" w:hAnsi="Arial" w:cs="Arial"/>
          <w:i/>
          <w:szCs w:val="22"/>
        </w:rPr>
        <w:t xml:space="preserve">, </w:t>
      </w:r>
      <w:r w:rsidR="00723B10" w:rsidRPr="009D3086">
        <w:rPr>
          <w:rFonts w:ascii="Arial" w:hAnsi="Arial" w:cs="Arial"/>
          <w:szCs w:val="22"/>
        </w:rPr>
        <w:t>kommenterar en förväntansfull VD Claes Malmkvist</w:t>
      </w:r>
      <w:r w:rsidR="00723B10" w:rsidRPr="009D3086">
        <w:rPr>
          <w:rFonts w:ascii="Arial" w:hAnsi="Arial" w:cs="Arial"/>
          <w:i/>
          <w:szCs w:val="22"/>
        </w:rPr>
        <w:t>.</w:t>
      </w:r>
    </w:p>
    <w:p w:rsidR="005020E0" w:rsidRPr="00723B10" w:rsidRDefault="005020E0" w:rsidP="005020E0">
      <w:pPr>
        <w:pStyle w:val="Default"/>
        <w:rPr>
          <w:lang w:val="sv-SE"/>
        </w:rPr>
      </w:pPr>
    </w:p>
    <w:p w:rsidR="00691D55" w:rsidRPr="00723B10" w:rsidRDefault="00691D55" w:rsidP="007B3287">
      <w:pPr>
        <w:pStyle w:val="Default"/>
        <w:rPr>
          <w:b/>
          <w:sz w:val="20"/>
          <w:szCs w:val="20"/>
          <w:lang w:val="sv-SE"/>
        </w:rPr>
      </w:pPr>
      <w:r w:rsidRPr="00723B10">
        <w:rPr>
          <w:b/>
          <w:sz w:val="20"/>
          <w:szCs w:val="20"/>
          <w:lang w:val="sv-SE"/>
        </w:rPr>
        <w:t>Å</w:t>
      </w:r>
      <w:bookmarkStart w:id="4" w:name="_GoBack"/>
      <w:bookmarkEnd w:id="4"/>
      <w:r w:rsidRPr="00723B10">
        <w:rPr>
          <w:b/>
          <w:sz w:val="20"/>
          <w:szCs w:val="20"/>
          <w:lang w:val="sv-SE"/>
        </w:rPr>
        <w:t>ret i korthet</w:t>
      </w:r>
    </w:p>
    <w:p w:rsidR="007B3287" w:rsidRPr="007B3287" w:rsidRDefault="007B3287" w:rsidP="007B3287">
      <w:pPr>
        <w:pStyle w:val="Liststycke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B3287">
        <w:rPr>
          <w:rFonts w:ascii="Arial" w:hAnsi="Arial" w:cs="Arial"/>
          <w:color w:val="000000"/>
          <w:sz w:val="20"/>
        </w:rPr>
        <w:t>Hyresintäkterna uppgick till 708 MSEK (466). Ökningen beror på</w:t>
      </w:r>
      <w:r>
        <w:rPr>
          <w:rFonts w:ascii="Arial" w:hAnsi="Arial" w:cs="Arial"/>
          <w:color w:val="000000"/>
          <w:sz w:val="20"/>
        </w:rPr>
        <w:t xml:space="preserve"> </w:t>
      </w:r>
      <w:r w:rsidRPr="007B3287">
        <w:rPr>
          <w:rFonts w:ascii="Arial" w:hAnsi="Arial" w:cs="Arial"/>
          <w:color w:val="000000"/>
          <w:sz w:val="20"/>
        </w:rPr>
        <w:t xml:space="preserve">ett </w:t>
      </w:r>
      <w:r w:rsidR="00691D55">
        <w:rPr>
          <w:rFonts w:ascii="Arial" w:hAnsi="Arial" w:cs="Arial"/>
          <w:color w:val="000000"/>
          <w:sz w:val="20"/>
        </w:rPr>
        <w:br/>
      </w:r>
      <w:r w:rsidRPr="007B3287">
        <w:rPr>
          <w:rFonts w:ascii="Arial" w:hAnsi="Arial" w:cs="Arial"/>
          <w:color w:val="000000"/>
          <w:sz w:val="20"/>
        </w:rPr>
        <w:t>större fastighetsbestånd.</w:t>
      </w:r>
    </w:p>
    <w:p w:rsidR="007B3287" w:rsidRPr="007B3287" w:rsidRDefault="007B3287" w:rsidP="007B3287">
      <w:pPr>
        <w:pStyle w:val="Liststycke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B3287">
        <w:rPr>
          <w:rFonts w:ascii="Arial" w:hAnsi="Arial" w:cs="Arial"/>
          <w:color w:val="000000"/>
          <w:sz w:val="20"/>
        </w:rPr>
        <w:t>Fastighetskostnaderna uppgick till 200 MSEK (115).</w:t>
      </w:r>
    </w:p>
    <w:p w:rsidR="007B3287" w:rsidRPr="007B3287" w:rsidRDefault="007B3287" w:rsidP="007B3287">
      <w:pPr>
        <w:pStyle w:val="Liststycke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B3287">
        <w:rPr>
          <w:rFonts w:ascii="Arial" w:hAnsi="Arial" w:cs="Arial"/>
          <w:color w:val="000000"/>
          <w:sz w:val="20"/>
        </w:rPr>
        <w:t>Driftnettot uppgick till 509 MSEK (351).</w:t>
      </w:r>
    </w:p>
    <w:p w:rsidR="007B3287" w:rsidRPr="007B3287" w:rsidRDefault="007B3287" w:rsidP="007B3287">
      <w:pPr>
        <w:pStyle w:val="Liststycke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B3287">
        <w:rPr>
          <w:rFonts w:ascii="Arial" w:hAnsi="Arial" w:cs="Arial"/>
          <w:color w:val="000000"/>
          <w:sz w:val="20"/>
        </w:rPr>
        <w:t>Förvaltningsresultatet uppgick till 150 MSEK (117).</w:t>
      </w:r>
    </w:p>
    <w:p w:rsidR="007B3287" w:rsidRPr="007B3287" w:rsidRDefault="007B3287" w:rsidP="007B3287">
      <w:pPr>
        <w:pStyle w:val="Liststycke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B3287">
        <w:rPr>
          <w:rFonts w:ascii="Arial" w:hAnsi="Arial" w:cs="Arial"/>
          <w:color w:val="000000"/>
          <w:sz w:val="20"/>
        </w:rPr>
        <w:t xml:space="preserve">Värdeförändringar på fastigheter uppgick till </w:t>
      </w:r>
      <w:proofErr w:type="gramStart"/>
      <w:r w:rsidRPr="007B3287">
        <w:rPr>
          <w:rFonts w:ascii="Arial" w:hAnsi="Arial" w:cs="Arial"/>
          <w:color w:val="000000"/>
          <w:sz w:val="20"/>
        </w:rPr>
        <w:t>–159</w:t>
      </w:r>
      <w:proofErr w:type="gramEnd"/>
      <w:r w:rsidRPr="007B3287">
        <w:rPr>
          <w:rFonts w:ascii="Arial" w:hAnsi="Arial" w:cs="Arial"/>
          <w:color w:val="000000"/>
          <w:sz w:val="20"/>
        </w:rPr>
        <w:t xml:space="preserve"> MSEK (–96) och</w:t>
      </w:r>
      <w:r>
        <w:rPr>
          <w:rFonts w:ascii="Arial" w:hAnsi="Arial" w:cs="Arial"/>
          <w:color w:val="000000"/>
          <w:sz w:val="20"/>
        </w:rPr>
        <w:t xml:space="preserve"> </w:t>
      </w:r>
      <w:r w:rsidRPr="007B3287">
        <w:rPr>
          <w:rFonts w:ascii="Arial" w:hAnsi="Arial" w:cs="Arial"/>
          <w:color w:val="000000"/>
          <w:sz w:val="20"/>
        </w:rPr>
        <w:t xml:space="preserve">på derivat </w:t>
      </w:r>
      <w:r w:rsidR="00691D55">
        <w:rPr>
          <w:rFonts w:ascii="Arial" w:hAnsi="Arial" w:cs="Arial"/>
          <w:color w:val="000000"/>
          <w:sz w:val="20"/>
        </w:rPr>
        <w:br/>
      </w:r>
      <w:r w:rsidRPr="007B3287">
        <w:rPr>
          <w:rFonts w:ascii="Arial" w:hAnsi="Arial" w:cs="Arial"/>
          <w:color w:val="000000"/>
          <w:sz w:val="20"/>
        </w:rPr>
        <w:t>till +245 MSEK (–7).</w:t>
      </w:r>
    </w:p>
    <w:p w:rsidR="007B3287" w:rsidRPr="007B3287" w:rsidRDefault="007B3287" w:rsidP="007B3287">
      <w:pPr>
        <w:pStyle w:val="Liststycke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B3287">
        <w:rPr>
          <w:rFonts w:ascii="Arial" w:hAnsi="Arial" w:cs="Arial"/>
          <w:color w:val="000000"/>
          <w:sz w:val="20"/>
        </w:rPr>
        <w:t>Resultat efter skatt uppgick till 155 MSEK (67).</w:t>
      </w:r>
    </w:p>
    <w:p w:rsidR="007B3287" w:rsidRPr="007B3287" w:rsidRDefault="007B3287" w:rsidP="007B3287">
      <w:pPr>
        <w:pStyle w:val="Liststycke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  <w:r w:rsidRPr="007B3287">
        <w:rPr>
          <w:rFonts w:ascii="Arial" w:hAnsi="Arial" w:cs="Arial"/>
          <w:color w:val="000000"/>
          <w:sz w:val="20"/>
        </w:rPr>
        <w:t>Under året har två fastigheter avyttrats till ett värde om 91 MSEK.</w:t>
      </w:r>
    </w:p>
    <w:p w:rsidR="007B3287" w:rsidRPr="007B3287" w:rsidRDefault="007B3287" w:rsidP="007B3287">
      <w:pPr>
        <w:pStyle w:val="Liststycke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B3287">
        <w:rPr>
          <w:rFonts w:ascii="Arial" w:hAnsi="Arial" w:cs="Arial"/>
          <w:color w:val="000000"/>
          <w:sz w:val="20"/>
        </w:rPr>
        <w:t>Årets investeringar i befintliga fastigheter uppgick till 129 MSEK (65)</w:t>
      </w:r>
      <w:r>
        <w:rPr>
          <w:rFonts w:ascii="Arial" w:hAnsi="Arial" w:cs="Arial"/>
          <w:color w:val="000000"/>
          <w:sz w:val="20"/>
        </w:rPr>
        <w:t xml:space="preserve"> </w:t>
      </w:r>
      <w:r w:rsidRPr="007B3287">
        <w:rPr>
          <w:rFonts w:ascii="Arial" w:hAnsi="Arial" w:cs="Arial"/>
          <w:color w:val="000000"/>
          <w:sz w:val="20"/>
        </w:rPr>
        <w:t xml:space="preserve">och </w:t>
      </w:r>
      <w:r w:rsidR="00691D55">
        <w:rPr>
          <w:rFonts w:ascii="Arial" w:hAnsi="Arial" w:cs="Arial"/>
          <w:color w:val="000000"/>
          <w:sz w:val="20"/>
        </w:rPr>
        <w:br/>
      </w:r>
      <w:r w:rsidRPr="007B3287">
        <w:rPr>
          <w:rFonts w:ascii="Arial" w:hAnsi="Arial" w:cs="Arial"/>
          <w:color w:val="000000"/>
          <w:sz w:val="20"/>
        </w:rPr>
        <w:t>merparten avser anpassningar till nya och befintliga hyresgäster.</w:t>
      </w:r>
    </w:p>
    <w:p w:rsidR="00007FB6" w:rsidRPr="007B3287" w:rsidRDefault="00007FB6" w:rsidP="007B3287">
      <w:pPr>
        <w:pStyle w:val="Default"/>
        <w:rPr>
          <w:sz w:val="20"/>
          <w:szCs w:val="20"/>
          <w:lang w:val="sv-SE"/>
        </w:rPr>
      </w:pPr>
    </w:p>
    <w:p w:rsidR="00691D55" w:rsidRDefault="00691D55" w:rsidP="005020E0">
      <w:pPr>
        <w:rPr>
          <w:rFonts w:ascii="Arial" w:hAnsi="Arial" w:cs="Arial"/>
          <w:sz w:val="24"/>
          <w:szCs w:val="24"/>
        </w:rPr>
      </w:pPr>
    </w:p>
    <w:p w:rsidR="00B22B6E" w:rsidRPr="00185A50" w:rsidRDefault="005020E0" w:rsidP="009D3086">
      <w:pPr>
        <w:rPr>
          <w:rFonts w:ascii="Arial" w:hAnsi="Arial" w:cs="Arial"/>
          <w:szCs w:val="22"/>
        </w:rPr>
      </w:pPr>
      <w:r w:rsidRPr="00185A50">
        <w:rPr>
          <w:rFonts w:ascii="Arial" w:hAnsi="Arial" w:cs="Arial"/>
          <w:szCs w:val="22"/>
        </w:rPr>
        <w:t xml:space="preserve">För vidare frågor kontakta </w:t>
      </w:r>
      <w:proofErr w:type="spellStart"/>
      <w:r w:rsidRPr="00185A50">
        <w:rPr>
          <w:rFonts w:ascii="Arial" w:hAnsi="Arial" w:cs="Arial"/>
          <w:szCs w:val="22"/>
        </w:rPr>
        <w:t>SveaReals</w:t>
      </w:r>
      <w:proofErr w:type="spellEnd"/>
      <w:r w:rsidRPr="00185A50">
        <w:rPr>
          <w:rFonts w:ascii="Arial" w:hAnsi="Arial" w:cs="Arial"/>
          <w:szCs w:val="22"/>
        </w:rPr>
        <w:t xml:space="preserve"> VD Claes Malmkvist, 031-63 65 90.</w:t>
      </w:r>
    </w:p>
    <w:sectPr w:rsidR="00B22B6E" w:rsidRPr="00185A50" w:rsidSect="007A30AC">
      <w:headerReference w:type="default" r:id="rId9"/>
      <w:headerReference w:type="first" r:id="rId10"/>
      <w:footerReference w:type="first" r:id="rId11"/>
      <w:type w:val="continuous"/>
      <w:pgSz w:w="11907" w:h="16840" w:code="9"/>
      <w:pgMar w:top="567" w:right="1418" w:bottom="851" w:left="1418" w:header="284" w:footer="17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CA7" w:rsidRDefault="005E2CA7">
      <w:r>
        <w:separator/>
      </w:r>
    </w:p>
  </w:endnote>
  <w:endnote w:type="continuationSeparator" w:id="0">
    <w:p w:rsidR="005E2CA7" w:rsidRDefault="005E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E" w:rsidRPr="009E3F7C" w:rsidRDefault="00CD51AE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CD51AE" w:rsidRPr="00B856F6" w:rsidRDefault="00185A50" w:rsidP="00B856F6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hyperlink r:id="rId1" w:history="1">
      <w:r w:rsidR="00B856F6" w:rsidRPr="00042AD7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  <w:u w:val="none"/>
        </w:rPr>
        <w:t>SveaReal AB</w:t>
      </w:r>
    </w:hyperlink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cirka 8</w:t>
    </w:r>
    <w:r w:rsidR="00B856F6">
      <w:rPr>
        <w:rFonts w:ascii="Arial" w:hAnsi="Arial" w:cs="Arial"/>
        <w:b/>
        <w:color w:val="808080" w:themeColor="background1" w:themeShade="80"/>
        <w:sz w:val="18"/>
        <w:szCs w:val="18"/>
      </w:rPr>
      <w:t>4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0 000 kvm. Bolaget omsätter 700 MSEK och har </w:t>
    </w:r>
    <w:r w:rsidR="005020E0">
      <w:rPr>
        <w:rFonts w:ascii="Arial" w:hAnsi="Arial" w:cs="Arial"/>
        <w:b/>
        <w:color w:val="808080" w:themeColor="background1" w:themeShade="80"/>
        <w:sz w:val="18"/>
        <w:szCs w:val="18"/>
      </w:rPr>
      <w:t>2</w:t>
    </w:r>
    <w:r w:rsidR="00691D55">
      <w:rPr>
        <w:rFonts w:ascii="Arial" w:hAnsi="Arial" w:cs="Arial"/>
        <w:b/>
        <w:color w:val="808080" w:themeColor="background1" w:themeShade="80"/>
        <w:sz w:val="18"/>
        <w:szCs w:val="18"/>
      </w:rPr>
      <w:t>5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medarbetare med kontor i Göteborg, Malmö och Stockholm. </w:t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br/>
    </w:r>
    <w:proofErr w:type="spellStart"/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>SveaReals</w:t>
    </w:r>
    <w:proofErr w:type="spellEnd"/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 xml:space="preserve"> aktieägare består i första hand av norska institutionella kapitalplacerare, privata bolag och privatpersoner. </w:t>
    </w:r>
    <w:r w:rsidR="00B856F6" w:rsidRPr="00042AD7">
      <w:rPr>
        <w:rFonts w:ascii="Arial" w:hAnsi="Arial" w:cs="Arial"/>
        <w:b/>
        <w:iCs/>
        <w:color w:val="808080" w:themeColor="background1" w:themeShade="80"/>
        <w:sz w:val="18"/>
        <w:szCs w:val="18"/>
        <w:lang w:eastAsia="ja-JP"/>
      </w:rPr>
      <w:br/>
    </w:r>
    <w:r w:rsidR="00B856F6" w:rsidRPr="00042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="00B856F6" w:rsidRPr="00EB636B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 w:rsidR="00B856F6">
      <w:rPr>
        <w:rFonts w:ascii="Arial" w:hAnsi="Arial" w:cs="Arial"/>
        <w:b/>
        <w:color w:val="7F7F7F" w:themeColor="text1" w:themeTint="80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CA7" w:rsidRDefault="005E2CA7">
      <w:r>
        <w:separator/>
      </w:r>
    </w:p>
  </w:footnote>
  <w:footnote w:type="continuationSeparator" w:id="0">
    <w:p w:rsidR="005E2CA7" w:rsidRDefault="005E2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3306"/>
      <w:gridCol w:w="2684"/>
      <w:gridCol w:w="3049"/>
    </w:tblGrid>
    <w:tr w:rsidR="00CD51AE">
      <w:tc>
        <w:tcPr>
          <w:tcW w:w="2881" w:type="dxa"/>
        </w:tcPr>
        <w:p w:rsidR="00CD51AE" w:rsidRDefault="00CD51AE">
          <w:pPr>
            <w:pStyle w:val="Sidhuvud"/>
          </w:pPr>
          <w:r w:rsidRPr="00B22B6E">
            <w:rPr>
              <w:noProof/>
              <w:lang w:eastAsia="sv-SE"/>
            </w:rPr>
            <w:drawing>
              <wp:inline distT="0" distB="0" distL="0" distR="0">
                <wp:extent cx="1943100" cy="342900"/>
                <wp:effectExtent l="19050" t="0" r="0" b="0"/>
                <wp:docPr id="4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27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</w:pPr>
  </w:p>
  <w:p w:rsidR="00CD51AE" w:rsidRDefault="00CD5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2866"/>
      <w:gridCol w:w="2867"/>
      <w:gridCol w:w="3306"/>
    </w:tblGrid>
    <w:tr w:rsidR="00CD51AE" w:rsidTr="007A30AC">
      <w:trPr>
        <w:trHeight w:val="537"/>
      </w:trPr>
      <w:tc>
        <w:tcPr>
          <w:tcW w:w="2866" w:type="dxa"/>
        </w:tcPr>
        <w:p w:rsidR="00CD51AE" w:rsidRDefault="00CD51AE">
          <w:pPr>
            <w:pStyle w:val="Sidhuvud"/>
          </w:pPr>
        </w:p>
      </w:tc>
      <w:tc>
        <w:tcPr>
          <w:tcW w:w="2867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30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  <w:rPr>
        <w:sz w:val="2"/>
        <w:szCs w:val="2"/>
      </w:rPr>
    </w:pPr>
    <w:r w:rsidRPr="007A30AC"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2540</wp:posOffset>
          </wp:positionV>
          <wp:extent cx="1943100" cy="342900"/>
          <wp:effectExtent l="19050" t="0" r="0" b="0"/>
          <wp:wrapThrough wrapText="bothSides">
            <wp:wrapPolygon edited="0">
              <wp:start x="-212" y="0"/>
              <wp:lineTo x="-212" y="20400"/>
              <wp:lineTo x="21600" y="20400"/>
              <wp:lineTo x="21600" y="0"/>
              <wp:lineTo x="-212" y="0"/>
            </wp:wrapPolygon>
          </wp:wrapThrough>
          <wp:docPr id="5" name="Bild 1" descr="EDB612EA-74C1-471F-A68E-8FA2918301A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B612EA-74C1-471F-A68E-8FA2918301A3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8DE"/>
    <w:multiLevelType w:val="hybridMultilevel"/>
    <w:tmpl w:val="129C39D0"/>
    <w:lvl w:ilvl="0" w:tplc="57B88A10">
      <w:start w:val="70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53355"/>
    <w:multiLevelType w:val="hybridMultilevel"/>
    <w:tmpl w:val="BD8E7698"/>
    <w:lvl w:ilvl="0" w:tplc="5C687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EAD5378"/>
    <w:multiLevelType w:val="hybridMultilevel"/>
    <w:tmpl w:val="BE5418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E7D79"/>
    <w:multiLevelType w:val="hybridMultilevel"/>
    <w:tmpl w:val="BE4A9D78"/>
    <w:lvl w:ilvl="0" w:tplc="C64A8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A1124"/>
    <w:multiLevelType w:val="hybridMultilevel"/>
    <w:tmpl w:val="794850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958E8"/>
    <w:multiLevelType w:val="hybridMultilevel"/>
    <w:tmpl w:val="19B6BC9C"/>
    <w:lvl w:ilvl="0" w:tplc="45846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91052"/>
    <w:multiLevelType w:val="hybridMultilevel"/>
    <w:tmpl w:val="FD8C8574"/>
    <w:lvl w:ilvl="0" w:tplc="2D383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9D2FDF"/>
    <w:multiLevelType w:val="hybridMultilevel"/>
    <w:tmpl w:val="9544D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7C"/>
    <w:rsid w:val="000006BA"/>
    <w:rsid w:val="00007FB6"/>
    <w:rsid w:val="00017E03"/>
    <w:rsid w:val="00031625"/>
    <w:rsid w:val="00054174"/>
    <w:rsid w:val="000A690E"/>
    <w:rsid w:val="000B55DB"/>
    <w:rsid w:val="000D7FB3"/>
    <w:rsid w:val="000F42E0"/>
    <w:rsid w:val="000F4848"/>
    <w:rsid w:val="001013C3"/>
    <w:rsid w:val="0010798E"/>
    <w:rsid w:val="00111791"/>
    <w:rsid w:val="00121901"/>
    <w:rsid w:val="00127CCF"/>
    <w:rsid w:val="0014403B"/>
    <w:rsid w:val="0015034D"/>
    <w:rsid w:val="00155756"/>
    <w:rsid w:val="0016072C"/>
    <w:rsid w:val="0017464F"/>
    <w:rsid w:val="00181874"/>
    <w:rsid w:val="00185A50"/>
    <w:rsid w:val="001E251C"/>
    <w:rsid w:val="001E6344"/>
    <w:rsid w:val="001F311E"/>
    <w:rsid w:val="002017F1"/>
    <w:rsid w:val="002308A2"/>
    <w:rsid w:val="00230EF2"/>
    <w:rsid w:val="0024327B"/>
    <w:rsid w:val="0024591A"/>
    <w:rsid w:val="00252D44"/>
    <w:rsid w:val="00276CF2"/>
    <w:rsid w:val="002917A8"/>
    <w:rsid w:val="002A25BD"/>
    <w:rsid w:val="002A739F"/>
    <w:rsid w:val="002B0A1C"/>
    <w:rsid w:val="002B3BD8"/>
    <w:rsid w:val="002D78D5"/>
    <w:rsid w:val="002E3EEE"/>
    <w:rsid w:val="00313C01"/>
    <w:rsid w:val="00323890"/>
    <w:rsid w:val="00331D30"/>
    <w:rsid w:val="003371BC"/>
    <w:rsid w:val="00337B8E"/>
    <w:rsid w:val="003503C3"/>
    <w:rsid w:val="00355D36"/>
    <w:rsid w:val="003771E2"/>
    <w:rsid w:val="003B1F2A"/>
    <w:rsid w:val="003B6AC0"/>
    <w:rsid w:val="003F7609"/>
    <w:rsid w:val="003F7A59"/>
    <w:rsid w:val="004001BB"/>
    <w:rsid w:val="00411B09"/>
    <w:rsid w:val="00422B38"/>
    <w:rsid w:val="00453FC8"/>
    <w:rsid w:val="00480B55"/>
    <w:rsid w:val="00482003"/>
    <w:rsid w:val="004834F3"/>
    <w:rsid w:val="00487D80"/>
    <w:rsid w:val="004E57C4"/>
    <w:rsid w:val="004F23EE"/>
    <w:rsid w:val="005020E0"/>
    <w:rsid w:val="00514DA5"/>
    <w:rsid w:val="00532343"/>
    <w:rsid w:val="005355CC"/>
    <w:rsid w:val="005548C9"/>
    <w:rsid w:val="005616BC"/>
    <w:rsid w:val="00572FB5"/>
    <w:rsid w:val="005A34F4"/>
    <w:rsid w:val="005E2CA7"/>
    <w:rsid w:val="005E5F86"/>
    <w:rsid w:val="006134A6"/>
    <w:rsid w:val="00627C59"/>
    <w:rsid w:val="00657839"/>
    <w:rsid w:val="006620FE"/>
    <w:rsid w:val="006639BF"/>
    <w:rsid w:val="00691D55"/>
    <w:rsid w:val="006B412B"/>
    <w:rsid w:val="007175CD"/>
    <w:rsid w:val="00723B10"/>
    <w:rsid w:val="0072631B"/>
    <w:rsid w:val="00726551"/>
    <w:rsid w:val="007268A4"/>
    <w:rsid w:val="0072798A"/>
    <w:rsid w:val="007818B3"/>
    <w:rsid w:val="007A30AC"/>
    <w:rsid w:val="007A438E"/>
    <w:rsid w:val="007B3287"/>
    <w:rsid w:val="007C6FF6"/>
    <w:rsid w:val="00812566"/>
    <w:rsid w:val="00881466"/>
    <w:rsid w:val="00890B59"/>
    <w:rsid w:val="008D1BF9"/>
    <w:rsid w:val="009041AC"/>
    <w:rsid w:val="009200B0"/>
    <w:rsid w:val="00926C12"/>
    <w:rsid w:val="00941056"/>
    <w:rsid w:val="00947EB8"/>
    <w:rsid w:val="009865E4"/>
    <w:rsid w:val="00987484"/>
    <w:rsid w:val="009C7B43"/>
    <w:rsid w:val="009D1DE6"/>
    <w:rsid w:val="009D3086"/>
    <w:rsid w:val="009E1EA6"/>
    <w:rsid w:val="009E2C2F"/>
    <w:rsid w:val="009E3F7C"/>
    <w:rsid w:val="009F36DA"/>
    <w:rsid w:val="00A004E6"/>
    <w:rsid w:val="00A33283"/>
    <w:rsid w:val="00A428A4"/>
    <w:rsid w:val="00A70123"/>
    <w:rsid w:val="00A70EE9"/>
    <w:rsid w:val="00A740BB"/>
    <w:rsid w:val="00A803E8"/>
    <w:rsid w:val="00AA1172"/>
    <w:rsid w:val="00AE17FC"/>
    <w:rsid w:val="00AF1708"/>
    <w:rsid w:val="00B22B6E"/>
    <w:rsid w:val="00B5789B"/>
    <w:rsid w:val="00B63852"/>
    <w:rsid w:val="00B777EB"/>
    <w:rsid w:val="00B819BF"/>
    <w:rsid w:val="00B856F6"/>
    <w:rsid w:val="00BA03D8"/>
    <w:rsid w:val="00BA5C0F"/>
    <w:rsid w:val="00BC2780"/>
    <w:rsid w:val="00BE000B"/>
    <w:rsid w:val="00C01851"/>
    <w:rsid w:val="00C30E29"/>
    <w:rsid w:val="00C55A90"/>
    <w:rsid w:val="00C642A6"/>
    <w:rsid w:val="00C66D26"/>
    <w:rsid w:val="00C67065"/>
    <w:rsid w:val="00C7379A"/>
    <w:rsid w:val="00C96F1E"/>
    <w:rsid w:val="00CA4702"/>
    <w:rsid w:val="00CB44C5"/>
    <w:rsid w:val="00CC07A0"/>
    <w:rsid w:val="00CC0C73"/>
    <w:rsid w:val="00CD38C7"/>
    <w:rsid w:val="00CD51AE"/>
    <w:rsid w:val="00D04679"/>
    <w:rsid w:val="00D15B1E"/>
    <w:rsid w:val="00D2373C"/>
    <w:rsid w:val="00D277AD"/>
    <w:rsid w:val="00D40BE8"/>
    <w:rsid w:val="00D51688"/>
    <w:rsid w:val="00D661BB"/>
    <w:rsid w:val="00DA285A"/>
    <w:rsid w:val="00DA442E"/>
    <w:rsid w:val="00DB662C"/>
    <w:rsid w:val="00DC4B74"/>
    <w:rsid w:val="00DF3435"/>
    <w:rsid w:val="00E122B1"/>
    <w:rsid w:val="00E1451C"/>
    <w:rsid w:val="00E21140"/>
    <w:rsid w:val="00E21C66"/>
    <w:rsid w:val="00E4753E"/>
    <w:rsid w:val="00E82FBD"/>
    <w:rsid w:val="00E847D7"/>
    <w:rsid w:val="00E908EC"/>
    <w:rsid w:val="00E92C41"/>
    <w:rsid w:val="00EA59FC"/>
    <w:rsid w:val="00EA5A95"/>
    <w:rsid w:val="00ED3013"/>
    <w:rsid w:val="00EF13A6"/>
    <w:rsid w:val="00EF424D"/>
    <w:rsid w:val="00F05675"/>
    <w:rsid w:val="00F32AC4"/>
    <w:rsid w:val="00F45473"/>
    <w:rsid w:val="00F466C1"/>
    <w:rsid w:val="00F544D2"/>
    <w:rsid w:val="00F600E2"/>
    <w:rsid w:val="00F66EA0"/>
    <w:rsid w:val="00F81166"/>
    <w:rsid w:val="00F84FED"/>
    <w:rsid w:val="00FB7C32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20E0"/>
    <w:pPr>
      <w:keepNext/>
      <w:keepLines/>
      <w:tabs>
        <w:tab w:val="clear" w:pos="284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0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Default">
    <w:name w:val="Default"/>
    <w:rsid w:val="005020E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020E0"/>
    <w:pPr>
      <w:keepNext/>
      <w:keepLines/>
      <w:tabs>
        <w:tab w:val="clear" w:pos="284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502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customStyle="1" w:styleId="Default">
    <w:name w:val="Default"/>
    <w:rsid w:val="005020E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500001mne</dc:creator>
  <cp:lastModifiedBy>Madeleine Laurin Christensson</cp:lastModifiedBy>
  <cp:revision>8</cp:revision>
  <cp:lastPrinted>2013-05-22T12:34:00Z</cp:lastPrinted>
  <dcterms:created xsi:type="dcterms:W3CDTF">2014-02-20T10:06:00Z</dcterms:created>
  <dcterms:modified xsi:type="dcterms:W3CDTF">2014-02-21T07:58:00Z</dcterms:modified>
</cp:coreProperties>
</file>