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57ADFCA0"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28788E">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Pr="00410314" w:rsidRDefault="00430E8F" w:rsidP="00F82127">
      <w:pPr>
        <w:rPr>
          <w:rFonts w:ascii="Garamond" w:hAnsi="Garamond" w:cs="Arial"/>
          <w:i/>
          <w:spacing w:val="-10"/>
        </w:rPr>
      </w:pPr>
      <w:r w:rsidRPr="00410314">
        <w:rPr>
          <w:rFonts w:ascii="Garamond" w:hAnsi="Garamond" w:cs="Arial"/>
          <w:i/>
          <w:spacing w:val="-10"/>
        </w:rPr>
        <w:t>Pressmeddelande</w:t>
      </w:r>
      <w:r w:rsidR="006D5556" w:rsidRPr="00410314">
        <w:rPr>
          <w:rFonts w:ascii="Garamond" w:hAnsi="Garamond" w:cs="Arial"/>
          <w:i/>
          <w:spacing w:val="-10"/>
        </w:rPr>
        <w:t xml:space="preserve"> från Bisnode</w:t>
      </w:r>
    </w:p>
    <w:p w14:paraId="554CD82E" w14:textId="23042C4D" w:rsidR="00F154E9" w:rsidRPr="00410314" w:rsidRDefault="00410314" w:rsidP="00F82127">
      <w:pPr>
        <w:rPr>
          <w:rFonts w:ascii="HelveticaNeueLT Std Med Cn" w:hAnsi="HelveticaNeueLT Std Med Cn" w:cs="Arial"/>
          <w:spacing w:val="-10"/>
          <w:sz w:val="48"/>
          <w:szCs w:val="48"/>
        </w:rPr>
      </w:pPr>
      <w:r w:rsidRPr="00410314">
        <w:rPr>
          <w:rFonts w:ascii="HelveticaNeueLT Std Med Cn" w:hAnsi="HelveticaNeueLT Std Med Cn" w:cs="Arial"/>
          <w:spacing w:val="-10"/>
          <w:sz w:val="48"/>
          <w:szCs w:val="48"/>
        </w:rPr>
        <w:t xml:space="preserve">VÄRMLÄNDSKA BRO MÖBLER </w:t>
      </w:r>
    </w:p>
    <w:p w14:paraId="72A8F91B" w14:textId="24A6B2F6" w:rsidR="00F82127" w:rsidRPr="00410314" w:rsidRDefault="00410314" w:rsidP="00F82127">
      <w:pPr>
        <w:rPr>
          <w:rFonts w:ascii="HelveticaNeueLT Std Med Cn" w:hAnsi="HelveticaNeueLT Std Med Cn" w:cs="Arial"/>
          <w:spacing w:val="-10"/>
          <w:sz w:val="48"/>
          <w:szCs w:val="48"/>
        </w:rPr>
      </w:pPr>
      <w:r w:rsidRPr="00410314">
        <w:rPr>
          <w:rFonts w:ascii="HelveticaNeueLT Std Med Cn" w:hAnsi="HelveticaNeueLT Std Med Cn" w:cs="Arial"/>
          <w:spacing w:val="-10"/>
          <w:sz w:val="48"/>
          <w:szCs w:val="48"/>
        </w:rPr>
        <w:t>BLAND SVERIGES SUPERFÖRETAG</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083A5896" w14:textId="201AB681" w:rsidR="00B10802" w:rsidRPr="00410314" w:rsidRDefault="00DE3313" w:rsidP="00F80E4B">
      <w:pPr>
        <w:autoSpaceDE w:val="0"/>
        <w:autoSpaceDN w:val="0"/>
        <w:rPr>
          <w:rFonts w:ascii="HelveticaNeueLT Std" w:hAnsi="HelveticaNeueLT Std" w:cs="Arial"/>
          <w:b/>
          <w:bCs/>
          <w:sz w:val="27"/>
          <w:szCs w:val="27"/>
          <w:lang w:eastAsia="sv-SE"/>
        </w:rPr>
      </w:pPr>
      <w:r w:rsidRPr="00410314">
        <w:rPr>
          <w:rFonts w:ascii="HelveticaNeueLT Std" w:hAnsi="HelveticaNeueLT Std" w:cs="Arial"/>
          <w:b/>
          <w:bCs/>
          <w:sz w:val="27"/>
          <w:szCs w:val="27"/>
          <w:lang w:eastAsia="sv-SE"/>
        </w:rPr>
        <w:t>Kristinehamnsföretaget Bro Möbler</w:t>
      </w:r>
      <w:r w:rsidR="00D60044" w:rsidRPr="00410314">
        <w:rPr>
          <w:rFonts w:ascii="HelveticaNeueLT Std" w:hAnsi="HelveticaNeueLT Std" w:cs="Arial"/>
          <w:b/>
          <w:bCs/>
          <w:sz w:val="27"/>
          <w:szCs w:val="27"/>
          <w:lang w:eastAsia="sv-SE"/>
        </w:rPr>
        <w:t xml:space="preserve"> tar i år steget in på den ärofyllda listan över Sveriges Superföretag</w:t>
      </w:r>
      <w:r w:rsidR="00EB0CC2" w:rsidRPr="00410314">
        <w:rPr>
          <w:rFonts w:ascii="HelveticaNeueLT Std" w:hAnsi="HelveticaNeueLT Std" w:cs="Arial"/>
          <w:b/>
          <w:bCs/>
          <w:sz w:val="27"/>
          <w:szCs w:val="27"/>
          <w:lang w:eastAsia="sv-SE"/>
        </w:rPr>
        <w:t>.</w:t>
      </w:r>
      <w:r w:rsidR="00D60044" w:rsidRPr="00410314">
        <w:rPr>
          <w:rFonts w:ascii="HelveticaNeueLT Std" w:hAnsi="HelveticaNeueLT Std" w:cs="Arial"/>
          <w:b/>
          <w:bCs/>
          <w:sz w:val="27"/>
          <w:szCs w:val="27"/>
          <w:lang w:eastAsia="sv-SE"/>
        </w:rPr>
        <w:t xml:space="preserve"> Med en omsättning på drygt 400 miljoner kronor är bolaget klart störst av de sju superföretagen i länet. </w:t>
      </w:r>
      <w:r w:rsidR="00EB0CC2" w:rsidRPr="00410314">
        <w:rPr>
          <w:rFonts w:ascii="HelveticaNeueLT Std" w:hAnsi="HelveticaNeueLT Std" w:cs="Arial"/>
          <w:b/>
          <w:bCs/>
          <w:sz w:val="27"/>
          <w:szCs w:val="27"/>
          <w:lang w:eastAsia="sv-SE"/>
        </w:rPr>
        <w:t xml:space="preserve"> </w:t>
      </w:r>
    </w:p>
    <w:p w14:paraId="61514290" w14:textId="77777777" w:rsidR="00142238" w:rsidRDefault="00142238" w:rsidP="00F80E4B">
      <w:pPr>
        <w:autoSpaceDE w:val="0"/>
        <w:autoSpaceDN w:val="0"/>
        <w:rPr>
          <w:rFonts w:ascii="Arial" w:hAnsi="Arial" w:cs="Arial"/>
          <w:b/>
          <w:bCs/>
          <w:sz w:val="20"/>
          <w:szCs w:val="20"/>
          <w:lang w:eastAsia="sv-SE"/>
        </w:rPr>
      </w:pPr>
    </w:p>
    <w:p w14:paraId="182F4168" w14:textId="39EAE75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r w:rsidR="004A0E9A" w:rsidRPr="00410314">
        <w:rPr>
          <w:rFonts w:ascii="HelveticaNeueLT Std" w:hAnsi="HelveticaNeueLT Std" w:cs="Arial"/>
          <w:lang w:eastAsia="sv-SE"/>
        </w:rPr>
        <w:br/>
      </w:r>
    </w:p>
    <w:p w14:paraId="08183546" w14:textId="77777777" w:rsidR="004A0E9A" w:rsidRDefault="004A0E9A" w:rsidP="004A0E9A">
      <w:pPr>
        <w:autoSpaceDE w:val="0"/>
        <w:autoSpaceDN w:val="0"/>
        <w:rPr>
          <w:rFonts w:ascii="Arial" w:hAnsi="Arial" w:cs="Arial"/>
          <w:b/>
          <w:sz w:val="20"/>
          <w:szCs w:val="20"/>
          <w:lang w:eastAsia="sv-SE"/>
        </w:rPr>
      </w:pPr>
      <w:r w:rsidRPr="00A411BD">
        <w:rPr>
          <w:rFonts w:ascii="Arial" w:hAnsi="Arial" w:cs="Arial"/>
          <w:b/>
          <w:sz w:val="20"/>
          <w:szCs w:val="20"/>
          <w:lang w:eastAsia="sv-SE"/>
        </w:rPr>
        <w:t>Superföretagen 2014 i Värmlands län</w:t>
      </w:r>
    </w:p>
    <w:p w14:paraId="34B22542" w14:textId="77777777" w:rsidR="00D724C4" w:rsidRDefault="00D724C4" w:rsidP="004A0E9A">
      <w:pPr>
        <w:autoSpaceDE w:val="0"/>
        <w:autoSpaceDN w:val="0"/>
        <w:rPr>
          <w:rFonts w:ascii="Arial" w:hAnsi="Arial" w:cs="Arial"/>
          <w:b/>
          <w:sz w:val="20"/>
          <w:szCs w:val="20"/>
          <w:lang w:eastAsia="sv-SE"/>
        </w:rPr>
      </w:pPr>
    </w:p>
    <w:p w14:paraId="03B9C070" w14:textId="31FD2972" w:rsidR="004A0E9A" w:rsidRDefault="00D724C4" w:rsidP="00142238">
      <w:pPr>
        <w:autoSpaceDE w:val="0"/>
        <w:autoSpaceDN w:val="0"/>
        <w:rPr>
          <w:rFonts w:ascii="Arial" w:hAnsi="Arial" w:cs="Arial"/>
          <w:sz w:val="20"/>
          <w:szCs w:val="20"/>
          <w:lang w:eastAsia="sv-SE"/>
        </w:rPr>
      </w:pPr>
      <w:r>
        <w:rPr>
          <w:rFonts w:ascii="Arial" w:hAnsi="Arial" w:cs="Arial"/>
          <w:noProof/>
          <w:color w:val="F79646" w:themeColor="accent6"/>
          <w:sz w:val="20"/>
          <w:szCs w:val="20"/>
          <w:lang w:eastAsia="sv-SE"/>
        </w:rPr>
        <w:drawing>
          <wp:inline distT="0" distB="0" distL="0" distR="0" wp14:anchorId="582BD97F" wp14:editId="2543CA3C">
            <wp:extent cx="5759450"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324610"/>
                    </a:xfrm>
                    <a:prstGeom prst="rect">
                      <a:avLst/>
                    </a:prstGeom>
                    <a:noFill/>
                    <a:ln>
                      <a:noFill/>
                    </a:ln>
                  </pic:spPr>
                </pic:pic>
              </a:graphicData>
            </a:graphic>
          </wp:inline>
        </w:drawing>
      </w:r>
    </w:p>
    <w:p w14:paraId="67ECDE63" w14:textId="77777777" w:rsidR="00142238" w:rsidRDefault="00142238" w:rsidP="00142238">
      <w:pPr>
        <w:autoSpaceDE w:val="0"/>
        <w:autoSpaceDN w:val="0"/>
        <w:rPr>
          <w:rFonts w:ascii="Arial" w:hAnsi="Arial" w:cs="Arial"/>
          <w:sz w:val="20"/>
          <w:szCs w:val="20"/>
          <w:lang w:eastAsia="sv-SE"/>
        </w:rPr>
      </w:pPr>
    </w:p>
    <w:p w14:paraId="051C713B" w14:textId="77777777" w:rsidR="00142238" w:rsidRPr="00410314" w:rsidRDefault="00142238" w:rsidP="00142238">
      <w:pPr>
        <w:autoSpaceDE w:val="0"/>
        <w:autoSpaceDN w:val="0"/>
        <w:rPr>
          <w:rFonts w:ascii="HelveticaNeueLT Std" w:hAnsi="HelveticaNeueLT Std" w:cs="Arial"/>
          <w:b/>
          <w:lang w:eastAsia="sv-SE"/>
        </w:rPr>
      </w:pPr>
      <w:r w:rsidRPr="00410314">
        <w:rPr>
          <w:rFonts w:ascii="HelveticaNeueLT Std" w:hAnsi="HelveticaNeueLT Std" w:cs="Arial"/>
          <w:b/>
          <w:lang w:eastAsia="sv-SE"/>
        </w:rPr>
        <w:t>Tjänar pengar och anställer</w:t>
      </w:r>
    </w:p>
    <w:p w14:paraId="2F30A22D" w14:textId="7777777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t>Superföretagen har mer än fördubblat sin omsättning och antalet anställda de senaste fyra åren. Under de senaste tio åren</w:t>
      </w:r>
      <w:bookmarkStart w:id="0" w:name="_GoBack"/>
      <w:bookmarkEnd w:id="0"/>
      <w:r w:rsidRPr="00410314">
        <w:rPr>
          <w:rFonts w:ascii="HelveticaNeueLT Std" w:hAnsi="HelveticaNeueLT Std" w:cs="Arial"/>
          <w:lang w:eastAsia="sv-SE"/>
        </w:rPr>
        <w:t xml:space="preserve"> har Superföretagen bidragit med 19 procent av Sveriges jobbtillväxt, trots att de bara utgör sex promille av aktiebolagen.       </w:t>
      </w:r>
    </w:p>
    <w:p w14:paraId="77CA6598" w14:textId="77777777" w:rsidR="00142238" w:rsidRPr="00410314" w:rsidRDefault="00142238" w:rsidP="00142238">
      <w:pPr>
        <w:autoSpaceDE w:val="0"/>
        <w:autoSpaceDN w:val="0"/>
        <w:rPr>
          <w:rFonts w:ascii="HelveticaNeueLT Std" w:hAnsi="HelveticaNeueLT Std" w:cs="Arial"/>
          <w:lang w:eastAsia="sv-SE"/>
        </w:rPr>
      </w:pPr>
    </w:p>
    <w:p w14:paraId="2AA882D6" w14:textId="7777777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1DB02715" w14:textId="77777777" w:rsidR="00142238" w:rsidRPr="00410314" w:rsidRDefault="00142238" w:rsidP="00142238">
      <w:pPr>
        <w:autoSpaceDE w:val="0"/>
        <w:autoSpaceDN w:val="0"/>
        <w:rPr>
          <w:rFonts w:ascii="HelveticaNeueLT Std" w:hAnsi="HelveticaNeueLT Std" w:cs="Arial"/>
          <w:lang w:eastAsia="sv-SE"/>
        </w:rPr>
      </w:pPr>
    </w:p>
    <w:p w14:paraId="09D81438" w14:textId="7777777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t xml:space="preserve">Att över huvud taget komma in på listan är få förunnat - endast 5 promille av Sveriges bolag har lyckats. En sextett av företag utmärker sig särskilt då de har varit med på listan i sju år eller mer, däribland välkända Jula och Acne Studios. </w:t>
      </w:r>
    </w:p>
    <w:p w14:paraId="418C55AD" w14:textId="77777777" w:rsidR="00142238" w:rsidRPr="00410314" w:rsidRDefault="00142238" w:rsidP="00142238">
      <w:pPr>
        <w:autoSpaceDE w:val="0"/>
        <w:autoSpaceDN w:val="0"/>
        <w:rPr>
          <w:rFonts w:ascii="HelveticaNeueLT Std" w:hAnsi="HelveticaNeueLT Std" w:cs="Arial"/>
          <w:lang w:eastAsia="sv-SE"/>
        </w:rPr>
      </w:pPr>
    </w:p>
    <w:p w14:paraId="3FBFA391" w14:textId="7777777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t xml:space="preserve">”Att ligga kvar på listan år efter år är nästan overkligt. Vi talar här om juvelerna i svenskt näringsliv”, säger Per Adolfsson. </w:t>
      </w:r>
    </w:p>
    <w:p w14:paraId="35F2C3B9" w14:textId="77777777" w:rsidR="00142238" w:rsidRPr="00410314" w:rsidRDefault="00142238" w:rsidP="00142238">
      <w:pPr>
        <w:autoSpaceDE w:val="0"/>
        <w:autoSpaceDN w:val="0"/>
        <w:rPr>
          <w:rFonts w:ascii="HelveticaNeueLT Std" w:hAnsi="HelveticaNeueLT Std" w:cs="Arial"/>
          <w:lang w:eastAsia="sv-SE"/>
        </w:rPr>
      </w:pPr>
    </w:p>
    <w:p w14:paraId="3D4B6613" w14:textId="77777777" w:rsidR="00142238" w:rsidRPr="00410314" w:rsidRDefault="00142238" w:rsidP="00142238">
      <w:pPr>
        <w:autoSpaceDE w:val="0"/>
        <w:autoSpaceDN w:val="0"/>
        <w:rPr>
          <w:rFonts w:ascii="HelveticaNeueLT Std" w:hAnsi="HelveticaNeueLT Std" w:cs="Arial"/>
          <w:lang w:eastAsia="sv-SE"/>
        </w:rPr>
      </w:pPr>
      <w:r w:rsidRPr="00410314">
        <w:rPr>
          <w:rFonts w:ascii="HelveticaNeueLT Std" w:hAnsi="HelveticaNeueLT Std" w:cs="Arial"/>
          <w:lang w:eastAsia="sv-SE"/>
        </w:rPr>
        <w:lastRenderedPageBreak/>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583079B1" w14:textId="77777777" w:rsidR="00D12FB1" w:rsidRPr="00410314" w:rsidRDefault="00D12FB1" w:rsidP="007E78B0">
      <w:pPr>
        <w:autoSpaceDE w:val="0"/>
        <w:autoSpaceDN w:val="0"/>
        <w:rPr>
          <w:rFonts w:ascii="HelveticaNeueLT Std" w:hAnsi="HelveticaNeueLT Std" w:cs="Arial"/>
          <w:lang w:eastAsia="sv-SE"/>
        </w:rPr>
      </w:pPr>
    </w:p>
    <w:p w14:paraId="56B962ED" w14:textId="77777777" w:rsidR="00D12FB1" w:rsidRPr="00410314" w:rsidRDefault="00D12FB1" w:rsidP="007E78B0">
      <w:pPr>
        <w:autoSpaceDE w:val="0"/>
        <w:autoSpaceDN w:val="0"/>
        <w:rPr>
          <w:rFonts w:ascii="HelveticaNeueLT Std" w:hAnsi="HelveticaNeueLT Std" w:cs="Arial"/>
          <w:lang w:eastAsia="sv-SE"/>
        </w:rPr>
      </w:pPr>
    </w:p>
    <w:p w14:paraId="54A7523F" w14:textId="77777777" w:rsidR="007E78B0" w:rsidRPr="00410314" w:rsidRDefault="007E78B0" w:rsidP="007E78B0">
      <w:pPr>
        <w:autoSpaceDE w:val="0"/>
        <w:autoSpaceDN w:val="0"/>
        <w:rPr>
          <w:rFonts w:ascii="HelveticaNeueLT Std" w:hAnsi="HelveticaNeueLT Std" w:cs="Arial"/>
          <w:b/>
          <w:bCs/>
          <w:lang w:eastAsia="sv-SE"/>
        </w:rPr>
      </w:pPr>
      <w:r w:rsidRPr="00410314">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0DD5AA9E" w14:textId="77777777" w:rsidR="00D12FB1" w:rsidRDefault="00D12FB1" w:rsidP="007E78B0">
      <w:pPr>
        <w:autoSpaceDE w:val="0"/>
        <w:autoSpaceDN w:val="0"/>
        <w:rPr>
          <w:rFonts w:ascii="Arial" w:hAnsi="Arial" w:cs="Arial"/>
          <w:bCs/>
          <w:sz w:val="20"/>
          <w:szCs w:val="20"/>
          <w:lang w:eastAsia="sv-SE"/>
        </w:rPr>
      </w:pPr>
    </w:p>
    <w:p w14:paraId="58FF18FC" w14:textId="77777777" w:rsidR="00D12FB1" w:rsidRDefault="00D12FB1"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43E94035" w:rsidR="007E78B0"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w:t>
      </w:r>
      <w:hyperlink r:id="rId10" w:history="1">
        <w:r w:rsidR="00410314" w:rsidRPr="00C43EB4">
          <w:rPr>
            <w:rStyle w:val="Hyperlnk"/>
            <w:rFonts w:ascii="Arial" w:hAnsi="Arial" w:cs="Arial"/>
            <w:sz w:val="20"/>
            <w:szCs w:val="20"/>
            <w:lang w:val="en-US" w:eastAsia="sv-SE"/>
          </w:rPr>
          <w:t>per.weidenman@bisnode.com</w:t>
        </w:r>
      </w:hyperlink>
      <w:r w:rsidRPr="00C84B14">
        <w:rPr>
          <w:rFonts w:ascii="Arial" w:hAnsi="Arial" w:cs="Arial"/>
          <w:sz w:val="20"/>
          <w:szCs w:val="20"/>
          <w:lang w:val="en-US" w:eastAsia="sv-SE"/>
        </w:rPr>
        <w:t xml:space="preserve"> </w:t>
      </w:r>
    </w:p>
    <w:p w14:paraId="7E7D97FE" w14:textId="77777777" w:rsidR="00410314" w:rsidRDefault="00410314" w:rsidP="007E78B0">
      <w:pPr>
        <w:autoSpaceDE w:val="0"/>
        <w:autoSpaceDN w:val="0"/>
        <w:rPr>
          <w:rFonts w:ascii="Arial" w:hAnsi="Arial" w:cs="Arial"/>
          <w:sz w:val="20"/>
          <w:szCs w:val="20"/>
          <w:lang w:val="en-US" w:eastAsia="sv-SE"/>
        </w:rPr>
      </w:pPr>
    </w:p>
    <w:p w14:paraId="4C715CEB" w14:textId="77777777" w:rsidR="00410314" w:rsidRPr="00E263AE" w:rsidRDefault="00410314" w:rsidP="00410314">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3406853A" w14:textId="77777777" w:rsidR="00410314" w:rsidRPr="00E263AE" w:rsidRDefault="00410314" w:rsidP="00410314">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7931E473" w14:textId="77777777" w:rsidR="00410314" w:rsidRPr="00C84B14" w:rsidRDefault="00410314" w:rsidP="00410314">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6650FFC7" w14:textId="77777777" w:rsidR="00410314" w:rsidRPr="00C84B14" w:rsidRDefault="00410314" w:rsidP="007E78B0">
      <w:pPr>
        <w:autoSpaceDE w:val="0"/>
        <w:autoSpaceDN w:val="0"/>
        <w:rPr>
          <w:rFonts w:ascii="Arial" w:hAnsi="Arial" w:cs="Arial"/>
          <w:sz w:val="20"/>
          <w:szCs w:val="20"/>
          <w:lang w:val="en-US" w:eastAsia="sv-SE"/>
        </w:rPr>
      </w:pP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F660AB"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8C08F74"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räcker det inte att bara att var bra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665AB35F" w14:textId="77777777" w:rsidR="00A61100" w:rsidRPr="00C84B14" w:rsidRDefault="00A61100" w:rsidP="00A61100">
      <w:pPr>
        <w:autoSpaceDE w:val="0"/>
        <w:autoSpaceDN w:val="0"/>
        <w:rPr>
          <w:rFonts w:ascii="Arial" w:hAnsi="Arial" w:cs="Arial"/>
          <w:i/>
          <w:sz w:val="16"/>
          <w:szCs w:val="16"/>
          <w:lang w:eastAsia="sv-SE"/>
        </w:rPr>
      </w:pPr>
    </w:p>
    <w:p w14:paraId="473C4946" w14:textId="23A452F2"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företag s</w:t>
      </w:r>
      <w:r w:rsidR="00424E04">
        <w:rPr>
          <w:rFonts w:ascii="Arial" w:hAnsi="Arial" w:cs="Arial"/>
          <w:i/>
          <w:sz w:val="16"/>
          <w:szCs w:val="16"/>
          <w:lang w:eastAsia="sv-SE"/>
        </w:rPr>
        <w:t>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433CD1EB" w14:textId="77777777" w:rsidR="00447F37" w:rsidRPr="00A411BD" w:rsidRDefault="00447F37" w:rsidP="007E78B0">
      <w:pPr>
        <w:autoSpaceDE w:val="0"/>
        <w:autoSpaceDN w:val="0"/>
        <w:rPr>
          <w:rFonts w:ascii="Arial" w:hAnsi="Arial" w:cs="Arial"/>
          <w:b/>
          <w:sz w:val="20"/>
          <w:szCs w:val="20"/>
          <w:lang w:eastAsia="sv-SE"/>
        </w:rPr>
      </w:pPr>
    </w:p>
    <w:p w14:paraId="2519FC17" w14:textId="37437570" w:rsidR="00A411BD" w:rsidRPr="00C84B14" w:rsidRDefault="00A411BD" w:rsidP="007E78B0">
      <w:pPr>
        <w:autoSpaceDE w:val="0"/>
        <w:autoSpaceDN w:val="0"/>
        <w:rPr>
          <w:rFonts w:ascii="Arial" w:hAnsi="Arial" w:cs="Arial"/>
          <w:color w:val="F79646" w:themeColor="accent6"/>
          <w:sz w:val="20"/>
          <w:szCs w:val="20"/>
          <w:lang w:eastAsia="sv-SE"/>
        </w:rPr>
      </w:pPr>
    </w:p>
    <w:p w14:paraId="29B16CAB" w14:textId="0FE08316" w:rsidR="00A61100" w:rsidRPr="00C84B14" w:rsidRDefault="00A61100">
      <w:pPr>
        <w:rPr>
          <w:rFonts w:ascii="Arial" w:hAnsi="Arial" w:cs="Arial"/>
          <w:bCs/>
          <w:sz w:val="20"/>
          <w:szCs w:val="20"/>
          <w:lang w:eastAsia="sv-SE"/>
        </w:rPr>
      </w:pPr>
    </w:p>
    <w:sectPr w:rsidR="00A61100" w:rsidRPr="00C84B14" w:rsidSect="00AD2A5A">
      <w:headerReference w:type="even" r:id="rId11"/>
      <w:headerReference w:type="first" r:id="rId12"/>
      <w:foot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4B57AA5B" w14:textId="77777777" w:rsidR="00B702A0" w:rsidRPr="006D5556" w:rsidRDefault="00B702A0"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7D2F438A" w14:textId="77777777" w:rsidR="00B702A0" w:rsidRPr="006D5556" w:rsidRDefault="00B702A0" w:rsidP="006D5556">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 3000 medarbetare i 19 länder. Läs mer om 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410314">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42170"/>
    <w:rsid w:val="00050605"/>
    <w:rsid w:val="00072929"/>
    <w:rsid w:val="00076177"/>
    <w:rsid w:val="00090CBB"/>
    <w:rsid w:val="00092787"/>
    <w:rsid w:val="000A7D9D"/>
    <w:rsid w:val="000B5D26"/>
    <w:rsid w:val="000C1272"/>
    <w:rsid w:val="000C49F2"/>
    <w:rsid w:val="000C58A9"/>
    <w:rsid w:val="000C6D38"/>
    <w:rsid w:val="000D736C"/>
    <w:rsid w:val="000E00FB"/>
    <w:rsid w:val="000E2E8E"/>
    <w:rsid w:val="000E73FF"/>
    <w:rsid w:val="000E7D81"/>
    <w:rsid w:val="000F141C"/>
    <w:rsid w:val="000F7C9D"/>
    <w:rsid w:val="001122FA"/>
    <w:rsid w:val="0011515F"/>
    <w:rsid w:val="0011541C"/>
    <w:rsid w:val="00122C67"/>
    <w:rsid w:val="00142238"/>
    <w:rsid w:val="00173CBB"/>
    <w:rsid w:val="00183FD9"/>
    <w:rsid w:val="00186048"/>
    <w:rsid w:val="001A4437"/>
    <w:rsid w:val="001A47C2"/>
    <w:rsid w:val="001A6437"/>
    <w:rsid w:val="001B0F9D"/>
    <w:rsid w:val="001B6244"/>
    <w:rsid w:val="001C6DA5"/>
    <w:rsid w:val="001D1D76"/>
    <w:rsid w:val="001E67A6"/>
    <w:rsid w:val="001F44A9"/>
    <w:rsid w:val="00204E7F"/>
    <w:rsid w:val="00220C70"/>
    <w:rsid w:val="00227DDA"/>
    <w:rsid w:val="00273616"/>
    <w:rsid w:val="002759FD"/>
    <w:rsid w:val="0028038B"/>
    <w:rsid w:val="0028729A"/>
    <w:rsid w:val="0028788E"/>
    <w:rsid w:val="0029023B"/>
    <w:rsid w:val="00294E55"/>
    <w:rsid w:val="002A0B42"/>
    <w:rsid w:val="002C3855"/>
    <w:rsid w:val="002D0CF7"/>
    <w:rsid w:val="002F3061"/>
    <w:rsid w:val="003014FC"/>
    <w:rsid w:val="00305651"/>
    <w:rsid w:val="003240FB"/>
    <w:rsid w:val="0032496A"/>
    <w:rsid w:val="0033740C"/>
    <w:rsid w:val="00337A34"/>
    <w:rsid w:val="00357696"/>
    <w:rsid w:val="00370CA1"/>
    <w:rsid w:val="0038147A"/>
    <w:rsid w:val="00387725"/>
    <w:rsid w:val="00391A42"/>
    <w:rsid w:val="00392B13"/>
    <w:rsid w:val="003A0349"/>
    <w:rsid w:val="003B5319"/>
    <w:rsid w:val="003E0E56"/>
    <w:rsid w:val="003E2358"/>
    <w:rsid w:val="003F45A4"/>
    <w:rsid w:val="003F660B"/>
    <w:rsid w:val="00402393"/>
    <w:rsid w:val="00403D8B"/>
    <w:rsid w:val="00410314"/>
    <w:rsid w:val="00424E04"/>
    <w:rsid w:val="004263B9"/>
    <w:rsid w:val="004306B7"/>
    <w:rsid w:val="00430E8F"/>
    <w:rsid w:val="00445B55"/>
    <w:rsid w:val="004460ED"/>
    <w:rsid w:val="00447F37"/>
    <w:rsid w:val="00452899"/>
    <w:rsid w:val="004710CF"/>
    <w:rsid w:val="004A0E9A"/>
    <w:rsid w:val="004A5D45"/>
    <w:rsid w:val="004A6F67"/>
    <w:rsid w:val="004B7052"/>
    <w:rsid w:val="004B7EAA"/>
    <w:rsid w:val="004C44C9"/>
    <w:rsid w:val="004C77E3"/>
    <w:rsid w:val="004D5616"/>
    <w:rsid w:val="00502972"/>
    <w:rsid w:val="005128D9"/>
    <w:rsid w:val="005168ED"/>
    <w:rsid w:val="00522CAF"/>
    <w:rsid w:val="00526839"/>
    <w:rsid w:val="00572112"/>
    <w:rsid w:val="00577E4E"/>
    <w:rsid w:val="00595970"/>
    <w:rsid w:val="005A12C2"/>
    <w:rsid w:val="005B7CB3"/>
    <w:rsid w:val="005C281C"/>
    <w:rsid w:val="00607AA1"/>
    <w:rsid w:val="00611F41"/>
    <w:rsid w:val="00632634"/>
    <w:rsid w:val="00633441"/>
    <w:rsid w:val="00642215"/>
    <w:rsid w:val="00665815"/>
    <w:rsid w:val="00666978"/>
    <w:rsid w:val="006A0C4D"/>
    <w:rsid w:val="006A2873"/>
    <w:rsid w:val="006B468A"/>
    <w:rsid w:val="006D1B6B"/>
    <w:rsid w:val="006D5556"/>
    <w:rsid w:val="006D776B"/>
    <w:rsid w:val="00703017"/>
    <w:rsid w:val="00715206"/>
    <w:rsid w:val="00741FDB"/>
    <w:rsid w:val="00742100"/>
    <w:rsid w:val="0074417A"/>
    <w:rsid w:val="00751578"/>
    <w:rsid w:val="0077192C"/>
    <w:rsid w:val="00772E29"/>
    <w:rsid w:val="007A3B48"/>
    <w:rsid w:val="007D2E0D"/>
    <w:rsid w:val="007E1161"/>
    <w:rsid w:val="007E78B0"/>
    <w:rsid w:val="007F03AF"/>
    <w:rsid w:val="007F15E8"/>
    <w:rsid w:val="0080161A"/>
    <w:rsid w:val="00810B92"/>
    <w:rsid w:val="00820B8C"/>
    <w:rsid w:val="00832E95"/>
    <w:rsid w:val="00836FF9"/>
    <w:rsid w:val="00857402"/>
    <w:rsid w:val="0088059A"/>
    <w:rsid w:val="00892829"/>
    <w:rsid w:val="008A6A12"/>
    <w:rsid w:val="008B2D3A"/>
    <w:rsid w:val="008B3B0B"/>
    <w:rsid w:val="008B5335"/>
    <w:rsid w:val="008C7023"/>
    <w:rsid w:val="008D1AEC"/>
    <w:rsid w:val="008D4309"/>
    <w:rsid w:val="008F2350"/>
    <w:rsid w:val="00925707"/>
    <w:rsid w:val="009301AC"/>
    <w:rsid w:val="00934625"/>
    <w:rsid w:val="00937F5D"/>
    <w:rsid w:val="00962036"/>
    <w:rsid w:val="00981D32"/>
    <w:rsid w:val="009862B8"/>
    <w:rsid w:val="009979A6"/>
    <w:rsid w:val="009A2FAE"/>
    <w:rsid w:val="009B7361"/>
    <w:rsid w:val="009C134D"/>
    <w:rsid w:val="009C60FE"/>
    <w:rsid w:val="009D1F73"/>
    <w:rsid w:val="009D3297"/>
    <w:rsid w:val="00A01705"/>
    <w:rsid w:val="00A411BD"/>
    <w:rsid w:val="00A44D15"/>
    <w:rsid w:val="00A503C8"/>
    <w:rsid w:val="00A61100"/>
    <w:rsid w:val="00A645B7"/>
    <w:rsid w:val="00A91603"/>
    <w:rsid w:val="00AA721E"/>
    <w:rsid w:val="00AB1E65"/>
    <w:rsid w:val="00AB2C07"/>
    <w:rsid w:val="00AB3598"/>
    <w:rsid w:val="00AB4EB1"/>
    <w:rsid w:val="00AB68BC"/>
    <w:rsid w:val="00AD2A5A"/>
    <w:rsid w:val="00AD737A"/>
    <w:rsid w:val="00AE073D"/>
    <w:rsid w:val="00AF4DE5"/>
    <w:rsid w:val="00AF7336"/>
    <w:rsid w:val="00B10802"/>
    <w:rsid w:val="00B14E11"/>
    <w:rsid w:val="00B156EF"/>
    <w:rsid w:val="00B20227"/>
    <w:rsid w:val="00B40B98"/>
    <w:rsid w:val="00B451B6"/>
    <w:rsid w:val="00B702A0"/>
    <w:rsid w:val="00B72F19"/>
    <w:rsid w:val="00B9393D"/>
    <w:rsid w:val="00BB547F"/>
    <w:rsid w:val="00BC70BB"/>
    <w:rsid w:val="00C56150"/>
    <w:rsid w:val="00C5694B"/>
    <w:rsid w:val="00C63DDD"/>
    <w:rsid w:val="00C67CF1"/>
    <w:rsid w:val="00C73D10"/>
    <w:rsid w:val="00C77F16"/>
    <w:rsid w:val="00C817E5"/>
    <w:rsid w:val="00C84B14"/>
    <w:rsid w:val="00C87CB6"/>
    <w:rsid w:val="00C9065D"/>
    <w:rsid w:val="00C91D1A"/>
    <w:rsid w:val="00C926EB"/>
    <w:rsid w:val="00C95FE9"/>
    <w:rsid w:val="00CA4A29"/>
    <w:rsid w:val="00CB0466"/>
    <w:rsid w:val="00CC6701"/>
    <w:rsid w:val="00CD0543"/>
    <w:rsid w:val="00CD6E48"/>
    <w:rsid w:val="00CE0B9A"/>
    <w:rsid w:val="00CE31EC"/>
    <w:rsid w:val="00CE64AE"/>
    <w:rsid w:val="00CE7217"/>
    <w:rsid w:val="00D00565"/>
    <w:rsid w:val="00D0158E"/>
    <w:rsid w:val="00D03A85"/>
    <w:rsid w:val="00D05CEF"/>
    <w:rsid w:val="00D060F6"/>
    <w:rsid w:val="00D12FB1"/>
    <w:rsid w:val="00D16192"/>
    <w:rsid w:val="00D245A6"/>
    <w:rsid w:val="00D24E49"/>
    <w:rsid w:val="00D26606"/>
    <w:rsid w:val="00D2762A"/>
    <w:rsid w:val="00D31ECB"/>
    <w:rsid w:val="00D41A4B"/>
    <w:rsid w:val="00D57BD8"/>
    <w:rsid w:val="00D60044"/>
    <w:rsid w:val="00D70375"/>
    <w:rsid w:val="00D724C4"/>
    <w:rsid w:val="00D73070"/>
    <w:rsid w:val="00D735C8"/>
    <w:rsid w:val="00D76E47"/>
    <w:rsid w:val="00D809E3"/>
    <w:rsid w:val="00DA0B40"/>
    <w:rsid w:val="00DA2AB4"/>
    <w:rsid w:val="00DA46BF"/>
    <w:rsid w:val="00DA73B3"/>
    <w:rsid w:val="00DD1178"/>
    <w:rsid w:val="00DE3313"/>
    <w:rsid w:val="00DE5DF4"/>
    <w:rsid w:val="00DF4BAB"/>
    <w:rsid w:val="00E42E29"/>
    <w:rsid w:val="00E43666"/>
    <w:rsid w:val="00E60F4B"/>
    <w:rsid w:val="00E634E2"/>
    <w:rsid w:val="00E83ADB"/>
    <w:rsid w:val="00E842C0"/>
    <w:rsid w:val="00E87A49"/>
    <w:rsid w:val="00E90E18"/>
    <w:rsid w:val="00E91CFD"/>
    <w:rsid w:val="00E92CB4"/>
    <w:rsid w:val="00E94AEE"/>
    <w:rsid w:val="00EA4406"/>
    <w:rsid w:val="00EA7FA1"/>
    <w:rsid w:val="00EB0CC2"/>
    <w:rsid w:val="00EB1CBD"/>
    <w:rsid w:val="00EB6C47"/>
    <w:rsid w:val="00EC6613"/>
    <w:rsid w:val="00EE4DE5"/>
    <w:rsid w:val="00EF21B8"/>
    <w:rsid w:val="00F02627"/>
    <w:rsid w:val="00F07192"/>
    <w:rsid w:val="00F150DF"/>
    <w:rsid w:val="00F154E9"/>
    <w:rsid w:val="00F172AF"/>
    <w:rsid w:val="00F175D5"/>
    <w:rsid w:val="00F2374C"/>
    <w:rsid w:val="00F25844"/>
    <w:rsid w:val="00F35662"/>
    <w:rsid w:val="00F54795"/>
    <w:rsid w:val="00F65D58"/>
    <w:rsid w:val="00F660AB"/>
    <w:rsid w:val="00F6708F"/>
    <w:rsid w:val="00F70F15"/>
    <w:rsid w:val="00F80E4B"/>
    <w:rsid w:val="00F82127"/>
    <w:rsid w:val="00F83AA9"/>
    <w:rsid w:val="00F87784"/>
    <w:rsid w:val="00F946A2"/>
    <w:rsid w:val="00FB5261"/>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weidenman@bisnod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22B5-8714-409D-9555-D047F26D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3614</Characters>
  <Application>Microsoft Office Word</Application>
  <DocSecurity>4</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4287</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2014-10-22T06:42:00Z</dcterms:created>
  <dcterms:modified xsi:type="dcterms:W3CDTF">2014-10-22T06:42:00Z</dcterms:modified>
</cp:coreProperties>
</file>