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4CA5" w14:textId="6E8DE938" w:rsidR="000E32F7" w:rsidRPr="00F57DFE" w:rsidRDefault="0035518A" w:rsidP="009C73D8">
      <w:pPr>
        <w:pStyle w:val="SubtitleofDocument"/>
        <w:rPr>
          <w:rFonts w:asciiTheme="majorHAnsi" w:hAnsiTheme="majorHAnsi"/>
          <w:lang w:val="it-IT"/>
        </w:rPr>
      </w:pPr>
      <w:r w:rsidRPr="00F57DFE">
        <w:rPr>
          <w:rFonts w:asciiTheme="majorHAnsi" w:hAnsiTheme="majorHAnsi"/>
          <w:lang w:val="it-IT"/>
        </w:rPr>
        <w:t>Comunicato stampa</w:t>
      </w:r>
    </w:p>
    <w:p w14:paraId="3FEF493E" w14:textId="0C932E35" w:rsidR="004B0B8A" w:rsidRPr="00F57DFE" w:rsidRDefault="00F57DFE" w:rsidP="008C4AF7">
      <w:pPr>
        <w:pStyle w:val="ChapterTitle"/>
        <w:jc w:val="center"/>
        <w:rPr>
          <w:rFonts w:asciiTheme="majorHAnsi" w:hAnsiTheme="majorHAnsi"/>
          <w:sz w:val="40"/>
          <w:szCs w:val="40"/>
          <w:lang w:val="it-IT"/>
        </w:rPr>
      </w:pPr>
      <w:r w:rsidRPr="00F57DFE">
        <w:rPr>
          <w:rFonts w:asciiTheme="majorHAnsi" w:hAnsiTheme="majorHAnsi"/>
          <w:sz w:val="40"/>
          <w:szCs w:val="40"/>
          <w:lang w:val="it-IT"/>
        </w:rPr>
        <w:t>Visa introduce “</w:t>
      </w:r>
      <w:proofErr w:type="spellStart"/>
      <w:r w:rsidRPr="00F57DFE">
        <w:rPr>
          <w:rFonts w:asciiTheme="majorHAnsi" w:hAnsiTheme="majorHAnsi"/>
          <w:sz w:val="40"/>
          <w:szCs w:val="40"/>
          <w:lang w:val="it-IT"/>
        </w:rPr>
        <w:t>Crypto</w:t>
      </w:r>
      <w:proofErr w:type="spellEnd"/>
      <w:r w:rsidRPr="00F57DFE">
        <w:rPr>
          <w:rFonts w:asciiTheme="majorHAnsi" w:hAnsiTheme="majorHAnsi"/>
          <w:sz w:val="40"/>
          <w:szCs w:val="40"/>
          <w:lang w:val="it-IT"/>
        </w:rPr>
        <w:t xml:space="preserve"> </w:t>
      </w:r>
      <w:proofErr w:type="spellStart"/>
      <w:r w:rsidRPr="00F57DFE">
        <w:rPr>
          <w:rFonts w:asciiTheme="majorHAnsi" w:hAnsiTheme="majorHAnsi"/>
          <w:sz w:val="40"/>
          <w:szCs w:val="40"/>
          <w:lang w:val="it-IT"/>
        </w:rPr>
        <w:t>Advisory</w:t>
      </w:r>
      <w:proofErr w:type="spellEnd"/>
      <w:r w:rsidRPr="00F57DFE">
        <w:rPr>
          <w:rFonts w:asciiTheme="majorHAnsi" w:hAnsiTheme="majorHAnsi"/>
          <w:sz w:val="40"/>
          <w:szCs w:val="40"/>
          <w:lang w:val="it-IT"/>
        </w:rPr>
        <w:t xml:space="preserve"> Services”, per aiutare i propri partner a navigare nella nuova era di circolazione monetaria</w:t>
      </w:r>
    </w:p>
    <w:p w14:paraId="278240C3" w14:textId="25FDE922" w:rsidR="00924635" w:rsidRPr="00F57DFE" w:rsidRDefault="000E32F7" w:rsidP="00AB2A46">
      <w:pPr>
        <w:rPr>
          <w:rFonts w:asciiTheme="majorHAnsi" w:hAnsiTheme="majorHAnsi"/>
          <w:lang w:val="it-IT"/>
        </w:rPr>
      </w:pPr>
      <w:r w:rsidRPr="00F57DFE">
        <w:rPr>
          <w:rFonts w:asciiTheme="majorHAnsi" w:hAnsiTheme="majorHAnsi"/>
          <w:noProof/>
        </w:rPr>
        <mc:AlternateContent>
          <mc:Choice Requires="wps">
            <w:drawing>
              <wp:anchor distT="0" distB="0" distL="114300" distR="114300" simplePos="0" relativeHeight="251660288" behindDoc="0" locked="0" layoutInCell="1" allowOverlap="1" wp14:anchorId="1F4F05E9" wp14:editId="35A27291">
                <wp:simplePos x="0" y="0"/>
                <wp:positionH relativeFrom="column">
                  <wp:posOffset>4439</wp:posOffset>
                </wp:positionH>
                <wp:positionV relativeFrom="paragraph">
                  <wp:posOffset>36454</wp:posOffset>
                </wp:positionV>
                <wp:extent cx="5961888" cy="0"/>
                <wp:effectExtent l="0" t="0" r="7620" b="12700"/>
                <wp:wrapTopAndBottom/>
                <wp:docPr id="3" name="Straight Connector 3"/>
                <wp:cNvGraphicFramePr/>
                <a:graphic xmlns:a="http://schemas.openxmlformats.org/drawingml/2006/main">
                  <a:graphicData uri="http://schemas.microsoft.com/office/word/2010/wordprocessingShape">
                    <wps:wsp>
                      <wps:cNvCnPr/>
                      <wps:spPr>
                        <a:xfrm>
                          <a:off x="0" y="0"/>
                          <a:ext cx="5961888"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A7B4AE"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JwgEAANMDAAAOAAAAZHJzL2Uyb0RvYy54bWysU8tu2zAQvBfoPxC815JixHAFyzk4aC9F&#10;azTNBzDU0iLAF5asJf99l7StBG2BokEuFMmdmd1ZrjZ3kzXsCBi1dx1vFjVn4KTvtTt0/PHHpw9r&#10;zmISrhfGO+j4CSK/275/txlDCzd+8KYHZCTiYjuGjg8phbaqohzAirjwARwFlUcrEh3xUPUoRlK3&#10;prqp61U1euwDegkx0u39Oci3RV8pkOmbUhESMx2n2lJZsaxPea22G9EeUIRBy0sZ4hVVWKEdJZ2l&#10;7kUS7CfqP6SsluijV2khva28UlpC8UBumvo3Nw+DCFC8UHNimNsU305Wfj3ukem+40vOnLD0RA8J&#10;hT4Mie28c9RAj2yZ+zSG2BJ85/Z4OcWwx2x6Umjzl+ywqfT2NPcWpsQkXd5+XDXrNU2DvMaqZ2LA&#10;mD6DtyxvOm60y7ZFK45fYqJkBL1C8rVxbOz4anlb3q/KhZ1LKbt0MnBGfQdF1ih5U9TKUMHOIDsK&#10;GgchJbjUZGukbxyhM01pY2Zi/W/iBZ+pUAbuf8gzo2T2Ls1kq53Hv2VP07VkdcZT+S985+2T70/l&#10;kUqAJqc4vEx5Hs2X50J//he3vwAAAP//AwBQSwMEFAAGAAgAAAAhAMzOu1fcAAAABAEAAA8AAABk&#10;cnMvZG93bnJldi54bWxMjkFLw0AUhO+C/2F5gje7sWK1aTalFMRaKKVVqMdt9jWJZt+G3W2T/nuf&#10;XuxpGGaY+bJpbxtxQh9qRwruBwkIpMKZmkoFH+8vd88gQtRkdOMIFZwxwDS/vsp0alxHGzxtYyl4&#10;hEKqFVQxtqmUoajQ6jBwLRJnB+etjmx9KY3XHY/bRg6TZCStrokfKt3ivMLie3u0ClZ+sZjPlucv&#10;Wn/abjdc7tZv/atStzf9bAIiYh//y/CLz+iQM9PeHckE0Sh44p6CRxYOxw/jEYj9n5d5Ji/h8x8A&#10;AAD//wMAUEsBAi0AFAAGAAgAAAAhALaDOJL+AAAA4QEAABMAAAAAAAAAAAAAAAAAAAAAAFtDb250&#10;ZW50X1R5cGVzXS54bWxQSwECLQAUAAYACAAAACEAOP0h/9YAAACUAQAACwAAAAAAAAAAAAAAAAAv&#10;AQAAX3JlbHMvLnJlbHNQSwECLQAUAAYACAAAACEAs/4bicIBAADTAwAADgAAAAAAAAAAAAAAAAAu&#10;AgAAZHJzL2Uyb0RvYy54bWxQSwECLQAUAAYACAAAACEAzM67V9wAAAAEAQAADwAAAAAAAAAAAAAA&#10;AAAcBAAAZHJzL2Rvd25yZXYueG1sUEsFBgAAAAAEAAQA8wAAACUFAAAAAA==&#10;" strokecolor="#1434cb [3204]" strokeweight=".5pt">
                <v:stroke joinstyle="miter"/>
                <w10:wrap type="topAndBottom"/>
              </v:line>
            </w:pict>
          </mc:Fallback>
        </mc:AlternateContent>
      </w:r>
    </w:p>
    <w:p w14:paraId="2389111F" w14:textId="07F5DA81" w:rsidR="00F57DFE" w:rsidRPr="00F57DFE" w:rsidRDefault="00F57DFE" w:rsidP="00F57DFE">
      <w:pPr>
        <w:contextualSpacing w:val="0"/>
        <w:jc w:val="center"/>
        <w:rPr>
          <w:rFonts w:asciiTheme="majorHAnsi" w:eastAsia="Segoe UI" w:hAnsiTheme="majorHAnsi" w:cs="Segoe UI"/>
          <w:b/>
          <w:bCs/>
          <w:i/>
          <w:iCs/>
          <w:color w:val="000000"/>
          <w:sz w:val="22"/>
          <w:szCs w:val="22"/>
          <w:bdr w:val="nil"/>
          <w:shd w:val="clear" w:color="auto" w:fill="FFFFFF"/>
          <w:lang w:val="it-IT" w:eastAsia="de-DE"/>
        </w:rPr>
      </w:pPr>
      <w:r w:rsidRPr="00F57DFE">
        <w:rPr>
          <w:rFonts w:asciiTheme="majorHAnsi" w:eastAsia="Segoe UI" w:hAnsiTheme="majorHAnsi" w:cs="Segoe UI"/>
          <w:b/>
          <w:bCs/>
          <w:i/>
          <w:iCs/>
          <w:color w:val="000000"/>
          <w:sz w:val="22"/>
          <w:szCs w:val="22"/>
          <w:bdr w:val="nil"/>
          <w:shd w:val="clear" w:color="auto" w:fill="FFFFFF"/>
          <w:lang w:val="it-IT" w:eastAsia="de-DE"/>
        </w:rPr>
        <w:t>Il tema delle criptovalute sta diventando sempre più rilevante per le istituzioni finanziarie: una nuova ricerca globale rileva che circa il 40% dei proprietari di criptovalute sono propensi a cambiare la propria banca per un’altra che offra prodotti cripto</w:t>
      </w:r>
    </w:p>
    <w:p w14:paraId="7DCC46C6" w14:textId="77777777" w:rsidR="00F57DFE" w:rsidRPr="00F57DFE" w:rsidRDefault="00F57DFE" w:rsidP="00F57DFE">
      <w:pPr>
        <w:contextualSpacing w:val="0"/>
        <w:jc w:val="both"/>
        <w:rPr>
          <w:rFonts w:asciiTheme="majorHAnsi" w:eastAsia="Segoe UI" w:hAnsiTheme="majorHAnsi" w:cs="Segoe UI"/>
          <w:b/>
          <w:bCs/>
          <w:i/>
          <w:iCs/>
          <w:color w:val="000000"/>
          <w:sz w:val="22"/>
          <w:szCs w:val="22"/>
          <w:bdr w:val="nil"/>
          <w:shd w:val="clear" w:color="auto" w:fill="FFFFFF"/>
          <w:lang w:val="it-IT" w:eastAsia="de-DE"/>
        </w:rPr>
      </w:pPr>
    </w:p>
    <w:p w14:paraId="5C629925" w14:textId="101F90AD"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i/>
          <w:color w:val="000000"/>
          <w:sz w:val="22"/>
          <w:szCs w:val="22"/>
          <w:bdr w:val="nil"/>
          <w:shd w:val="clear" w:color="auto" w:fill="FFFFFF"/>
          <w:lang w:val="it-IT" w:eastAsia="de-DE"/>
        </w:rPr>
        <w:t>10 dicembre 2021</w:t>
      </w:r>
      <w:r w:rsidRPr="00F57DFE">
        <w:rPr>
          <w:rFonts w:asciiTheme="majorHAnsi" w:eastAsia="Segoe UI" w:hAnsiTheme="majorHAnsi" w:cs="Segoe UI"/>
          <w:iCs/>
          <w:color w:val="000000"/>
          <w:sz w:val="22"/>
          <w:szCs w:val="22"/>
          <w:bdr w:val="nil"/>
          <w:shd w:val="clear" w:color="auto" w:fill="FFFFFF"/>
          <w:lang w:val="it-IT" w:eastAsia="de-DE"/>
        </w:rPr>
        <w:t xml:space="preserve"> - Visa (NYSE: V), società leader nei pagamenti digitali, annuncia il </w:t>
      </w:r>
      <w:bookmarkStart w:id="0" w:name="_Hlk89954413"/>
      <w:r w:rsidRPr="00F57DFE">
        <w:rPr>
          <w:rFonts w:asciiTheme="majorHAnsi" w:eastAsia="Segoe UI" w:hAnsiTheme="majorHAnsi" w:cs="Segoe UI"/>
          <w:iCs/>
          <w:color w:val="000000"/>
          <w:sz w:val="22"/>
          <w:szCs w:val="22"/>
          <w:bdr w:val="nil"/>
          <w:shd w:val="clear" w:color="auto" w:fill="FFFFFF"/>
          <w:lang w:val="it-IT" w:eastAsia="de-DE"/>
        </w:rPr>
        <w:t>lancio di “</w:t>
      </w:r>
      <w:proofErr w:type="spellStart"/>
      <w:r w:rsidRPr="00F57DFE">
        <w:rPr>
          <w:rFonts w:asciiTheme="majorHAnsi" w:eastAsia="Segoe UI" w:hAnsiTheme="majorHAnsi" w:cs="Segoe UI"/>
          <w:iCs/>
          <w:color w:val="000000"/>
          <w:sz w:val="22"/>
          <w:szCs w:val="22"/>
          <w:bdr w:val="nil"/>
          <w:shd w:val="clear" w:color="auto" w:fill="FFFFFF"/>
          <w:lang w:val="it-IT" w:eastAsia="de-DE"/>
        </w:rPr>
        <w:t>Visa's</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Global </w:t>
      </w:r>
      <w:proofErr w:type="spellStart"/>
      <w:r w:rsidRPr="00F57DFE">
        <w:rPr>
          <w:rFonts w:asciiTheme="majorHAnsi" w:eastAsia="Segoe UI" w:hAnsiTheme="majorHAnsi" w:cs="Segoe UI"/>
          <w:iCs/>
          <w:color w:val="000000"/>
          <w:sz w:val="22"/>
          <w:szCs w:val="22"/>
          <w:bdr w:val="nil"/>
          <w:shd w:val="clear" w:color="auto" w:fill="FFFFFF"/>
          <w:lang w:val="it-IT" w:eastAsia="de-DE"/>
        </w:rPr>
        <w:t>Crypto</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w:t>
      </w:r>
      <w:proofErr w:type="spellStart"/>
      <w:r w:rsidRPr="00F57DFE">
        <w:rPr>
          <w:rFonts w:asciiTheme="majorHAnsi" w:eastAsia="Segoe UI" w:hAnsiTheme="majorHAnsi" w:cs="Segoe UI"/>
          <w:iCs/>
          <w:color w:val="000000"/>
          <w:sz w:val="22"/>
          <w:szCs w:val="22"/>
          <w:bdr w:val="nil"/>
          <w:shd w:val="clear" w:color="auto" w:fill="FFFFFF"/>
          <w:lang w:val="it-IT" w:eastAsia="de-DE"/>
        </w:rPr>
        <w:t>Advisory</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w:t>
      </w:r>
      <w:proofErr w:type="spellStart"/>
      <w:r w:rsidRPr="00F57DFE">
        <w:rPr>
          <w:rFonts w:asciiTheme="majorHAnsi" w:eastAsia="Segoe UI" w:hAnsiTheme="majorHAnsi" w:cs="Segoe UI"/>
          <w:iCs/>
          <w:color w:val="000000"/>
          <w:sz w:val="22"/>
          <w:szCs w:val="22"/>
          <w:bdr w:val="nil"/>
          <w:shd w:val="clear" w:color="auto" w:fill="FFFFFF"/>
          <w:lang w:val="it-IT" w:eastAsia="de-DE"/>
        </w:rPr>
        <w:t>Practice</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il servizio di consulenza progettato per aiutare clienti e partner nel loro percorso attraverso il mondo delle criptovalute. L’iniziativa arriva in un momento in cui le valute digitali stanno prendendo sempre più piede nella consapevolezza comune: secondo una nuova ricerca presentata da Visa, il grado di consapevolezza rispetto alle criptovalute tra gli intervistati è quasi del 94% a livello mondiale*. </w:t>
      </w:r>
    </w:p>
    <w:p w14:paraId="4D99FF56"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p>
    <w:p w14:paraId="27E57523"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iCs/>
          <w:color w:val="000000"/>
          <w:sz w:val="22"/>
          <w:szCs w:val="22"/>
          <w:bdr w:val="nil"/>
          <w:shd w:val="clear" w:color="auto" w:fill="FFFFFF"/>
          <w:lang w:val="it-IT" w:eastAsia="de-DE"/>
        </w:rPr>
        <w:t>Per le istituzioni finanziarie desiderose di attrarre o preservare i clienti con un'offerta cripto, per i commercianti che vogliono conoscere meglio i NFT (Non-</w:t>
      </w:r>
      <w:proofErr w:type="spellStart"/>
      <w:r w:rsidRPr="00F57DFE">
        <w:rPr>
          <w:rFonts w:asciiTheme="majorHAnsi" w:eastAsia="Segoe UI" w:hAnsiTheme="majorHAnsi" w:cs="Segoe UI"/>
          <w:iCs/>
          <w:color w:val="000000"/>
          <w:sz w:val="22"/>
          <w:szCs w:val="22"/>
          <w:bdr w:val="nil"/>
          <w:shd w:val="clear" w:color="auto" w:fill="FFFFFF"/>
          <w:lang w:val="it-IT" w:eastAsia="de-DE"/>
        </w:rPr>
        <w:t>Fungible</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Token), o per le banche centrali che intendono esplorare le valute digitali, </w:t>
      </w:r>
      <w:bookmarkStart w:id="1" w:name="_Hlk89955825"/>
      <w:r w:rsidRPr="00F57DFE">
        <w:rPr>
          <w:rFonts w:asciiTheme="majorHAnsi" w:eastAsia="Segoe UI" w:hAnsiTheme="majorHAnsi" w:cs="Segoe UI"/>
          <w:iCs/>
          <w:color w:val="000000"/>
          <w:sz w:val="22"/>
          <w:szCs w:val="22"/>
          <w:bdr w:val="nil"/>
          <w:shd w:val="clear" w:color="auto" w:fill="FFFFFF"/>
          <w:lang w:val="it-IT" w:eastAsia="de-DE"/>
        </w:rPr>
        <w:t>comprendere l'ecosistema cripto è il primo passo</w:t>
      </w:r>
      <w:bookmarkEnd w:id="1"/>
      <w:r w:rsidRPr="00F57DFE">
        <w:rPr>
          <w:rFonts w:asciiTheme="majorHAnsi" w:eastAsia="Segoe UI" w:hAnsiTheme="majorHAnsi" w:cs="Segoe UI"/>
          <w:iCs/>
          <w:color w:val="000000"/>
          <w:sz w:val="22"/>
          <w:szCs w:val="22"/>
          <w:bdr w:val="nil"/>
          <w:shd w:val="clear" w:color="auto" w:fill="FFFFFF"/>
          <w:lang w:val="it-IT" w:eastAsia="de-DE"/>
        </w:rPr>
        <w:t xml:space="preserve">. Grazie alla collaborazione con più di 60 piattaforme di criptovalute, la rete globale di consulenti ed esperti di prodotto, Visa dispone delle competenze necessarie per aiutare le istituzioni finanziarie a valutare le opportunità del mondo cripto, a sviluppare strategie concrete e a sperimentare nuove opportunità e innovazioni per gli utenti, come i programmi di </w:t>
      </w:r>
      <w:proofErr w:type="spellStart"/>
      <w:r w:rsidRPr="00F57DFE">
        <w:rPr>
          <w:rFonts w:asciiTheme="majorHAnsi" w:eastAsia="Segoe UI" w:hAnsiTheme="majorHAnsi" w:cs="Segoe UI"/>
          <w:iCs/>
          <w:color w:val="000000"/>
          <w:sz w:val="22"/>
          <w:szCs w:val="22"/>
          <w:bdr w:val="nil"/>
          <w:shd w:val="clear" w:color="auto" w:fill="FFFFFF"/>
          <w:lang w:val="it-IT" w:eastAsia="de-DE"/>
        </w:rPr>
        <w:t>rewarding</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e i </w:t>
      </w:r>
      <w:proofErr w:type="spellStart"/>
      <w:r w:rsidRPr="00F57DFE">
        <w:rPr>
          <w:rFonts w:asciiTheme="majorHAnsi" w:eastAsia="Segoe UI" w:hAnsiTheme="majorHAnsi" w:cs="Segoe UI"/>
          <w:iCs/>
          <w:color w:val="000000"/>
          <w:sz w:val="22"/>
          <w:szCs w:val="22"/>
          <w:bdr w:val="nil"/>
          <w:shd w:val="clear" w:color="auto" w:fill="FFFFFF"/>
          <w:lang w:val="it-IT" w:eastAsia="de-DE"/>
        </w:rPr>
        <w:t>wallet</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integrati con le Central Bank Digital </w:t>
      </w:r>
      <w:proofErr w:type="spellStart"/>
      <w:r w:rsidRPr="00F57DFE">
        <w:rPr>
          <w:rFonts w:asciiTheme="majorHAnsi" w:eastAsia="Segoe UI" w:hAnsiTheme="majorHAnsi" w:cs="Segoe UI"/>
          <w:iCs/>
          <w:color w:val="000000"/>
          <w:sz w:val="22"/>
          <w:szCs w:val="22"/>
          <w:bdr w:val="nil"/>
          <w:shd w:val="clear" w:color="auto" w:fill="FFFFFF"/>
          <w:lang w:val="it-IT" w:eastAsia="de-DE"/>
        </w:rPr>
        <w:t>Currencies</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(CBDC) per i consumatori.</w:t>
      </w:r>
    </w:p>
    <w:bookmarkEnd w:id="0"/>
    <w:p w14:paraId="28CB92F6"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p>
    <w:p w14:paraId="24D1B9A4"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iCs/>
          <w:color w:val="000000"/>
          <w:sz w:val="22"/>
          <w:szCs w:val="22"/>
          <w:bdr w:val="nil"/>
          <w:shd w:val="clear" w:color="auto" w:fill="FFFFFF"/>
          <w:lang w:val="it-IT" w:eastAsia="de-DE"/>
        </w:rPr>
        <w:t xml:space="preserve">"Abbiamo visto un cambiamento sostanziale nella mentalità dei nostri clienti nell'ultimo anno, a partire dal desiderio di esplorare e sperimentare le criptovalute, fino ad arrivare alla realizzazione concreta di una strategia e di una roadmap di prodotto", ha detto Carl </w:t>
      </w:r>
      <w:proofErr w:type="spellStart"/>
      <w:r w:rsidRPr="00F57DFE">
        <w:rPr>
          <w:rFonts w:asciiTheme="majorHAnsi" w:eastAsia="Segoe UI" w:hAnsiTheme="majorHAnsi" w:cs="Segoe UI"/>
          <w:iCs/>
          <w:color w:val="000000"/>
          <w:sz w:val="22"/>
          <w:szCs w:val="22"/>
          <w:bdr w:val="nil"/>
          <w:shd w:val="clear" w:color="auto" w:fill="FFFFFF"/>
          <w:lang w:val="it-IT" w:eastAsia="de-DE"/>
        </w:rPr>
        <w:t>Rutstein</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Global Head, Visa Consulting and Analytics. Oggi, Visa si sta impegnando con clienti e partner in ogni regione, compresi gli Stati Uniti, dove </w:t>
      </w:r>
      <w:proofErr w:type="gramStart"/>
      <w:r w:rsidRPr="00F57DFE">
        <w:rPr>
          <w:rFonts w:asciiTheme="majorHAnsi" w:eastAsia="Segoe UI" w:hAnsiTheme="majorHAnsi" w:cs="Segoe UI"/>
          <w:iCs/>
          <w:color w:val="000000"/>
          <w:sz w:val="22"/>
          <w:szCs w:val="22"/>
          <w:bdr w:val="nil"/>
          <w:shd w:val="clear" w:color="auto" w:fill="FFFFFF"/>
          <w:lang w:val="it-IT" w:eastAsia="de-DE"/>
        </w:rPr>
        <w:t>il team</w:t>
      </w:r>
      <w:proofErr w:type="gramEnd"/>
      <w:r w:rsidRPr="00F57DFE">
        <w:rPr>
          <w:rFonts w:asciiTheme="majorHAnsi" w:eastAsia="Segoe UI" w:hAnsiTheme="majorHAnsi" w:cs="Segoe UI"/>
          <w:iCs/>
          <w:color w:val="000000"/>
          <w:sz w:val="22"/>
          <w:szCs w:val="22"/>
          <w:bdr w:val="nil"/>
          <w:shd w:val="clear" w:color="auto" w:fill="FFFFFF"/>
          <w:lang w:val="it-IT" w:eastAsia="de-DE"/>
        </w:rPr>
        <w:t xml:space="preserve"> Visa sta lavorando con UMB Financial Corporation. </w:t>
      </w:r>
    </w:p>
    <w:p w14:paraId="1CCB8CFD"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p>
    <w:p w14:paraId="4EEF8B97" w14:textId="77777777" w:rsid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iCs/>
          <w:color w:val="000000"/>
          <w:sz w:val="22"/>
          <w:szCs w:val="22"/>
          <w:bdr w:val="nil"/>
          <w:shd w:val="clear" w:color="auto" w:fill="FFFFFF"/>
          <w:lang w:val="it-IT" w:eastAsia="de-DE"/>
        </w:rPr>
        <w:t xml:space="preserve">"Ci siamo rivolti a Visa per saperne di più sulle valute digitali e sui casi d'uso più rilevanti per le diverse linee di business, con l’idea di servire i nostri clienti negli anni a venire", ha commentato </w:t>
      </w:r>
      <w:proofErr w:type="spellStart"/>
      <w:r w:rsidRPr="00F57DFE">
        <w:rPr>
          <w:rFonts w:asciiTheme="majorHAnsi" w:eastAsia="Segoe UI" w:hAnsiTheme="majorHAnsi" w:cs="Segoe UI"/>
          <w:iCs/>
          <w:color w:val="000000"/>
          <w:sz w:val="22"/>
          <w:szCs w:val="22"/>
          <w:bdr w:val="nil"/>
          <w:shd w:val="clear" w:color="auto" w:fill="FFFFFF"/>
          <w:lang w:val="it-IT" w:eastAsia="de-DE"/>
        </w:rPr>
        <w:t>Uma</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Wilson, Executive Vice </w:t>
      </w:r>
      <w:proofErr w:type="spellStart"/>
      <w:r w:rsidRPr="00F57DFE">
        <w:rPr>
          <w:rFonts w:asciiTheme="majorHAnsi" w:eastAsia="Segoe UI" w:hAnsiTheme="majorHAnsi" w:cs="Segoe UI"/>
          <w:iCs/>
          <w:color w:val="000000"/>
          <w:sz w:val="22"/>
          <w:szCs w:val="22"/>
          <w:bdr w:val="nil"/>
          <w:shd w:val="clear" w:color="auto" w:fill="FFFFFF"/>
          <w:lang w:val="it-IT" w:eastAsia="de-DE"/>
        </w:rPr>
        <w:t>President</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w:t>
      </w:r>
      <w:proofErr w:type="spellStart"/>
      <w:r w:rsidRPr="00F57DFE">
        <w:rPr>
          <w:rFonts w:asciiTheme="majorHAnsi" w:eastAsia="Segoe UI" w:hAnsiTheme="majorHAnsi" w:cs="Segoe UI"/>
          <w:iCs/>
          <w:color w:val="000000"/>
          <w:sz w:val="22"/>
          <w:szCs w:val="22"/>
          <w:bdr w:val="nil"/>
          <w:shd w:val="clear" w:color="auto" w:fill="FFFFFF"/>
          <w:lang w:val="it-IT" w:eastAsia="de-DE"/>
        </w:rPr>
        <w:t>Chief</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Information and Product </w:t>
      </w:r>
      <w:proofErr w:type="spellStart"/>
      <w:r w:rsidRPr="00F57DFE">
        <w:rPr>
          <w:rFonts w:asciiTheme="majorHAnsi" w:eastAsia="Segoe UI" w:hAnsiTheme="majorHAnsi" w:cs="Segoe UI"/>
          <w:iCs/>
          <w:color w:val="000000"/>
          <w:sz w:val="22"/>
          <w:szCs w:val="22"/>
          <w:bdr w:val="nil"/>
          <w:shd w:val="clear" w:color="auto" w:fill="FFFFFF"/>
          <w:lang w:val="it-IT" w:eastAsia="de-DE"/>
        </w:rPr>
        <w:t>Officer</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UMB Bank. "VCA (Visa Consulting &amp; </w:t>
      </w:r>
      <w:proofErr w:type="spellStart"/>
      <w:r w:rsidRPr="00F57DFE">
        <w:rPr>
          <w:rFonts w:asciiTheme="majorHAnsi" w:eastAsia="Segoe UI" w:hAnsiTheme="majorHAnsi" w:cs="Segoe UI"/>
          <w:iCs/>
          <w:color w:val="000000"/>
          <w:sz w:val="22"/>
          <w:szCs w:val="22"/>
          <w:bdr w:val="nil"/>
          <w:shd w:val="clear" w:color="auto" w:fill="FFFFFF"/>
          <w:lang w:val="it-IT" w:eastAsia="de-DE"/>
        </w:rPr>
        <w:t>Analitycs</w:t>
      </w:r>
      <w:proofErr w:type="spellEnd"/>
      <w:r w:rsidRPr="00F57DFE">
        <w:rPr>
          <w:rFonts w:asciiTheme="majorHAnsi" w:eastAsia="Segoe UI" w:hAnsiTheme="majorHAnsi" w:cs="Segoe UI"/>
          <w:iCs/>
          <w:color w:val="000000"/>
          <w:sz w:val="22"/>
          <w:szCs w:val="22"/>
          <w:bdr w:val="nil"/>
          <w:shd w:val="clear" w:color="auto" w:fill="FFFFFF"/>
          <w:lang w:val="it-IT" w:eastAsia="de-DE"/>
        </w:rPr>
        <w:t>) ci ha aiutato a esplorare la roadmap di una possibile strategia - dalla selezione di prodotti e partner a considerazioni funzionali trasversali su tecnologia, finanza, rischio e compliance".</w:t>
      </w:r>
    </w:p>
    <w:p w14:paraId="341C5986" w14:textId="20FE181B"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b/>
          <w:bCs/>
          <w:iCs/>
          <w:color w:val="000000"/>
          <w:sz w:val="22"/>
          <w:szCs w:val="22"/>
          <w:bdr w:val="nil"/>
          <w:shd w:val="clear" w:color="auto" w:fill="FFFFFF"/>
          <w:lang w:val="it-IT" w:eastAsia="de-DE"/>
        </w:rPr>
        <w:lastRenderedPageBreak/>
        <w:t>UNO STUDIO DI VISA ESPLORA GLI ATTEGGIAMENTI DEI CONSUMATORI E L'ADOZIONE DI CRIPTOVALUTE</w:t>
      </w:r>
    </w:p>
    <w:p w14:paraId="3EA326D2"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iCs/>
          <w:color w:val="000000"/>
          <w:sz w:val="22"/>
          <w:szCs w:val="22"/>
          <w:bdr w:val="nil"/>
          <w:shd w:val="clear" w:color="auto" w:fill="FFFFFF"/>
          <w:lang w:val="it-IT" w:eastAsia="de-DE"/>
        </w:rPr>
        <w:t xml:space="preserve">C’è un interesse concreto da parte dei clienti nella realizzazione di soluzioni cripto, come emerge da una nuova ricerca Visa che mostra una consapevolezza e un'adozione significativa tra i consumatori a livello globale. Nel nuovo </w:t>
      </w:r>
      <w:bookmarkStart w:id="2" w:name="_Hlk89955438"/>
      <w:r w:rsidRPr="00F57DFE">
        <w:rPr>
          <w:rFonts w:asciiTheme="majorHAnsi" w:eastAsia="Segoe UI" w:hAnsiTheme="majorHAnsi" w:cs="Segoe UI"/>
          <w:iCs/>
          <w:color w:val="000000"/>
          <w:sz w:val="22"/>
          <w:szCs w:val="22"/>
          <w:bdr w:val="nil"/>
          <w:shd w:val="clear" w:color="auto" w:fill="FFFFFF"/>
          <w:lang w:val="it-IT" w:eastAsia="de-DE"/>
        </w:rPr>
        <w:t>studio "</w:t>
      </w:r>
      <w:hyperlink r:id="rId11" w:history="1">
        <w:r w:rsidRPr="00F57DFE">
          <w:rPr>
            <w:rStyle w:val="Collegamentoipertestuale"/>
            <w:rFonts w:asciiTheme="majorHAnsi" w:eastAsia="Segoe UI" w:hAnsiTheme="majorHAnsi" w:cs="Segoe UI"/>
            <w:iCs/>
            <w:sz w:val="22"/>
            <w:szCs w:val="22"/>
            <w:bdr w:val="nil"/>
            <w:shd w:val="clear" w:color="auto" w:fill="FFFFFF"/>
            <w:lang w:val="it-IT" w:eastAsia="de-DE"/>
          </w:rPr>
          <w:t xml:space="preserve">The </w:t>
        </w:r>
        <w:proofErr w:type="spellStart"/>
        <w:r w:rsidRPr="00F57DFE">
          <w:rPr>
            <w:rStyle w:val="Collegamentoipertestuale"/>
            <w:rFonts w:asciiTheme="majorHAnsi" w:eastAsia="Segoe UI" w:hAnsiTheme="majorHAnsi" w:cs="Segoe UI"/>
            <w:iCs/>
            <w:sz w:val="22"/>
            <w:szCs w:val="22"/>
            <w:bdr w:val="nil"/>
            <w:shd w:val="clear" w:color="auto" w:fill="FFFFFF"/>
            <w:lang w:val="it-IT" w:eastAsia="de-DE"/>
          </w:rPr>
          <w:t>Crypto</w:t>
        </w:r>
        <w:proofErr w:type="spellEnd"/>
        <w:r w:rsidRPr="00F57DFE">
          <w:rPr>
            <w:rStyle w:val="Collegamentoipertestuale"/>
            <w:rFonts w:asciiTheme="majorHAnsi" w:eastAsia="Segoe UI" w:hAnsiTheme="majorHAnsi" w:cs="Segoe UI"/>
            <w:iCs/>
            <w:sz w:val="22"/>
            <w:szCs w:val="22"/>
            <w:bdr w:val="nil"/>
            <w:shd w:val="clear" w:color="auto" w:fill="FFFFFF"/>
            <w:lang w:val="it-IT" w:eastAsia="de-DE"/>
          </w:rPr>
          <w:t xml:space="preserve"> </w:t>
        </w:r>
        <w:proofErr w:type="spellStart"/>
        <w:r w:rsidRPr="00F57DFE">
          <w:rPr>
            <w:rStyle w:val="Collegamentoipertestuale"/>
            <w:rFonts w:asciiTheme="majorHAnsi" w:eastAsia="Segoe UI" w:hAnsiTheme="majorHAnsi" w:cs="Segoe UI"/>
            <w:iCs/>
            <w:sz w:val="22"/>
            <w:szCs w:val="22"/>
            <w:bdr w:val="nil"/>
            <w:shd w:val="clear" w:color="auto" w:fill="FFFFFF"/>
            <w:lang w:val="it-IT" w:eastAsia="de-DE"/>
          </w:rPr>
          <w:t>Phenomenon</w:t>
        </w:r>
        <w:proofErr w:type="spellEnd"/>
        <w:r w:rsidRPr="00F57DFE">
          <w:rPr>
            <w:rStyle w:val="Collegamentoipertestuale"/>
            <w:rFonts w:asciiTheme="majorHAnsi" w:eastAsia="Segoe UI" w:hAnsiTheme="majorHAnsi" w:cs="Segoe UI"/>
            <w:iCs/>
            <w:sz w:val="22"/>
            <w:szCs w:val="22"/>
            <w:bdr w:val="nil"/>
            <w:shd w:val="clear" w:color="auto" w:fill="FFFFFF"/>
            <w:lang w:val="it-IT" w:eastAsia="de-DE"/>
          </w:rPr>
          <w:t xml:space="preserve">: Consumer </w:t>
        </w:r>
        <w:proofErr w:type="spellStart"/>
        <w:r w:rsidRPr="00F57DFE">
          <w:rPr>
            <w:rStyle w:val="Collegamentoipertestuale"/>
            <w:rFonts w:asciiTheme="majorHAnsi" w:eastAsia="Segoe UI" w:hAnsiTheme="majorHAnsi" w:cs="Segoe UI"/>
            <w:iCs/>
            <w:sz w:val="22"/>
            <w:szCs w:val="22"/>
            <w:bdr w:val="nil"/>
            <w:shd w:val="clear" w:color="auto" w:fill="FFFFFF"/>
            <w:lang w:val="it-IT" w:eastAsia="de-DE"/>
          </w:rPr>
          <w:t>Att</w:t>
        </w:r>
        <w:r w:rsidRPr="00F57DFE">
          <w:rPr>
            <w:rStyle w:val="Collegamentoipertestuale"/>
            <w:rFonts w:asciiTheme="majorHAnsi" w:eastAsia="Segoe UI" w:hAnsiTheme="majorHAnsi" w:cs="Segoe UI"/>
            <w:iCs/>
            <w:sz w:val="22"/>
            <w:szCs w:val="22"/>
            <w:bdr w:val="nil"/>
            <w:shd w:val="clear" w:color="auto" w:fill="FFFFFF"/>
            <w:lang w:val="it-IT" w:eastAsia="de-DE"/>
          </w:rPr>
          <w:t>i</w:t>
        </w:r>
        <w:r w:rsidRPr="00F57DFE">
          <w:rPr>
            <w:rStyle w:val="Collegamentoipertestuale"/>
            <w:rFonts w:asciiTheme="majorHAnsi" w:eastAsia="Segoe UI" w:hAnsiTheme="majorHAnsi" w:cs="Segoe UI"/>
            <w:iCs/>
            <w:sz w:val="22"/>
            <w:szCs w:val="22"/>
            <w:bdr w:val="nil"/>
            <w:shd w:val="clear" w:color="auto" w:fill="FFFFFF"/>
            <w:lang w:val="it-IT" w:eastAsia="de-DE"/>
          </w:rPr>
          <w:t>tudes</w:t>
        </w:r>
        <w:proofErr w:type="spellEnd"/>
        <w:r w:rsidRPr="00F57DFE">
          <w:rPr>
            <w:rStyle w:val="Collegamentoipertestuale"/>
            <w:rFonts w:asciiTheme="majorHAnsi" w:eastAsia="Segoe UI" w:hAnsiTheme="majorHAnsi" w:cs="Segoe UI"/>
            <w:iCs/>
            <w:sz w:val="22"/>
            <w:szCs w:val="22"/>
            <w:bdr w:val="nil"/>
            <w:shd w:val="clear" w:color="auto" w:fill="FFFFFF"/>
            <w:lang w:val="it-IT" w:eastAsia="de-DE"/>
          </w:rPr>
          <w:t xml:space="preserve"> &amp; </w:t>
        </w:r>
        <w:proofErr w:type="spellStart"/>
        <w:r w:rsidRPr="00F57DFE">
          <w:rPr>
            <w:rStyle w:val="Collegamentoipertestuale"/>
            <w:rFonts w:asciiTheme="majorHAnsi" w:eastAsia="Segoe UI" w:hAnsiTheme="majorHAnsi" w:cs="Segoe UI"/>
            <w:iCs/>
            <w:sz w:val="22"/>
            <w:szCs w:val="22"/>
            <w:bdr w:val="nil"/>
            <w:shd w:val="clear" w:color="auto" w:fill="FFFFFF"/>
            <w:lang w:val="it-IT" w:eastAsia="de-DE"/>
          </w:rPr>
          <w:t>Usage</w:t>
        </w:r>
        <w:proofErr w:type="spellEnd"/>
      </w:hyperlink>
      <w:r w:rsidRPr="00F57DFE">
        <w:rPr>
          <w:rFonts w:asciiTheme="majorHAnsi" w:eastAsia="Segoe UI" w:hAnsiTheme="majorHAnsi" w:cs="Segoe UI"/>
          <w:iCs/>
          <w:color w:val="000000"/>
          <w:sz w:val="22"/>
          <w:szCs w:val="22"/>
          <w:bdr w:val="nil"/>
          <w:shd w:val="clear" w:color="auto" w:fill="FFFFFF"/>
          <w:lang w:val="it-IT" w:eastAsia="de-DE"/>
        </w:rPr>
        <w:t>", Visa ha rilevato che quasi un terzo degli intervistati si è attivato direttamente con le criptovalute - sia come strumento di investimento che come mezzo di scambio. E a livello globale, quasi il 40% dei possessori di criptovalute riferisce che sarebbe propenso o addirittura molto propenso a cambiare la propria banca con un’altra istituzione che offra prodotti legati alle criptovalute nei prossimi 12 mesi.</w:t>
      </w:r>
    </w:p>
    <w:bookmarkEnd w:id="2"/>
    <w:p w14:paraId="14152886"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p>
    <w:p w14:paraId="0AC0552E"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iCs/>
          <w:color w:val="000000"/>
          <w:sz w:val="22"/>
          <w:szCs w:val="22"/>
          <w:bdr w:val="nil"/>
          <w:shd w:val="clear" w:color="auto" w:fill="FFFFFF"/>
          <w:lang w:val="it-IT" w:eastAsia="de-DE"/>
        </w:rPr>
        <w:t xml:space="preserve">"Le criptovalute rappresentano un cambiamento tecnologico per la movimentazione di denaro e la proprietà digitale", ha detto Terry Angelos, SVP, e global head fintech di Visa. "Poiché i consumatori stanno cambiando il loro approccio agli investimenti, alle modalità di gestione delle proprie finanze, così come il loro punto di vista sul futuro del denaro, ogni istituzione finanziaria avrà bisogno di una strategia cripto". </w:t>
      </w:r>
    </w:p>
    <w:p w14:paraId="0F90778B"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p>
    <w:p w14:paraId="3446BAF5"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iCs/>
          <w:color w:val="000000"/>
          <w:sz w:val="22"/>
          <w:szCs w:val="22"/>
          <w:bdr w:val="nil"/>
          <w:shd w:val="clear" w:color="auto" w:fill="FFFFFF"/>
          <w:lang w:val="it-IT" w:eastAsia="de-DE"/>
        </w:rPr>
        <w:t xml:space="preserve">Lo studio Visa su più di 6.000 individui in otto mercati (Argentina, Australia, Brasile, Germania, Hong Kong (SAR), Sud Africa, Regno Unito e Stati Uniti), ha rilevato che: </w:t>
      </w:r>
    </w:p>
    <w:p w14:paraId="187F09F8"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p>
    <w:p w14:paraId="5CAE3513" w14:textId="77777777" w:rsidR="00F57DFE" w:rsidRPr="00F57DFE" w:rsidRDefault="00F57DFE" w:rsidP="00F57DFE">
      <w:pPr>
        <w:numPr>
          <w:ilvl w:val="0"/>
          <w:numId w:val="32"/>
        </w:num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b/>
          <w:bCs/>
          <w:iCs/>
          <w:color w:val="000000"/>
          <w:sz w:val="22"/>
          <w:szCs w:val="22"/>
          <w:bdr w:val="nil"/>
          <w:shd w:val="clear" w:color="auto" w:fill="FFFFFF"/>
          <w:lang w:val="it-IT" w:eastAsia="de-DE"/>
        </w:rPr>
        <w:t>le criptovalute guadagnano terreno</w:t>
      </w:r>
      <w:r w:rsidRPr="00F57DFE">
        <w:rPr>
          <w:rFonts w:asciiTheme="majorHAnsi" w:eastAsia="Segoe UI" w:hAnsiTheme="majorHAnsi" w:cs="Segoe UI"/>
          <w:iCs/>
          <w:color w:val="000000"/>
          <w:sz w:val="22"/>
          <w:szCs w:val="22"/>
          <w:bdr w:val="nil"/>
          <w:shd w:val="clear" w:color="auto" w:fill="FFFFFF"/>
          <w:lang w:val="it-IT" w:eastAsia="de-DE"/>
        </w:rPr>
        <w:t>. La consapevolezza sulle criptovalute è quasi al 94% a livello globale tra gli intervistati.</w:t>
      </w:r>
    </w:p>
    <w:p w14:paraId="22370CC5" w14:textId="77777777" w:rsidR="00F57DFE" w:rsidRPr="00F57DFE" w:rsidRDefault="00F57DFE" w:rsidP="00F57DFE">
      <w:pPr>
        <w:numPr>
          <w:ilvl w:val="0"/>
          <w:numId w:val="32"/>
        </w:num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b/>
          <w:bCs/>
          <w:iCs/>
          <w:color w:val="000000"/>
          <w:sz w:val="22"/>
          <w:szCs w:val="22"/>
          <w:bdr w:val="nil"/>
          <w:shd w:val="clear" w:color="auto" w:fill="FFFFFF"/>
          <w:lang w:val="it-IT" w:eastAsia="de-DE"/>
        </w:rPr>
        <w:t>un segmento significativo usa o investe in criptovalute</w:t>
      </w:r>
      <w:r w:rsidRPr="00F57DFE">
        <w:rPr>
          <w:rFonts w:asciiTheme="majorHAnsi" w:eastAsia="Segoe UI" w:hAnsiTheme="majorHAnsi" w:cs="Segoe UI"/>
          <w:iCs/>
          <w:color w:val="000000"/>
          <w:sz w:val="22"/>
          <w:szCs w:val="22"/>
          <w:bdr w:val="nil"/>
          <w:shd w:val="clear" w:color="auto" w:fill="FFFFFF"/>
          <w:lang w:val="it-IT" w:eastAsia="de-DE"/>
        </w:rPr>
        <w:t xml:space="preserve">: quasi un adulto su tre che dichiara di conoscere le </w:t>
      </w:r>
      <w:proofErr w:type="spellStart"/>
      <w:r w:rsidRPr="00F57DFE">
        <w:rPr>
          <w:rFonts w:asciiTheme="majorHAnsi" w:eastAsia="Segoe UI" w:hAnsiTheme="majorHAnsi" w:cs="Segoe UI"/>
          <w:iCs/>
          <w:color w:val="000000"/>
          <w:sz w:val="22"/>
          <w:szCs w:val="22"/>
          <w:bdr w:val="nil"/>
          <w:shd w:val="clear" w:color="auto" w:fill="FFFFFF"/>
          <w:lang w:val="it-IT" w:eastAsia="de-DE"/>
        </w:rPr>
        <w:t>cryptovalute</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w:t>
      </w:r>
      <w:proofErr w:type="spellStart"/>
      <w:r w:rsidRPr="00F57DFE">
        <w:rPr>
          <w:rFonts w:asciiTheme="majorHAnsi" w:eastAsia="Segoe UI" w:hAnsiTheme="majorHAnsi" w:cs="Segoe UI"/>
          <w:iCs/>
          <w:color w:val="000000"/>
          <w:sz w:val="22"/>
          <w:szCs w:val="22"/>
          <w:bdr w:val="nil"/>
          <w:shd w:val="clear" w:color="auto" w:fill="FFFFFF"/>
          <w:lang w:val="it-IT" w:eastAsia="de-DE"/>
        </w:rPr>
        <w:t>crypto-aware</w:t>
      </w:r>
      <w:proofErr w:type="spellEnd"/>
      <w:r w:rsidRPr="00F57DFE">
        <w:rPr>
          <w:rFonts w:asciiTheme="majorHAnsi" w:eastAsia="Segoe UI" w:hAnsiTheme="majorHAnsi" w:cs="Segoe UI"/>
          <w:iCs/>
          <w:color w:val="000000"/>
          <w:sz w:val="22"/>
          <w:szCs w:val="22"/>
          <w:bdr w:val="nil"/>
          <w:shd w:val="clear" w:color="auto" w:fill="FFFFFF"/>
          <w:lang w:val="it-IT" w:eastAsia="de-DE"/>
        </w:rPr>
        <w:t>”), ne possiede già o le usa, mentre la maggior parte di questi (62%) afferma che il loro uso è aumentato nell'ultimo anno.</w:t>
      </w:r>
    </w:p>
    <w:p w14:paraId="34F1A680" w14:textId="77777777" w:rsidR="00F57DFE" w:rsidRPr="00F57DFE" w:rsidRDefault="00F57DFE" w:rsidP="00F57DFE">
      <w:pPr>
        <w:numPr>
          <w:ilvl w:val="0"/>
          <w:numId w:val="32"/>
        </w:num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b/>
          <w:bCs/>
          <w:iCs/>
          <w:color w:val="000000"/>
          <w:sz w:val="22"/>
          <w:szCs w:val="22"/>
          <w:bdr w:val="nil"/>
          <w:shd w:val="clear" w:color="auto" w:fill="FFFFFF"/>
          <w:lang w:val="it-IT" w:eastAsia="de-DE"/>
        </w:rPr>
        <w:t>l'interesse è maggiore nei mercati emergenti</w:t>
      </w:r>
      <w:r w:rsidRPr="00F57DFE">
        <w:rPr>
          <w:rFonts w:asciiTheme="majorHAnsi" w:eastAsia="Segoe UI" w:hAnsiTheme="majorHAnsi" w:cs="Segoe UI"/>
          <w:iCs/>
          <w:color w:val="000000"/>
          <w:sz w:val="22"/>
          <w:szCs w:val="22"/>
          <w:bdr w:val="nil"/>
          <w:shd w:val="clear" w:color="auto" w:fill="FFFFFF"/>
          <w:lang w:val="it-IT" w:eastAsia="de-DE"/>
        </w:rPr>
        <w:t xml:space="preserve">. Il 37% dei consumatori </w:t>
      </w:r>
      <w:proofErr w:type="spellStart"/>
      <w:r w:rsidRPr="00F57DFE">
        <w:rPr>
          <w:rFonts w:asciiTheme="majorHAnsi" w:eastAsia="Segoe UI" w:hAnsiTheme="majorHAnsi" w:cs="Segoe UI"/>
          <w:iCs/>
          <w:color w:val="000000"/>
          <w:sz w:val="22"/>
          <w:szCs w:val="22"/>
          <w:bdr w:val="nil"/>
          <w:shd w:val="clear" w:color="auto" w:fill="FFFFFF"/>
          <w:lang w:val="it-IT" w:eastAsia="de-DE"/>
        </w:rPr>
        <w:t>crypto-aware</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intervistati nei mercati emergenti usa o possiede criptovalute rispetto al 29% registrato nei mercati sviluppati. </w:t>
      </w:r>
    </w:p>
    <w:p w14:paraId="358D5A89" w14:textId="77777777" w:rsidR="00F57DFE" w:rsidRPr="00F57DFE" w:rsidRDefault="00F57DFE" w:rsidP="00F57DFE">
      <w:pPr>
        <w:numPr>
          <w:ilvl w:val="0"/>
          <w:numId w:val="32"/>
        </w:num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b/>
          <w:bCs/>
          <w:iCs/>
          <w:color w:val="000000"/>
          <w:sz w:val="22"/>
          <w:szCs w:val="22"/>
          <w:bdr w:val="nil"/>
          <w:shd w:val="clear" w:color="auto" w:fill="FFFFFF"/>
          <w:lang w:val="it-IT" w:eastAsia="de-DE"/>
        </w:rPr>
        <w:t>le motivazioni principali comprendono il ritorno atteso sull’investimento e la convinzione che le criptovalute siano il futuro dei servizi finanziari</w:t>
      </w:r>
      <w:r w:rsidRPr="00F57DFE">
        <w:rPr>
          <w:rFonts w:asciiTheme="majorHAnsi" w:eastAsia="Segoe UI" w:hAnsiTheme="majorHAnsi" w:cs="Segoe UI"/>
          <w:iCs/>
          <w:color w:val="000000"/>
          <w:sz w:val="22"/>
          <w:szCs w:val="22"/>
          <w:bdr w:val="nil"/>
          <w:shd w:val="clear" w:color="auto" w:fill="FFFFFF"/>
          <w:lang w:val="it-IT" w:eastAsia="de-DE"/>
        </w:rPr>
        <w:t xml:space="preserve">. Le principali motivazioni per possedere e usare criptovalute sono l’esser parte del "mondo finanziario del futuro" (42%) e generare ricchezza (41%) - entrambi fattori che guardano al futuro.  </w:t>
      </w:r>
    </w:p>
    <w:p w14:paraId="0AD7120A" w14:textId="77777777" w:rsidR="00F57DFE" w:rsidRPr="00F57DFE" w:rsidRDefault="00F57DFE" w:rsidP="00F57DFE">
      <w:pPr>
        <w:numPr>
          <w:ilvl w:val="0"/>
          <w:numId w:val="32"/>
        </w:num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b/>
          <w:bCs/>
          <w:iCs/>
          <w:color w:val="000000"/>
          <w:sz w:val="22"/>
          <w:szCs w:val="22"/>
          <w:bdr w:val="nil"/>
          <w:shd w:val="clear" w:color="auto" w:fill="FFFFFF"/>
          <w:lang w:val="it-IT" w:eastAsia="de-DE"/>
        </w:rPr>
        <w:t>le carte cripto-</w:t>
      </w:r>
      <w:proofErr w:type="spellStart"/>
      <w:r w:rsidRPr="00F57DFE">
        <w:rPr>
          <w:rFonts w:asciiTheme="majorHAnsi" w:eastAsia="Segoe UI" w:hAnsiTheme="majorHAnsi" w:cs="Segoe UI"/>
          <w:b/>
          <w:bCs/>
          <w:iCs/>
          <w:color w:val="000000"/>
          <w:sz w:val="22"/>
          <w:szCs w:val="22"/>
          <w:bdr w:val="nil"/>
          <w:shd w:val="clear" w:color="auto" w:fill="FFFFFF"/>
          <w:lang w:val="it-IT" w:eastAsia="de-DE"/>
        </w:rPr>
        <w:t>linked</w:t>
      </w:r>
      <w:proofErr w:type="spellEnd"/>
      <w:r w:rsidRPr="00F57DFE">
        <w:rPr>
          <w:rFonts w:asciiTheme="majorHAnsi" w:eastAsia="Segoe UI" w:hAnsiTheme="majorHAnsi" w:cs="Segoe UI"/>
          <w:b/>
          <w:bCs/>
          <w:iCs/>
          <w:color w:val="000000"/>
          <w:sz w:val="22"/>
          <w:szCs w:val="22"/>
          <w:bdr w:val="nil"/>
          <w:shd w:val="clear" w:color="auto" w:fill="FFFFFF"/>
          <w:lang w:val="it-IT" w:eastAsia="de-DE"/>
        </w:rPr>
        <w:t xml:space="preserve"> e i programmi di cripto-</w:t>
      </w:r>
      <w:proofErr w:type="spellStart"/>
      <w:r w:rsidRPr="00F57DFE">
        <w:rPr>
          <w:rFonts w:asciiTheme="majorHAnsi" w:eastAsia="Segoe UI" w:hAnsiTheme="majorHAnsi" w:cs="Segoe UI"/>
          <w:b/>
          <w:bCs/>
          <w:iCs/>
          <w:color w:val="000000"/>
          <w:sz w:val="22"/>
          <w:szCs w:val="22"/>
          <w:bdr w:val="nil"/>
          <w:shd w:val="clear" w:color="auto" w:fill="FFFFFF"/>
          <w:lang w:val="it-IT" w:eastAsia="de-DE"/>
        </w:rPr>
        <w:t>rewarding</w:t>
      </w:r>
      <w:proofErr w:type="spellEnd"/>
      <w:r w:rsidRPr="00F57DFE">
        <w:rPr>
          <w:rFonts w:asciiTheme="majorHAnsi" w:eastAsia="Segoe UI" w:hAnsiTheme="majorHAnsi" w:cs="Segoe UI"/>
          <w:b/>
          <w:bCs/>
          <w:iCs/>
          <w:color w:val="000000"/>
          <w:sz w:val="22"/>
          <w:szCs w:val="22"/>
          <w:bdr w:val="nil"/>
          <w:shd w:val="clear" w:color="auto" w:fill="FFFFFF"/>
          <w:lang w:val="it-IT" w:eastAsia="de-DE"/>
        </w:rPr>
        <w:t xml:space="preserve"> sono interessanti</w:t>
      </w:r>
      <w:r w:rsidRPr="00F57DFE">
        <w:rPr>
          <w:rFonts w:asciiTheme="majorHAnsi" w:eastAsia="Segoe UI" w:hAnsiTheme="majorHAnsi" w:cs="Segoe UI"/>
          <w:iCs/>
          <w:color w:val="000000"/>
          <w:sz w:val="22"/>
          <w:szCs w:val="22"/>
          <w:bdr w:val="nil"/>
          <w:shd w:val="clear" w:color="auto" w:fill="FFFFFF"/>
          <w:lang w:val="it-IT" w:eastAsia="de-DE"/>
        </w:rPr>
        <w:t xml:space="preserve">. Tra gli attuali possessori di criptovalute, l'81% esprime interesse per le carte cripto, che permettono di convertire e spendere criptovalute presso gli esercenti dove si fanno acquisti nello stesso modo in cui è possibile usare una carta di debito o di credito. L'84% è interessato ai premi in criptovalute, che permettono di guadagnare criptovalute come ricompensa per le spese effettuate con la carta. </w:t>
      </w:r>
    </w:p>
    <w:p w14:paraId="77DBBC0E" w14:textId="77777777" w:rsidR="00F57DFE" w:rsidRPr="00F57DFE" w:rsidRDefault="00F57DFE" w:rsidP="00F57DFE">
      <w:pPr>
        <w:numPr>
          <w:ilvl w:val="0"/>
          <w:numId w:val="32"/>
        </w:num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b/>
          <w:bCs/>
          <w:iCs/>
          <w:color w:val="000000"/>
          <w:sz w:val="22"/>
          <w:szCs w:val="22"/>
          <w:bdr w:val="nil"/>
          <w:shd w:val="clear" w:color="auto" w:fill="FFFFFF"/>
          <w:lang w:val="it-IT" w:eastAsia="de-DE"/>
        </w:rPr>
        <w:t>I consumatori sono disposti a cambiare banca alla ricerca di prodotti cripto</w:t>
      </w:r>
      <w:r w:rsidRPr="00F57DFE">
        <w:rPr>
          <w:rFonts w:asciiTheme="majorHAnsi" w:eastAsia="Segoe UI" w:hAnsiTheme="majorHAnsi" w:cs="Segoe UI"/>
          <w:iCs/>
          <w:color w:val="000000"/>
          <w:sz w:val="22"/>
          <w:szCs w:val="22"/>
          <w:bdr w:val="nil"/>
          <w:shd w:val="clear" w:color="auto" w:fill="FFFFFF"/>
          <w:lang w:val="it-IT" w:eastAsia="de-DE"/>
        </w:rPr>
        <w:t xml:space="preserve">. </w:t>
      </w:r>
    </w:p>
    <w:p w14:paraId="43EB328F" w14:textId="77777777" w:rsid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p>
    <w:p w14:paraId="43CA6EA8" w14:textId="56CAFA25"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iCs/>
          <w:color w:val="000000"/>
          <w:sz w:val="22"/>
          <w:szCs w:val="22"/>
          <w:bdr w:val="nil"/>
          <w:shd w:val="clear" w:color="auto" w:fill="FFFFFF"/>
          <w:lang w:val="it-IT" w:eastAsia="de-DE"/>
        </w:rPr>
        <w:t xml:space="preserve">A livello globale, il 18% degli intervistati afferma che sarebbe propenso o molto propenso a cambiare la propria banca nei prossimi 12 mesi per un’altra che offra prodotti cripto. Questo è particolarmente vero </w:t>
      </w:r>
      <w:r w:rsidRPr="00F57DFE">
        <w:rPr>
          <w:rFonts w:asciiTheme="majorHAnsi" w:eastAsia="Segoe UI" w:hAnsiTheme="majorHAnsi" w:cs="Segoe UI"/>
          <w:iCs/>
          <w:color w:val="000000"/>
          <w:sz w:val="22"/>
          <w:szCs w:val="22"/>
          <w:bdr w:val="nil"/>
          <w:shd w:val="clear" w:color="auto" w:fill="FFFFFF"/>
          <w:lang w:val="it-IT" w:eastAsia="de-DE"/>
        </w:rPr>
        <w:lastRenderedPageBreak/>
        <w:t xml:space="preserve">per i mercati emergenti, dove il valore sale al 24%. Tra i consumatori che già possiedono criptovalute, quasi il 40% è disposto a fare il cambio. </w:t>
      </w:r>
    </w:p>
    <w:p w14:paraId="4803E964" w14:textId="56CAFA25"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p>
    <w:p w14:paraId="591D6A4F" w14:textId="77777777" w:rsidR="00F57DFE" w:rsidRPr="00F57DFE" w:rsidRDefault="00F57DFE" w:rsidP="00F57DFE">
      <w:pPr>
        <w:contextualSpacing w:val="0"/>
        <w:jc w:val="both"/>
        <w:rPr>
          <w:rFonts w:asciiTheme="majorHAnsi" w:eastAsia="Segoe UI" w:hAnsiTheme="majorHAnsi" w:cs="Segoe UI"/>
          <w:iCs/>
          <w:color w:val="000000"/>
          <w:sz w:val="22"/>
          <w:szCs w:val="22"/>
          <w:bdr w:val="nil"/>
          <w:shd w:val="clear" w:color="auto" w:fill="FFFFFF"/>
          <w:lang w:val="it-IT" w:eastAsia="de-DE"/>
        </w:rPr>
      </w:pPr>
      <w:r w:rsidRPr="00F57DFE">
        <w:rPr>
          <w:rFonts w:asciiTheme="majorHAnsi" w:eastAsia="Segoe UI" w:hAnsiTheme="majorHAnsi" w:cs="Segoe UI"/>
          <w:iCs/>
          <w:color w:val="000000"/>
          <w:sz w:val="22"/>
          <w:szCs w:val="22"/>
          <w:bdr w:val="nil"/>
          <w:shd w:val="clear" w:color="auto" w:fill="FFFFFF"/>
          <w:lang w:val="it-IT" w:eastAsia="de-DE"/>
        </w:rPr>
        <w:t xml:space="preserve">Per scaricare “The </w:t>
      </w:r>
      <w:proofErr w:type="spellStart"/>
      <w:r w:rsidRPr="00F57DFE">
        <w:rPr>
          <w:rFonts w:asciiTheme="majorHAnsi" w:eastAsia="Segoe UI" w:hAnsiTheme="majorHAnsi" w:cs="Segoe UI"/>
          <w:iCs/>
          <w:color w:val="000000"/>
          <w:sz w:val="22"/>
          <w:szCs w:val="22"/>
          <w:bdr w:val="nil"/>
          <w:shd w:val="clear" w:color="auto" w:fill="FFFFFF"/>
          <w:lang w:val="it-IT" w:eastAsia="de-DE"/>
        </w:rPr>
        <w:t>Crypto</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w:t>
      </w:r>
      <w:proofErr w:type="spellStart"/>
      <w:r w:rsidRPr="00F57DFE">
        <w:rPr>
          <w:rFonts w:asciiTheme="majorHAnsi" w:eastAsia="Segoe UI" w:hAnsiTheme="majorHAnsi" w:cs="Segoe UI"/>
          <w:iCs/>
          <w:color w:val="000000"/>
          <w:sz w:val="22"/>
          <w:szCs w:val="22"/>
          <w:bdr w:val="nil"/>
          <w:shd w:val="clear" w:color="auto" w:fill="FFFFFF"/>
          <w:lang w:val="it-IT" w:eastAsia="de-DE"/>
        </w:rPr>
        <w:t>Phenomenon</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Consumer </w:t>
      </w:r>
      <w:proofErr w:type="spellStart"/>
      <w:r w:rsidRPr="00F57DFE">
        <w:rPr>
          <w:rFonts w:asciiTheme="majorHAnsi" w:eastAsia="Segoe UI" w:hAnsiTheme="majorHAnsi" w:cs="Segoe UI"/>
          <w:iCs/>
          <w:color w:val="000000"/>
          <w:sz w:val="22"/>
          <w:szCs w:val="22"/>
          <w:bdr w:val="nil"/>
          <w:shd w:val="clear" w:color="auto" w:fill="FFFFFF"/>
          <w:lang w:val="it-IT" w:eastAsia="de-DE"/>
        </w:rPr>
        <w:t>Attitudes</w:t>
      </w:r>
      <w:proofErr w:type="spellEnd"/>
      <w:r w:rsidRPr="00F57DFE">
        <w:rPr>
          <w:rFonts w:asciiTheme="majorHAnsi" w:eastAsia="Segoe UI" w:hAnsiTheme="majorHAnsi" w:cs="Segoe UI"/>
          <w:iCs/>
          <w:color w:val="000000"/>
          <w:sz w:val="22"/>
          <w:szCs w:val="22"/>
          <w:bdr w:val="nil"/>
          <w:shd w:val="clear" w:color="auto" w:fill="FFFFFF"/>
          <w:lang w:val="it-IT" w:eastAsia="de-DE"/>
        </w:rPr>
        <w:t xml:space="preserve"> &amp; </w:t>
      </w:r>
      <w:proofErr w:type="spellStart"/>
      <w:r w:rsidRPr="00F57DFE">
        <w:rPr>
          <w:rFonts w:asciiTheme="majorHAnsi" w:eastAsia="Segoe UI" w:hAnsiTheme="majorHAnsi" w:cs="Segoe UI"/>
          <w:iCs/>
          <w:color w:val="000000"/>
          <w:sz w:val="22"/>
          <w:szCs w:val="22"/>
          <w:bdr w:val="nil"/>
          <w:shd w:val="clear" w:color="auto" w:fill="FFFFFF"/>
          <w:lang w:val="it-IT" w:eastAsia="de-DE"/>
        </w:rPr>
        <w:t>Usage</w:t>
      </w:r>
      <w:proofErr w:type="spellEnd"/>
      <w:r w:rsidRPr="00F57DFE">
        <w:rPr>
          <w:rFonts w:asciiTheme="majorHAnsi" w:eastAsia="Segoe UI" w:hAnsiTheme="majorHAnsi" w:cs="Segoe UI"/>
          <w:iCs/>
          <w:color w:val="000000"/>
          <w:sz w:val="22"/>
          <w:szCs w:val="22"/>
          <w:bdr w:val="nil"/>
          <w:shd w:val="clear" w:color="auto" w:fill="FFFFFF"/>
          <w:lang w:val="it-IT" w:eastAsia="de-DE"/>
        </w:rPr>
        <w:t>” e saperne di più, visita [</w:t>
      </w:r>
      <w:hyperlink r:id="rId12" w:history="1">
        <w:r w:rsidRPr="00F57DFE">
          <w:rPr>
            <w:rStyle w:val="Collegamentoipertestuale"/>
            <w:rFonts w:asciiTheme="majorHAnsi" w:eastAsia="Segoe UI" w:hAnsiTheme="majorHAnsi" w:cs="Segoe UI"/>
            <w:iCs/>
            <w:sz w:val="22"/>
            <w:szCs w:val="22"/>
            <w:bdr w:val="nil"/>
            <w:shd w:val="clear" w:color="auto" w:fill="FFFFFF"/>
            <w:lang w:val="it-IT" w:eastAsia="de-DE"/>
          </w:rPr>
          <w:t>li</w:t>
        </w:r>
        <w:r w:rsidRPr="00F57DFE">
          <w:rPr>
            <w:rStyle w:val="Collegamentoipertestuale"/>
            <w:rFonts w:asciiTheme="majorHAnsi" w:eastAsia="Segoe UI" w:hAnsiTheme="majorHAnsi" w:cs="Segoe UI"/>
            <w:iCs/>
            <w:sz w:val="22"/>
            <w:szCs w:val="22"/>
            <w:bdr w:val="nil"/>
            <w:shd w:val="clear" w:color="auto" w:fill="FFFFFF"/>
            <w:lang w:val="it-IT" w:eastAsia="de-DE"/>
          </w:rPr>
          <w:t>n</w:t>
        </w:r>
        <w:r w:rsidRPr="00F57DFE">
          <w:rPr>
            <w:rStyle w:val="Collegamentoipertestuale"/>
            <w:rFonts w:asciiTheme="majorHAnsi" w:eastAsia="Segoe UI" w:hAnsiTheme="majorHAnsi" w:cs="Segoe UI"/>
            <w:iCs/>
            <w:sz w:val="22"/>
            <w:szCs w:val="22"/>
            <w:bdr w:val="nil"/>
            <w:shd w:val="clear" w:color="auto" w:fill="FFFFFF"/>
            <w:lang w:val="it-IT" w:eastAsia="de-DE"/>
          </w:rPr>
          <w:t>k</w:t>
        </w:r>
      </w:hyperlink>
      <w:r w:rsidRPr="00F57DFE">
        <w:rPr>
          <w:rFonts w:asciiTheme="majorHAnsi" w:eastAsia="Segoe UI" w:hAnsiTheme="majorHAnsi" w:cs="Segoe UI"/>
          <w:iCs/>
          <w:color w:val="000000"/>
          <w:sz w:val="22"/>
          <w:szCs w:val="22"/>
          <w:bdr w:val="nil"/>
          <w:shd w:val="clear" w:color="auto" w:fill="FFFFFF"/>
          <w:lang w:val="it-IT" w:eastAsia="de-DE"/>
        </w:rPr>
        <w:t>].</w:t>
      </w:r>
    </w:p>
    <w:p w14:paraId="722D96E5" w14:textId="64490E39" w:rsidR="007E436D" w:rsidRPr="00F57DFE" w:rsidRDefault="007E436D" w:rsidP="00684B32">
      <w:pPr>
        <w:contextualSpacing w:val="0"/>
        <w:jc w:val="both"/>
        <w:rPr>
          <w:rFonts w:asciiTheme="majorHAnsi" w:eastAsia="Segoe UI" w:hAnsiTheme="majorHAnsi" w:cs="Segoe UI"/>
          <w:iCs/>
          <w:color w:val="000000"/>
          <w:sz w:val="22"/>
          <w:szCs w:val="22"/>
          <w:bdr w:val="nil"/>
          <w:shd w:val="clear" w:color="auto" w:fill="FFFFFF"/>
          <w:lang w:val="it-IT" w:eastAsia="de-DE"/>
        </w:rPr>
      </w:pPr>
    </w:p>
    <w:p w14:paraId="15686FEA" w14:textId="77777777" w:rsidR="00F57DFE" w:rsidRPr="00F57DFE" w:rsidRDefault="00F57DFE" w:rsidP="00684B32">
      <w:pPr>
        <w:contextualSpacing w:val="0"/>
        <w:jc w:val="both"/>
        <w:rPr>
          <w:rFonts w:asciiTheme="majorHAnsi" w:eastAsia="Quattrocento Sans" w:hAnsiTheme="majorHAnsi" w:cs="Segoe UI"/>
          <w:b/>
          <w:sz w:val="20"/>
          <w:szCs w:val="20"/>
          <w:lang w:val="it-IT"/>
        </w:rPr>
      </w:pPr>
    </w:p>
    <w:p w14:paraId="15CEAAE0" w14:textId="53C9105E" w:rsidR="0085250A" w:rsidRPr="00F57DFE" w:rsidRDefault="0085250A" w:rsidP="0085250A">
      <w:pPr>
        <w:jc w:val="center"/>
        <w:rPr>
          <w:rFonts w:asciiTheme="majorHAnsi" w:eastAsia="Quattrocento Sans" w:hAnsiTheme="majorHAnsi" w:cs="Segoe UI"/>
          <w:color w:val="000000"/>
          <w:sz w:val="22"/>
          <w:szCs w:val="22"/>
          <w:lang w:val="it-IT"/>
        </w:rPr>
      </w:pPr>
      <w:r w:rsidRPr="00F57DFE">
        <w:rPr>
          <w:rFonts w:asciiTheme="majorHAnsi" w:eastAsia="Quattrocento Sans" w:hAnsiTheme="majorHAnsi" w:cs="Segoe UI"/>
          <w:color w:val="000000"/>
          <w:sz w:val="22"/>
          <w:szCs w:val="22"/>
          <w:lang w:val="it-IT"/>
        </w:rPr>
        <w:t>**********</w:t>
      </w:r>
    </w:p>
    <w:p w14:paraId="485C7ACF" w14:textId="037B1214" w:rsidR="00AB2A46" w:rsidRPr="00F57DFE" w:rsidRDefault="00AB2A46" w:rsidP="00AB2A46">
      <w:pPr>
        <w:rPr>
          <w:rFonts w:asciiTheme="majorHAnsi" w:hAnsiTheme="majorHAnsi"/>
          <w:sz w:val="22"/>
          <w:szCs w:val="22"/>
          <w:lang w:val="it-IT"/>
        </w:rPr>
      </w:pPr>
    </w:p>
    <w:p w14:paraId="4C228073" w14:textId="77777777" w:rsidR="00F57DFE" w:rsidRPr="00F57DFE" w:rsidRDefault="00F57DFE" w:rsidP="00F57DFE">
      <w:pPr>
        <w:jc w:val="both"/>
        <w:rPr>
          <w:rFonts w:asciiTheme="majorHAnsi" w:hAnsiTheme="majorHAnsi"/>
          <w:b/>
          <w:bCs/>
          <w:sz w:val="22"/>
          <w:szCs w:val="22"/>
          <w:lang w:val="it-IT"/>
        </w:rPr>
      </w:pPr>
      <w:r w:rsidRPr="00F57DFE">
        <w:rPr>
          <w:rFonts w:asciiTheme="majorHAnsi" w:hAnsiTheme="majorHAnsi"/>
          <w:b/>
          <w:bCs/>
          <w:sz w:val="22"/>
          <w:szCs w:val="22"/>
          <w:lang w:val="it-IT"/>
        </w:rPr>
        <w:t>Visa</w:t>
      </w:r>
    </w:p>
    <w:p w14:paraId="62A6A93F" w14:textId="77777777" w:rsidR="00F57DFE" w:rsidRPr="00F57DFE" w:rsidRDefault="00F57DFE" w:rsidP="00F57DFE">
      <w:pPr>
        <w:jc w:val="both"/>
        <w:rPr>
          <w:rFonts w:asciiTheme="majorHAnsi" w:hAnsiTheme="majorHAnsi"/>
          <w:sz w:val="22"/>
          <w:szCs w:val="22"/>
          <w:lang w:val="it-IT"/>
        </w:rPr>
      </w:pPr>
      <w:r w:rsidRPr="00F57DFE">
        <w:rPr>
          <w:rFonts w:asciiTheme="majorHAnsi" w:hAnsiTheme="majorHAnsi"/>
          <w:sz w:val="22"/>
          <w:szCs w:val="22"/>
          <w:lang w:val="it-IT"/>
        </w:rPr>
        <w:t xml:space="preserve">Visa Inc. (NYSE: V) è leader mondiale nei pagamenti digitali. La nostra missione è quella di connettere il mondo attraverso una rete di pagamento innovativa, affidabile e sicura, che consenta a privati, aziende ed economie di prosperare. Il nostro avanzato sistema di elaborazione globale, </w:t>
      </w:r>
      <w:proofErr w:type="spellStart"/>
      <w:r w:rsidRPr="00F57DFE">
        <w:rPr>
          <w:rFonts w:asciiTheme="majorHAnsi" w:hAnsiTheme="majorHAnsi"/>
          <w:sz w:val="22"/>
          <w:szCs w:val="22"/>
          <w:lang w:val="it-IT"/>
        </w:rPr>
        <w:t>VisaNet</w:t>
      </w:r>
      <w:proofErr w:type="spellEnd"/>
      <w:r w:rsidRPr="00F57DFE">
        <w:rPr>
          <w:rFonts w:asciiTheme="majorHAnsi" w:hAnsiTheme="majorHAnsi"/>
          <w:sz w:val="22"/>
          <w:szCs w:val="22"/>
          <w:lang w:val="it-IT"/>
        </w:rPr>
        <w:t xml:space="preserve">, fornisce pagamenti sicuri e affidabili in tutto il mondo ed è in grado di gestire oltre 65.000 messaggi di transazione al secondo. L'attenzione incessante dell'azienda verso l'innovazione è un catalizzatore per la rapida crescita del commercio connesso su qualsiasi tipo di </w:t>
      </w:r>
      <w:proofErr w:type="gramStart"/>
      <w:r w:rsidRPr="00F57DFE">
        <w:rPr>
          <w:rFonts w:asciiTheme="majorHAnsi" w:hAnsiTheme="majorHAnsi"/>
          <w:sz w:val="22"/>
          <w:szCs w:val="22"/>
          <w:lang w:val="it-IT"/>
        </w:rPr>
        <w:t>device</w:t>
      </w:r>
      <w:proofErr w:type="gramEnd"/>
      <w:r w:rsidRPr="00F57DFE">
        <w:rPr>
          <w:rFonts w:asciiTheme="majorHAnsi" w:hAnsiTheme="majorHAnsi"/>
          <w:sz w:val="22"/>
          <w:szCs w:val="22"/>
          <w:lang w:val="it-IT"/>
        </w:rPr>
        <w:t xml:space="preserve"> per tutti, ovunque. Mentre il mondo si muove dall'analogico al digitale, Visa sta dedicando il </w:t>
      </w:r>
      <w:proofErr w:type="gramStart"/>
      <w:r w:rsidRPr="00F57DFE">
        <w:rPr>
          <w:rFonts w:asciiTheme="majorHAnsi" w:hAnsiTheme="majorHAnsi"/>
          <w:sz w:val="22"/>
          <w:szCs w:val="22"/>
          <w:lang w:val="it-IT"/>
        </w:rPr>
        <w:t>brand</w:t>
      </w:r>
      <w:proofErr w:type="gramEnd"/>
      <w:r w:rsidRPr="00F57DFE">
        <w:rPr>
          <w:rFonts w:asciiTheme="majorHAnsi" w:hAnsiTheme="majorHAnsi"/>
          <w:sz w:val="22"/>
          <w:szCs w:val="22"/>
          <w:lang w:val="it-IT"/>
        </w:rPr>
        <w:t xml:space="preserve">, i prodotti, le persone, la rete e le dimensioni per rimodellare il futuro del commercio. Per maggiori informazioni, visita </w:t>
      </w:r>
      <w:hyperlink r:id="rId13" w:history="1">
        <w:r w:rsidRPr="00F57DFE">
          <w:rPr>
            <w:rStyle w:val="Collegamentoipertestuale"/>
            <w:rFonts w:asciiTheme="majorHAnsi" w:hAnsiTheme="majorHAnsi"/>
            <w:sz w:val="22"/>
            <w:szCs w:val="22"/>
            <w:lang w:val="it-IT"/>
          </w:rPr>
          <w:t>https://www.visaitalia.com/</w:t>
        </w:r>
      </w:hyperlink>
      <w:r w:rsidRPr="00F57DFE">
        <w:rPr>
          <w:rFonts w:asciiTheme="majorHAnsi" w:hAnsiTheme="majorHAnsi"/>
          <w:sz w:val="22"/>
          <w:szCs w:val="22"/>
          <w:lang w:val="it-IT"/>
        </w:rPr>
        <w:t xml:space="preserve"> e seguici su Twitter </w:t>
      </w:r>
      <w:bookmarkStart w:id="3" w:name="_Hlk29909528"/>
      <w:r w:rsidRPr="00F57DFE">
        <w:rPr>
          <w:rFonts w:asciiTheme="majorHAnsi" w:hAnsiTheme="majorHAnsi"/>
          <w:sz w:val="22"/>
          <w:szCs w:val="22"/>
          <w:lang w:val="it-IT"/>
        </w:rPr>
        <w:fldChar w:fldCharType="begin"/>
      </w:r>
      <w:r w:rsidRPr="00F57DFE">
        <w:rPr>
          <w:rFonts w:asciiTheme="majorHAnsi" w:hAnsiTheme="majorHAnsi"/>
          <w:sz w:val="22"/>
          <w:szCs w:val="22"/>
          <w:lang w:val="it-IT"/>
        </w:rPr>
        <w:instrText xml:space="preserve"> HYPERLINK "https://twitter.com/Visa_IT" </w:instrText>
      </w:r>
      <w:r w:rsidRPr="00F57DFE">
        <w:rPr>
          <w:rFonts w:asciiTheme="majorHAnsi" w:hAnsiTheme="majorHAnsi"/>
          <w:sz w:val="22"/>
          <w:szCs w:val="22"/>
          <w:lang w:val="it-IT"/>
        </w:rPr>
        <w:fldChar w:fldCharType="separate"/>
      </w:r>
      <w:r w:rsidRPr="00F57DFE">
        <w:rPr>
          <w:rStyle w:val="Collegamentoipertestuale"/>
          <w:rFonts w:asciiTheme="majorHAnsi" w:hAnsiTheme="majorHAnsi"/>
          <w:sz w:val="22"/>
          <w:szCs w:val="22"/>
          <w:lang w:val="it-IT"/>
        </w:rPr>
        <w:t>@Visa_IT</w:t>
      </w:r>
      <w:r w:rsidRPr="00F57DFE">
        <w:rPr>
          <w:rFonts w:asciiTheme="majorHAnsi" w:hAnsiTheme="majorHAnsi"/>
          <w:sz w:val="22"/>
          <w:szCs w:val="22"/>
          <w:lang w:val="it-IT"/>
        </w:rPr>
        <w:fldChar w:fldCharType="end"/>
      </w:r>
      <w:bookmarkEnd w:id="3"/>
      <w:r w:rsidRPr="00F57DFE">
        <w:rPr>
          <w:rFonts w:asciiTheme="majorHAnsi" w:hAnsiTheme="majorHAnsi"/>
          <w:sz w:val="22"/>
          <w:szCs w:val="22"/>
          <w:lang w:val="it-IT"/>
        </w:rPr>
        <w:t xml:space="preserve">. </w:t>
      </w:r>
    </w:p>
    <w:p w14:paraId="2EB7BE30" w14:textId="77777777" w:rsidR="00F57DFE" w:rsidRPr="00F57DFE" w:rsidRDefault="00F57DFE" w:rsidP="00F57DFE">
      <w:pPr>
        <w:jc w:val="both"/>
        <w:rPr>
          <w:rFonts w:asciiTheme="majorHAnsi" w:hAnsiTheme="majorHAnsi"/>
          <w:b/>
          <w:bCs/>
          <w:sz w:val="22"/>
          <w:szCs w:val="22"/>
          <w:lang w:val="it-IT"/>
        </w:rPr>
      </w:pPr>
    </w:p>
    <w:p w14:paraId="5A080B48" w14:textId="77777777" w:rsidR="00F57DFE" w:rsidRPr="00F57DFE" w:rsidRDefault="00F57DFE" w:rsidP="00F57DFE">
      <w:pPr>
        <w:jc w:val="both"/>
        <w:rPr>
          <w:rFonts w:asciiTheme="majorHAnsi" w:hAnsiTheme="majorHAnsi"/>
          <w:b/>
          <w:bCs/>
          <w:sz w:val="22"/>
          <w:szCs w:val="22"/>
          <w:lang w:val="it-IT"/>
        </w:rPr>
      </w:pPr>
      <w:r w:rsidRPr="00F57DFE">
        <w:rPr>
          <w:rFonts w:asciiTheme="majorHAnsi" w:hAnsiTheme="majorHAnsi"/>
          <w:b/>
          <w:bCs/>
          <w:sz w:val="22"/>
          <w:szCs w:val="22"/>
          <w:lang w:val="it-IT"/>
        </w:rPr>
        <w:t>Visa Consulting and Analytics</w:t>
      </w:r>
    </w:p>
    <w:p w14:paraId="01A5ACD1" w14:textId="77777777" w:rsidR="00F57DFE" w:rsidRPr="00F57DFE" w:rsidRDefault="00F57DFE" w:rsidP="00F57DFE">
      <w:pPr>
        <w:jc w:val="both"/>
        <w:rPr>
          <w:rFonts w:asciiTheme="majorHAnsi" w:hAnsiTheme="majorHAnsi"/>
          <w:sz w:val="22"/>
          <w:szCs w:val="22"/>
          <w:lang w:val="it-IT"/>
        </w:rPr>
      </w:pPr>
      <w:r w:rsidRPr="00F57DFE">
        <w:rPr>
          <w:rFonts w:asciiTheme="majorHAnsi" w:hAnsiTheme="majorHAnsi"/>
          <w:sz w:val="22"/>
          <w:szCs w:val="22"/>
          <w:lang w:val="it-IT"/>
        </w:rPr>
        <w:t xml:space="preserve">Visa Consulting &amp; Analytics (VCA) è il dipartimento di </w:t>
      </w:r>
      <w:proofErr w:type="spellStart"/>
      <w:r w:rsidRPr="00F57DFE">
        <w:rPr>
          <w:rFonts w:asciiTheme="majorHAnsi" w:hAnsiTheme="majorHAnsi"/>
          <w:sz w:val="22"/>
          <w:szCs w:val="22"/>
          <w:lang w:val="it-IT"/>
        </w:rPr>
        <w:t>advisory</w:t>
      </w:r>
      <w:proofErr w:type="spellEnd"/>
      <w:r w:rsidRPr="00F57DFE">
        <w:rPr>
          <w:rFonts w:asciiTheme="majorHAnsi" w:hAnsiTheme="majorHAnsi"/>
          <w:sz w:val="22"/>
          <w:szCs w:val="22"/>
          <w:lang w:val="it-IT"/>
        </w:rPr>
        <w:t xml:space="preserve"> sui pagamenti di Visa. Si tratta di </w:t>
      </w:r>
      <w:proofErr w:type="gramStart"/>
      <w:r w:rsidRPr="00F57DFE">
        <w:rPr>
          <w:rFonts w:asciiTheme="majorHAnsi" w:hAnsiTheme="majorHAnsi"/>
          <w:sz w:val="22"/>
          <w:szCs w:val="22"/>
          <w:lang w:val="it-IT"/>
        </w:rPr>
        <w:t>un team globale dedicato</w:t>
      </w:r>
      <w:proofErr w:type="gramEnd"/>
      <w:r w:rsidRPr="00F57DFE">
        <w:rPr>
          <w:rFonts w:asciiTheme="majorHAnsi" w:hAnsiTheme="majorHAnsi"/>
          <w:sz w:val="22"/>
          <w:szCs w:val="22"/>
          <w:lang w:val="it-IT"/>
        </w:rPr>
        <w:t xml:space="preserve"> ai clienti composto da più di 700 consulenti in materia di pagamenti, data scientist ed economisti in più di 75 città. La nostra profonda esperienza in ambito pagamenti, la mole dei nostri dati e la nostra intelligence economica ci permettono di individuare approfondimenti utili, raccomandazioni e soluzioni che portano a migliori decisioni di business e a risultati misurabili per i clienti. </w:t>
      </w:r>
    </w:p>
    <w:p w14:paraId="4BE3715E" w14:textId="77777777" w:rsidR="00F57DFE" w:rsidRPr="00F57DFE" w:rsidRDefault="00F57DFE" w:rsidP="00F57DFE">
      <w:pPr>
        <w:jc w:val="both"/>
        <w:rPr>
          <w:rFonts w:asciiTheme="majorHAnsi" w:hAnsiTheme="majorHAnsi"/>
          <w:sz w:val="22"/>
          <w:szCs w:val="22"/>
          <w:lang w:val="it-IT"/>
        </w:rPr>
      </w:pPr>
      <w:r w:rsidRPr="00F57DFE">
        <w:rPr>
          <w:rFonts w:asciiTheme="majorHAnsi" w:hAnsiTheme="majorHAnsi"/>
          <w:sz w:val="22"/>
          <w:szCs w:val="22"/>
          <w:lang w:val="it-IT"/>
        </w:rPr>
        <w:t xml:space="preserve">VCA è nella posizione ideale per dare supporto ai clienti su strategia per le valute digitali, </w:t>
      </w:r>
      <w:proofErr w:type="spellStart"/>
      <w:r w:rsidRPr="00F57DFE">
        <w:rPr>
          <w:rFonts w:asciiTheme="majorHAnsi" w:hAnsiTheme="majorHAnsi"/>
          <w:sz w:val="22"/>
          <w:szCs w:val="22"/>
          <w:lang w:val="it-IT"/>
        </w:rPr>
        <w:t>assessment</w:t>
      </w:r>
      <w:proofErr w:type="spellEnd"/>
      <w:r w:rsidRPr="00F57DFE">
        <w:rPr>
          <w:rFonts w:asciiTheme="majorHAnsi" w:hAnsiTheme="majorHAnsi"/>
          <w:sz w:val="22"/>
          <w:szCs w:val="22"/>
          <w:lang w:val="it-IT"/>
        </w:rPr>
        <w:t xml:space="preserve"> delle capacità, business case, approccio go-to-market e considerazioni su build-partner-</w:t>
      </w:r>
      <w:proofErr w:type="spellStart"/>
      <w:r w:rsidRPr="00F57DFE">
        <w:rPr>
          <w:rFonts w:asciiTheme="majorHAnsi" w:hAnsiTheme="majorHAnsi"/>
          <w:sz w:val="22"/>
          <w:szCs w:val="22"/>
          <w:lang w:val="it-IT"/>
        </w:rPr>
        <w:t>buy</w:t>
      </w:r>
      <w:proofErr w:type="spellEnd"/>
      <w:r w:rsidRPr="00F57DFE">
        <w:rPr>
          <w:rFonts w:asciiTheme="majorHAnsi" w:hAnsiTheme="majorHAnsi"/>
          <w:sz w:val="22"/>
          <w:szCs w:val="22"/>
          <w:lang w:val="it-IT"/>
        </w:rPr>
        <w:t>. Allo stesso modo, i diversi esperti in materia possono assistere in aree come lo sviluppo del prodotto, l'innovazione, il design, la strategia di marketing e la sua realizzazione.</w:t>
      </w:r>
    </w:p>
    <w:p w14:paraId="6F80F9C4" w14:textId="77777777" w:rsidR="00F57DFE" w:rsidRPr="00F57DFE" w:rsidRDefault="00F57DFE" w:rsidP="00F57DFE">
      <w:pPr>
        <w:jc w:val="both"/>
        <w:rPr>
          <w:rFonts w:asciiTheme="majorHAnsi" w:hAnsiTheme="majorHAnsi"/>
          <w:sz w:val="22"/>
          <w:szCs w:val="22"/>
          <w:lang w:val="it-IT"/>
        </w:rPr>
      </w:pPr>
    </w:p>
    <w:p w14:paraId="41FAB89B" w14:textId="77777777" w:rsidR="00F57DFE" w:rsidRPr="00F57DFE" w:rsidRDefault="00F57DFE" w:rsidP="00F57DFE">
      <w:pPr>
        <w:jc w:val="both"/>
        <w:rPr>
          <w:rFonts w:asciiTheme="majorHAnsi" w:hAnsiTheme="majorHAnsi"/>
          <w:b/>
          <w:bCs/>
          <w:sz w:val="22"/>
          <w:szCs w:val="22"/>
          <w:lang w:val="it-IT"/>
        </w:rPr>
      </w:pPr>
      <w:r w:rsidRPr="00F57DFE">
        <w:rPr>
          <w:rFonts w:asciiTheme="majorHAnsi" w:hAnsiTheme="majorHAnsi"/>
          <w:b/>
          <w:bCs/>
          <w:sz w:val="22"/>
          <w:szCs w:val="22"/>
          <w:lang w:val="it-IT"/>
        </w:rPr>
        <w:t>Disclaimer</w:t>
      </w:r>
    </w:p>
    <w:p w14:paraId="4A88FB6F" w14:textId="77777777" w:rsidR="00F57DFE" w:rsidRPr="00F57DFE" w:rsidRDefault="00F57DFE" w:rsidP="00F57DFE">
      <w:pPr>
        <w:jc w:val="both"/>
        <w:rPr>
          <w:rFonts w:asciiTheme="majorHAnsi" w:hAnsiTheme="majorHAnsi"/>
          <w:i/>
          <w:iCs/>
          <w:sz w:val="22"/>
          <w:szCs w:val="22"/>
          <w:lang w:val="it-IT"/>
        </w:rPr>
      </w:pPr>
      <w:r w:rsidRPr="00F57DFE">
        <w:rPr>
          <w:rFonts w:asciiTheme="majorHAnsi" w:hAnsiTheme="majorHAnsi"/>
          <w:i/>
          <w:iCs/>
          <w:sz w:val="22"/>
          <w:szCs w:val="22"/>
          <w:lang w:val="it-IT"/>
        </w:rPr>
        <w:t xml:space="preserve">Questo comunicato stampa contiene dichiarazioni previsionali come da U.S. Private Securities </w:t>
      </w:r>
      <w:proofErr w:type="spellStart"/>
      <w:r w:rsidRPr="00F57DFE">
        <w:rPr>
          <w:rFonts w:asciiTheme="majorHAnsi" w:hAnsiTheme="majorHAnsi"/>
          <w:i/>
          <w:iCs/>
          <w:sz w:val="22"/>
          <w:szCs w:val="22"/>
          <w:lang w:val="it-IT"/>
        </w:rPr>
        <w:t>Litigation</w:t>
      </w:r>
      <w:proofErr w:type="spellEnd"/>
      <w:r w:rsidRPr="00F57DFE">
        <w:rPr>
          <w:rFonts w:asciiTheme="majorHAnsi" w:hAnsiTheme="majorHAnsi"/>
          <w:i/>
          <w:iCs/>
          <w:sz w:val="22"/>
          <w:szCs w:val="22"/>
          <w:lang w:val="it-IT"/>
        </w:rPr>
        <w:t xml:space="preserve"> </w:t>
      </w:r>
      <w:proofErr w:type="spellStart"/>
      <w:r w:rsidRPr="00F57DFE">
        <w:rPr>
          <w:rFonts w:asciiTheme="majorHAnsi" w:hAnsiTheme="majorHAnsi"/>
          <w:i/>
          <w:iCs/>
          <w:sz w:val="22"/>
          <w:szCs w:val="22"/>
          <w:lang w:val="it-IT"/>
        </w:rPr>
        <w:t>Reform</w:t>
      </w:r>
      <w:proofErr w:type="spellEnd"/>
      <w:r w:rsidRPr="00F57DFE">
        <w:rPr>
          <w:rFonts w:asciiTheme="majorHAnsi" w:hAnsiTheme="majorHAnsi"/>
          <w:i/>
          <w:iCs/>
          <w:sz w:val="22"/>
          <w:szCs w:val="22"/>
          <w:lang w:val="it-IT"/>
        </w:rPr>
        <w:t xml:space="preserve"> Act of 1995 che riguardano, tra l'altro, le nostre operazioni future, le prospettive, gli sviluppi, le strategie e la crescita aziendale. Le dichiarazioni previsionali sono generalmente identificate da parole come "crede", "stima", "prevede", "intende", "può", "progetta", "potrebbe", "dovrebbe", "sarà", "continua" e altre espressioni simili. Tutte le dichiarazioni diverse dalle dichiarazioni storicamente fattuali potrebbero essere dichiarazioni previsionali, che parlano solo a partire dalla data in cui vengono fatte, non sono garanzia di prestazioni future e sono soggette a determinati rischi, incertezze e altri fattori, molti dei quali sono al di fuori del nostro controllo e sono difficili da prevedere. Descriviamo i rischi e le incertezze che potrebbero far sì che i risultati effettivi differiscano materialmente da quelli espressi in, o impliciti in, </w:t>
      </w:r>
      <w:r w:rsidRPr="00F57DFE">
        <w:rPr>
          <w:rFonts w:asciiTheme="majorHAnsi" w:hAnsiTheme="majorHAnsi"/>
          <w:i/>
          <w:iCs/>
          <w:sz w:val="22"/>
          <w:szCs w:val="22"/>
          <w:lang w:val="it-IT"/>
        </w:rPr>
        <w:lastRenderedPageBreak/>
        <w:t>qualsiasi di queste dichiarazioni previsionali nelle nostre deposizioni con la SEC.  Ad eccezione di quanto richiesto dalla legge, non intendiamo aggiornare o rivedere alcuna dichiarazione previsionale a seguito di nuove informazioni, eventi futuri o altro.</w:t>
      </w:r>
    </w:p>
    <w:p w14:paraId="0422A519" w14:textId="77777777" w:rsidR="00F57DFE" w:rsidRPr="00F57DFE" w:rsidRDefault="00F57DFE" w:rsidP="00F57DFE">
      <w:pPr>
        <w:jc w:val="both"/>
        <w:rPr>
          <w:rFonts w:asciiTheme="majorHAnsi" w:hAnsiTheme="majorHAnsi"/>
          <w:i/>
          <w:iCs/>
          <w:sz w:val="22"/>
          <w:szCs w:val="22"/>
          <w:lang w:val="it-IT"/>
        </w:rPr>
      </w:pPr>
    </w:p>
    <w:p w14:paraId="40246668" w14:textId="77777777" w:rsidR="00F57DFE" w:rsidRPr="00F57DFE" w:rsidRDefault="00F57DFE" w:rsidP="00F57DFE">
      <w:pPr>
        <w:jc w:val="both"/>
        <w:rPr>
          <w:rFonts w:asciiTheme="majorHAnsi" w:hAnsiTheme="majorHAnsi"/>
          <w:i/>
          <w:iCs/>
          <w:sz w:val="22"/>
          <w:szCs w:val="22"/>
          <w:lang w:val="it-IT"/>
        </w:rPr>
      </w:pPr>
      <w:r w:rsidRPr="00F57DFE">
        <w:rPr>
          <w:rFonts w:asciiTheme="majorHAnsi" w:hAnsiTheme="majorHAnsi"/>
          <w:i/>
          <w:iCs/>
          <w:sz w:val="22"/>
          <w:szCs w:val="22"/>
          <w:lang w:val="it-IT"/>
        </w:rPr>
        <w:t>I casi di studio, i confronti, le statistiche, le ricerche e le raccomandazioni sono forniti "COME SONO" e sono intesi solo a scopo informativo e non devono essere considerati come consigli operativi, di marketing, legali, tecnici, fiscali, finanziari o di altro tipo. Visa Inc. non fornisce alcuna garanzia o dichiarazione in merito alla completezza o all'accuratezza delle informazioni contenute in questo documento, né si assume alcuna responsabilità che possa derivare dall'aver fatto affidamento su tali informazioni. Le informazioni contenute nel presente documento non sono da intendersi come consigli di investimento, fiscali o legali, e i lettori sono incoraggiati a chiedere il parere di un professionista competente laddove tali consigli siano necessari.</w:t>
      </w:r>
    </w:p>
    <w:p w14:paraId="4F7971B5" w14:textId="77777777" w:rsidR="00F57DFE" w:rsidRPr="00F57DFE" w:rsidRDefault="00F57DFE" w:rsidP="00F57DFE">
      <w:pPr>
        <w:jc w:val="both"/>
        <w:rPr>
          <w:rFonts w:asciiTheme="majorHAnsi" w:hAnsiTheme="majorHAnsi"/>
          <w:sz w:val="22"/>
          <w:szCs w:val="22"/>
          <w:lang w:val="it-IT"/>
        </w:rPr>
      </w:pPr>
    </w:p>
    <w:p w14:paraId="010C0300" w14:textId="77777777" w:rsidR="00F57DFE" w:rsidRPr="00F57DFE" w:rsidRDefault="00F57DFE" w:rsidP="00F57DFE">
      <w:pPr>
        <w:jc w:val="both"/>
        <w:rPr>
          <w:rFonts w:asciiTheme="majorHAnsi" w:hAnsiTheme="majorHAnsi"/>
          <w:b/>
          <w:bCs/>
          <w:sz w:val="22"/>
          <w:szCs w:val="22"/>
          <w:lang w:val="it-IT"/>
        </w:rPr>
      </w:pPr>
      <w:r w:rsidRPr="00F57DFE">
        <w:rPr>
          <w:rFonts w:asciiTheme="majorHAnsi" w:hAnsiTheme="majorHAnsi"/>
          <w:b/>
          <w:bCs/>
          <w:sz w:val="22"/>
          <w:szCs w:val="22"/>
          <w:lang w:val="it-IT"/>
        </w:rPr>
        <w:t xml:space="preserve">*Metodologia del sondaggio </w:t>
      </w:r>
    </w:p>
    <w:p w14:paraId="44DBCD19" w14:textId="77777777" w:rsidR="00F57DFE" w:rsidRPr="00F57DFE" w:rsidRDefault="00F57DFE" w:rsidP="00F57DFE">
      <w:pPr>
        <w:jc w:val="both"/>
        <w:rPr>
          <w:rFonts w:asciiTheme="majorHAnsi" w:hAnsiTheme="majorHAnsi"/>
          <w:sz w:val="22"/>
          <w:szCs w:val="22"/>
          <w:lang w:val="it-IT"/>
        </w:rPr>
      </w:pPr>
      <w:r w:rsidRPr="00F57DFE">
        <w:rPr>
          <w:rFonts w:asciiTheme="majorHAnsi" w:hAnsiTheme="majorHAnsi"/>
          <w:sz w:val="22"/>
          <w:szCs w:val="22"/>
          <w:lang w:val="it-IT"/>
        </w:rPr>
        <w:t>Questo studio, condotto in collaborazione con LRW (</w:t>
      </w:r>
      <w:proofErr w:type="spellStart"/>
      <w:r w:rsidRPr="00F57DFE">
        <w:rPr>
          <w:rFonts w:asciiTheme="majorHAnsi" w:hAnsiTheme="majorHAnsi"/>
          <w:sz w:val="22"/>
          <w:szCs w:val="22"/>
          <w:lang w:val="it-IT"/>
        </w:rPr>
        <w:t>Material</w:t>
      </w:r>
      <w:proofErr w:type="spellEnd"/>
      <w:r w:rsidRPr="00F57DFE">
        <w:rPr>
          <w:rFonts w:asciiTheme="majorHAnsi" w:hAnsiTheme="majorHAnsi"/>
          <w:sz w:val="22"/>
          <w:szCs w:val="22"/>
          <w:lang w:val="it-IT"/>
        </w:rPr>
        <w:t xml:space="preserve"> Company), ha incluso 9 focus group e 10 interviste approfondite negli Stati Uniti, in Germania e in Argentina dal 14 al 26 luglio 2021 e ha raccolto 6.430 risposte al sondaggio online in Argentina, Australia, Brasile, Germania, Hong Kong (SAR), Sud Africa, Stati Uniti e Regno Unito tra il 25 agosto e il 13 settembre 2021. </w:t>
      </w:r>
    </w:p>
    <w:p w14:paraId="3F581778" w14:textId="77777777" w:rsidR="00F57DFE" w:rsidRPr="00F57DFE" w:rsidRDefault="00F57DFE" w:rsidP="00F57DFE">
      <w:pPr>
        <w:jc w:val="both"/>
        <w:rPr>
          <w:rFonts w:asciiTheme="majorHAnsi" w:hAnsiTheme="majorHAnsi"/>
          <w:sz w:val="22"/>
          <w:szCs w:val="22"/>
          <w:lang w:val="it-IT"/>
        </w:rPr>
      </w:pPr>
    </w:p>
    <w:p w14:paraId="31891E4D" w14:textId="77777777" w:rsidR="00F57DFE" w:rsidRPr="00F57DFE" w:rsidRDefault="00F57DFE" w:rsidP="00F57DFE">
      <w:pPr>
        <w:jc w:val="both"/>
        <w:rPr>
          <w:rFonts w:asciiTheme="majorHAnsi" w:hAnsiTheme="majorHAnsi"/>
          <w:sz w:val="22"/>
          <w:szCs w:val="22"/>
          <w:lang w:val="it-IT"/>
        </w:rPr>
      </w:pPr>
      <w:r w:rsidRPr="00F57DFE">
        <w:rPr>
          <w:rFonts w:asciiTheme="majorHAnsi" w:hAnsiTheme="majorHAnsi"/>
          <w:sz w:val="22"/>
          <w:szCs w:val="22"/>
          <w:lang w:val="it-IT"/>
        </w:rPr>
        <w:t>La ricerca riflette i punti di vista e le opinioni delle popolazioni online in questi mercati ed è demograficamente rappresentativa in base a età, sesso, reddito, regione ed etnia. Per qualificarsi per il sondaggio, gli intervistati dovevano:</w:t>
      </w:r>
    </w:p>
    <w:p w14:paraId="745C434A" w14:textId="77777777" w:rsidR="00F57DFE" w:rsidRPr="00F57DFE" w:rsidRDefault="00F57DFE" w:rsidP="00F57DFE">
      <w:pPr>
        <w:numPr>
          <w:ilvl w:val="0"/>
          <w:numId w:val="33"/>
        </w:numPr>
        <w:jc w:val="both"/>
        <w:rPr>
          <w:rFonts w:asciiTheme="majorHAnsi" w:hAnsiTheme="majorHAnsi"/>
          <w:sz w:val="22"/>
          <w:szCs w:val="22"/>
          <w:lang w:val="it-IT"/>
        </w:rPr>
      </w:pPr>
      <w:r w:rsidRPr="00F57DFE">
        <w:rPr>
          <w:rFonts w:asciiTheme="majorHAnsi" w:hAnsiTheme="majorHAnsi"/>
          <w:sz w:val="22"/>
          <w:szCs w:val="22"/>
          <w:lang w:val="it-IT"/>
        </w:rPr>
        <w:t>Avere almeno 18 anni</w:t>
      </w:r>
    </w:p>
    <w:p w14:paraId="128E6D7D" w14:textId="77777777" w:rsidR="00F57DFE" w:rsidRPr="00F57DFE" w:rsidRDefault="00F57DFE" w:rsidP="00F57DFE">
      <w:pPr>
        <w:numPr>
          <w:ilvl w:val="0"/>
          <w:numId w:val="33"/>
        </w:numPr>
        <w:jc w:val="both"/>
        <w:rPr>
          <w:rFonts w:asciiTheme="majorHAnsi" w:hAnsiTheme="majorHAnsi"/>
          <w:sz w:val="22"/>
          <w:szCs w:val="22"/>
          <w:lang w:val="it-IT"/>
        </w:rPr>
      </w:pPr>
      <w:r w:rsidRPr="00F57DFE">
        <w:rPr>
          <w:rFonts w:asciiTheme="majorHAnsi" w:hAnsiTheme="majorHAnsi"/>
          <w:sz w:val="22"/>
          <w:szCs w:val="22"/>
          <w:lang w:val="it-IT"/>
        </w:rPr>
        <w:t>Se 25 anni o più, avere un reddito di almeno 35.000 dollari (o equivalente al mercato)</w:t>
      </w:r>
    </w:p>
    <w:p w14:paraId="7D0B14C5" w14:textId="77777777" w:rsidR="00F57DFE" w:rsidRPr="00F57DFE" w:rsidRDefault="00F57DFE" w:rsidP="00F57DFE">
      <w:pPr>
        <w:numPr>
          <w:ilvl w:val="0"/>
          <w:numId w:val="33"/>
        </w:numPr>
        <w:jc w:val="both"/>
        <w:rPr>
          <w:rFonts w:asciiTheme="majorHAnsi" w:hAnsiTheme="majorHAnsi"/>
          <w:sz w:val="22"/>
          <w:szCs w:val="22"/>
          <w:lang w:val="it-IT"/>
        </w:rPr>
      </w:pPr>
      <w:r w:rsidRPr="00F57DFE">
        <w:rPr>
          <w:rFonts w:asciiTheme="majorHAnsi" w:hAnsiTheme="majorHAnsi"/>
          <w:sz w:val="22"/>
          <w:szCs w:val="22"/>
          <w:lang w:val="it-IT"/>
        </w:rPr>
        <w:t xml:space="preserve">Avere una responsabilità decisionale finanziaria condivisa o congiunta nella loro famiglia </w:t>
      </w:r>
    </w:p>
    <w:p w14:paraId="2D28CAE5" w14:textId="77777777" w:rsidR="00F57DFE" w:rsidRPr="00F57DFE" w:rsidRDefault="00F57DFE" w:rsidP="00F57DFE">
      <w:pPr>
        <w:jc w:val="both"/>
        <w:rPr>
          <w:rFonts w:asciiTheme="majorHAnsi" w:hAnsiTheme="majorHAnsi"/>
          <w:sz w:val="22"/>
          <w:szCs w:val="22"/>
          <w:lang w:val="it-IT"/>
        </w:rPr>
      </w:pPr>
      <w:r w:rsidRPr="00F57DFE">
        <w:rPr>
          <w:rFonts w:asciiTheme="majorHAnsi" w:hAnsiTheme="majorHAnsi"/>
          <w:sz w:val="22"/>
          <w:szCs w:val="22"/>
          <w:lang w:val="it-IT"/>
        </w:rPr>
        <w:t xml:space="preserve">Tra questo gruppo, i partecipanti sono stati ulteriormente selezionati in base alla loro consapevolezza sulle criptovalute: coloro che hanno indicato di conoscere le criptovalute sono stati invitati a partecipare al sondaggio completo su approcci e utilizzi delle criptovalute. I tassi di screening sono stati rilevati per dimensionare questo gruppo tra tutti gli adulti online. </w:t>
      </w:r>
    </w:p>
    <w:p w14:paraId="10FC7A74" w14:textId="77777777" w:rsidR="00F57DFE" w:rsidRPr="00F57DFE" w:rsidRDefault="00F57DFE" w:rsidP="00F57DFE">
      <w:pPr>
        <w:jc w:val="both"/>
        <w:rPr>
          <w:rFonts w:asciiTheme="majorHAnsi" w:hAnsiTheme="majorHAnsi"/>
          <w:sz w:val="22"/>
          <w:szCs w:val="22"/>
          <w:lang w:val="it-IT"/>
        </w:rPr>
      </w:pPr>
      <w:r w:rsidRPr="00F57DFE">
        <w:rPr>
          <w:rFonts w:asciiTheme="majorHAnsi" w:hAnsiTheme="majorHAnsi"/>
          <w:sz w:val="22"/>
          <w:szCs w:val="22"/>
          <w:lang w:val="it-IT"/>
        </w:rPr>
        <w:t>Le statistiche che si riferiscono ai "proprietari di criptovalute" rappresentano un dato combinato di "proprietari attivi", ossia intervistati che hanno usato le criptovalute per inviare o ricevere denaro, acquistare beni o accettare pagamenti almeno una volta, e di "proprietari passivi", ossia intervistati che hanno acquistato le criptovalute come investimento, ma non hanno trasferito/transato con esse.</w:t>
      </w:r>
    </w:p>
    <w:p w14:paraId="40F25DA7" w14:textId="77777777" w:rsidR="00F57DFE" w:rsidRPr="00F57DFE" w:rsidRDefault="00F57DFE" w:rsidP="00F57DFE">
      <w:pPr>
        <w:jc w:val="both"/>
        <w:rPr>
          <w:rFonts w:asciiTheme="majorHAnsi" w:hAnsiTheme="majorHAnsi"/>
          <w:sz w:val="22"/>
          <w:szCs w:val="22"/>
          <w:lang w:val="it-IT"/>
        </w:rPr>
      </w:pPr>
    </w:p>
    <w:p w14:paraId="2CFF9B46" w14:textId="77777777" w:rsidR="00F57DFE" w:rsidRPr="00F57DFE" w:rsidRDefault="00F57DFE" w:rsidP="00F57DFE">
      <w:pPr>
        <w:jc w:val="both"/>
        <w:rPr>
          <w:rFonts w:asciiTheme="majorHAnsi" w:hAnsiTheme="majorHAnsi"/>
          <w:sz w:val="22"/>
          <w:szCs w:val="22"/>
          <w:lang w:val="it-IT"/>
        </w:rPr>
      </w:pPr>
      <w:r w:rsidRPr="00F57DFE">
        <w:rPr>
          <w:rFonts w:asciiTheme="majorHAnsi" w:hAnsiTheme="majorHAnsi"/>
          <w:sz w:val="22"/>
          <w:szCs w:val="22"/>
          <w:lang w:val="it-IT"/>
        </w:rPr>
        <w:t xml:space="preserve">Per la metodologia completa del sondaggio, si prega di visualizzare il report disponibile </w:t>
      </w:r>
      <w:hyperlink r:id="rId14" w:history="1">
        <w:r w:rsidRPr="00F57DFE">
          <w:rPr>
            <w:rStyle w:val="Collegamentoipertestuale"/>
            <w:rFonts w:asciiTheme="majorHAnsi" w:hAnsiTheme="majorHAnsi"/>
            <w:sz w:val="22"/>
            <w:szCs w:val="22"/>
            <w:lang w:val="it-IT"/>
          </w:rPr>
          <w:t>q</w:t>
        </w:r>
        <w:r w:rsidRPr="00F57DFE">
          <w:rPr>
            <w:rStyle w:val="Collegamentoipertestuale"/>
            <w:rFonts w:asciiTheme="majorHAnsi" w:hAnsiTheme="majorHAnsi"/>
            <w:sz w:val="22"/>
            <w:szCs w:val="22"/>
            <w:lang w:val="it-IT"/>
          </w:rPr>
          <w:t>u</w:t>
        </w:r>
        <w:r w:rsidRPr="00F57DFE">
          <w:rPr>
            <w:rStyle w:val="Collegamentoipertestuale"/>
            <w:rFonts w:asciiTheme="majorHAnsi" w:hAnsiTheme="majorHAnsi"/>
            <w:sz w:val="22"/>
            <w:szCs w:val="22"/>
            <w:lang w:val="it-IT"/>
          </w:rPr>
          <w:t>i</w:t>
        </w:r>
      </w:hyperlink>
      <w:r w:rsidRPr="00F57DFE">
        <w:rPr>
          <w:rFonts w:asciiTheme="majorHAnsi" w:hAnsiTheme="majorHAnsi"/>
          <w:sz w:val="22"/>
          <w:szCs w:val="22"/>
          <w:lang w:val="it-IT"/>
        </w:rPr>
        <w:t>.</w:t>
      </w:r>
    </w:p>
    <w:p w14:paraId="237149A2" w14:textId="77777777" w:rsidR="00F57DFE" w:rsidRPr="00F57DFE" w:rsidRDefault="00F57DFE" w:rsidP="00F57DFE">
      <w:pPr>
        <w:jc w:val="both"/>
        <w:rPr>
          <w:rFonts w:asciiTheme="majorHAnsi" w:hAnsiTheme="majorHAnsi"/>
          <w:sz w:val="22"/>
          <w:szCs w:val="22"/>
          <w:lang w:val="it-IT"/>
        </w:rPr>
      </w:pPr>
    </w:p>
    <w:sectPr w:rsidR="00F57DFE" w:rsidRPr="00F57DFE" w:rsidSect="00C3337F">
      <w:headerReference w:type="default" r:id="rId15"/>
      <w:footerReference w:type="default" r:id="rId16"/>
      <w:headerReference w:type="first" r:id="rId17"/>
      <w:footerReference w:type="first" r:id="rId18"/>
      <w:pgSz w:w="12240" w:h="15840"/>
      <w:pgMar w:top="2736" w:right="720" w:bottom="1152" w:left="216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EA87B" w14:textId="77777777" w:rsidR="002345F9" w:rsidRDefault="002345F9" w:rsidP="009F4DFF">
      <w:r>
        <w:separator/>
      </w:r>
    </w:p>
  </w:endnote>
  <w:endnote w:type="continuationSeparator" w:id="0">
    <w:p w14:paraId="0F5B9F39" w14:textId="77777777" w:rsidR="002345F9" w:rsidRDefault="002345F9" w:rsidP="009F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sa Dialect Regular">
    <w:altName w:val="Calibri"/>
    <w:charset w:val="00"/>
    <w:family w:val="auto"/>
    <w:pitch w:val="variable"/>
    <w:sig w:usb0="A00002FF" w:usb1="4000027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parajita">
    <w:charset w:val="00"/>
    <w:family w:val="roman"/>
    <w:pitch w:val="variable"/>
    <w:sig w:usb0="00008003" w:usb1="00000000" w:usb2="00000000" w:usb3="00000000" w:csb0="00000001" w:csb1="00000000"/>
    <w:embedRegular r:id="rId1" w:fontKey="{62844F8C-A8EE-41B1-9D4B-A88A5B957FE4}"/>
    <w:embedBold r:id="rId2" w:fontKey="{4E20082B-4F24-47AC-AFE8-76CDB2C79469}"/>
    <w:embedItalic r:id="rId3" w:fontKey="{28107BAA-1BBF-4433-8758-BE76A8C51009}"/>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Noto Sans SC">
    <w:altName w:val="Noto Sans SC"/>
    <w:panose1 w:val="00000000000000000000"/>
    <w:charset w:val="80"/>
    <w:family w:val="swiss"/>
    <w:notTrueType/>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altName w:val="Noto Sans Yi"/>
    <w:charset w:val="00"/>
    <w:family w:val="swiss"/>
    <w:pitch w:val="variable"/>
    <w:sig w:usb0="00000003" w:usb1="00050000" w:usb2="00080010" w:usb3="00000000" w:csb0="00000001" w:csb1="00000000"/>
    <w:embedRegular r:id="rId4" w:fontKey="{C9D25F50-F89F-44AF-9C88-F96D4DA6C912}"/>
  </w:font>
  <w:font w:name="Times New Roman (Headings CS)">
    <w:altName w:val="Times New Roman"/>
    <w:charset w:val="00"/>
    <w:family w:val="roman"/>
    <w:pitch w:val="default"/>
  </w:font>
  <w:font w:name="Noto Serif SC">
    <w:altName w:val="Noto Serif SC"/>
    <w:panose1 w:val="00000000000000000000"/>
    <w:charset w:val="80"/>
    <w:family w:val="roman"/>
    <w:notTrueType/>
    <w:pitch w:val="variable"/>
    <w:sig w:usb0="20000083" w:usb1="2ADF3C10" w:usb2="00000016" w:usb3="00000000" w:csb0="00060107"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5" w:fontKey="{C0FF0022-53A8-4C91-9A24-FB2BA517C23C}"/>
    <w:embedBold r:id="rId6" w:fontKey="{A1ACD325-1C1A-44F8-8E97-BBB1A408600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76C25B7C-A9E1-463C-A9DB-C118CF57CFC1}"/>
    <w:embedBold r:id="rId8" w:fontKey="{9A661218-690D-4467-A8D9-A072CFC0F762}"/>
    <w:embedItalic r:id="rId9" w:fontKey="{C67A8474-DFD2-4281-BEB3-FE6DE99C6F78}"/>
    <w:embedBoldItalic r:id="rId10" w:fontKey="{43726278-EFA9-4E9E-A029-4279DD325541}"/>
  </w:font>
  <w:font w:name="Quattrocento 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334A" w14:textId="77777777" w:rsidR="00F57DFE" w:rsidRDefault="00F57DFE" w:rsidP="00CA2006">
    <w:pPr>
      <w:jc w:val="both"/>
      <w:rPr>
        <w:rFonts w:asciiTheme="majorHAnsi" w:eastAsia="Calibri" w:hAnsiTheme="majorHAnsi" w:cs="Times New Roman"/>
        <w:b/>
        <w:bCs/>
        <w:color w:val="0F0E0E" w:themeColor="background2" w:themeShade="1A"/>
        <w:sz w:val="20"/>
        <w:szCs w:val="20"/>
        <w:lang w:val="it-IT"/>
      </w:rPr>
    </w:pPr>
  </w:p>
  <w:p w14:paraId="55E93000" w14:textId="1D4930EA" w:rsidR="00CA2006" w:rsidRPr="00C20726" w:rsidRDefault="00CA2006" w:rsidP="00CA2006">
    <w:pPr>
      <w:jc w:val="both"/>
      <w:rPr>
        <w:rFonts w:asciiTheme="majorHAnsi" w:eastAsia="Calibri" w:hAnsiTheme="majorHAnsi" w:cs="Times New Roman"/>
        <w:b/>
        <w:bCs/>
        <w:color w:val="0F0E0E" w:themeColor="background2" w:themeShade="1A"/>
        <w:sz w:val="20"/>
        <w:szCs w:val="20"/>
        <w:lang w:val="it-IT"/>
      </w:rPr>
    </w:pPr>
    <w:r w:rsidRPr="00C20726">
      <w:rPr>
        <w:rFonts w:asciiTheme="majorHAnsi" w:eastAsia="Calibri" w:hAnsiTheme="majorHAnsi" w:cs="Times New Roman"/>
        <w:b/>
        <w:bCs/>
        <w:color w:val="0F0E0E" w:themeColor="background2" w:themeShade="1A"/>
        <w:sz w:val="20"/>
        <w:szCs w:val="20"/>
        <w:lang w:val="it-IT"/>
      </w:rPr>
      <w:t>Contatti ufficio stampa Visa</w:t>
    </w:r>
  </w:p>
  <w:p w14:paraId="6DE36449" w14:textId="77777777" w:rsidR="00CA2006" w:rsidRPr="00C20726" w:rsidRDefault="00CA2006" w:rsidP="00CA200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Luca Gentili, Head of Corporate Comm Visa Sud Europa </w:t>
    </w:r>
    <w:r w:rsidRPr="00C20726">
      <w:rPr>
        <w:rFonts w:asciiTheme="majorHAnsi" w:eastAsia="Calibri" w:hAnsiTheme="majorHAnsi" w:cs="Times New Roman"/>
        <w:color w:val="0F0E0E" w:themeColor="background2" w:themeShade="1A"/>
        <w:sz w:val="20"/>
        <w:szCs w:val="20"/>
        <w:lang w:val="it-IT"/>
      </w:rPr>
      <w:tab/>
      <w:t xml:space="preserve"> gentilil@visa.com </w:t>
    </w:r>
  </w:p>
  <w:p w14:paraId="478B4120" w14:textId="77777777" w:rsidR="00CA2006" w:rsidRPr="00C20726" w:rsidRDefault="00CA2006" w:rsidP="00CA200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Alessandro Zambetti, DAG Communication </w:t>
    </w:r>
    <w:r w:rsidRPr="00C20726">
      <w:rPr>
        <w:rFonts w:asciiTheme="majorHAnsi" w:eastAsia="Calibri" w:hAnsiTheme="majorHAnsi" w:cs="Times New Roman"/>
        <w:color w:val="0F0E0E" w:themeColor="background2" w:themeShade="1A"/>
        <w:sz w:val="20"/>
        <w:szCs w:val="20"/>
        <w:lang w:val="it-IT"/>
      </w:rPr>
      <w:tab/>
      <w:t xml:space="preserve">                                a.zambetti@dagcom.com</w:t>
    </w:r>
    <w:r w:rsidRPr="00C20726">
      <w:rPr>
        <w:rFonts w:asciiTheme="majorHAnsi" w:eastAsia="Calibri" w:hAnsiTheme="majorHAnsi" w:cs="Times New Roman"/>
        <w:color w:val="0F0E0E" w:themeColor="background2" w:themeShade="1A"/>
        <w:sz w:val="20"/>
        <w:szCs w:val="20"/>
        <w:lang w:val="it-IT"/>
      </w:rPr>
      <w:tab/>
      <w:t xml:space="preserve">     +39 338 9241387</w:t>
    </w:r>
  </w:p>
  <w:p w14:paraId="444E4529" w14:textId="77777777" w:rsidR="00CA2006" w:rsidRPr="00C20726" w:rsidRDefault="00CA2006" w:rsidP="00CA200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Matteo Rasset, DAG Communication</w:t>
    </w:r>
    <w:r w:rsidRPr="00C20726">
      <w:rPr>
        <w:rFonts w:asciiTheme="majorHAnsi" w:eastAsia="Calibri" w:hAnsiTheme="majorHAnsi" w:cs="Times New Roman"/>
        <w:color w:val="0F0E0E" w:themeColor="background2" w:themeShade="1A"/>
        <w:sz w:val="20"/>
        <w:szCs w:val="20"/>
        <w:lang w:val="it-IT"/>
      </w:rPr>
      <w:tab/>
      <w:t xml:space="preserve">                                mrasset@dagcom.com</w:t>
    </w:r>
    <w:r w:rsidRPr="00C20726">
      <w:rPr>
        <w:rFonts w:asciiTheme="majorHAnsi" w:eastAsia="Calibri" w:hAnsiTheme="majorHAnsi" w:cs="Times New Roman"/>
        <w:color w:val="0F0E0E" w:themeColor="background2" w:themeShade="1A"/>
        <w:sz w:val="20"/>
        <w:szCs w:val="20"/>
        <w:lang w:val="it-IT"/>
      </w:rPr>
      <w:tab/>
      <w:t xml:space="preserve">     +39 333 8032644</w:t>
    </w:r>
  </w:p>
  <w:p w14:paraId="09C01C40" w14:textId="77777777" w:rsidR="00CA2006" w:rsidRPr="00C20726" w:rsidRDefault="00CA2006" w:rsidP="00CA2006">
    <w:pPr>
      <w:widowControl w:val="0"/>
      <w:autoSpaceDE w:val="0"/>
      <w:autoSpaceDN w:val="0"/>
      <w:adjustRightInd w:val="0"/>
      <w:ind w:right="-138"/>
      <w:jc w:val="both"/>
      <w:outlineLvl w:val="0"/>
      <w:rPr>
        <w:rFonts w:asciiTheme="majorHAnsi" w:eastAsia="MS Gothic" w:hAnsiTheme="majorHAnsi" w:cs="Segoe UI"/>
        <w:b/>
        <w:bCs/>
        <w:color w:val="0F0E0E" w:themeColor="background2" w:themeShade="1A"/>
        <w:u w:color="000000"/>
        <w:bdr w:val="nil"/>
        <w:lang w:val="it-IT" w:eastAsia="en-GB"/>
      </w:rPr>
    </w:pPr>
    <w:r w:rsidRPr="00C20726">
      <w:rPr>
        <w:rFonts w:asciiTheme="majorHAnsi" w:eastAsia="Calibri" w:hAnsiTheme="majorHAnsi" w:cs="Times New Roman"/>
        <w:color w:val="0F0E0E" w:themeColor="background2" w:themeShade="1A"/>
        <w:sz w:val="20"/>
        <w:szCs w:val="20"/>
        <w:lang w:val="it-IT"/>
      </w:rPr>
      <w:t xml:space="preserve">Barbara D’Incecco, DAG Communication    </w:t>
    </w:r>
    <w:r w:rsidRPr="00C20726">
      <w:rPr>
        <w:rFonts w:asciiTheme="majorHAnsi" w:eastAsia="Calibri" w:hAnsiTheme="majorHAnsi" w:cs="Times New Roman"/>
        <w:color w:val="0F0E0E" w:themeColor="background2" w:themeShade="1A"/>
        <w:sz w:val="20"/>
        <w:szCs w:val="20"/>
        <w:lang w:val="it-IT"/>
      </w:rPr>
      <w:tab/>
      <w:t xml:space="preserve">                                bdincecco@dagcom.com       +39 02 89054168</w:t>
    </w:r>
  </w:p>
  <w:p w14:paraId="45614B0C" w14:textId="28D20866" w:rsidR="00BD2976" w:rsidRDefault="008C7AED" w:rsidP="009F4DFF">
    <w:pPr>
      <w:pStyle w:val="Pidipagina"/>
    </w:pP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179C3E02" w:rsidR="0083715E" w:rsidRPr="00C20726" w:rsidRDefault="0083715E" w:rsidP="004A5BD7">
        <w:pPr>
          <w:pStyle w:val="Pidipagina"/>
          <w:framePr w:wrap="none" w:vAnchor="text" w:hAnchor="margin" w:xAlign="right" w:y="1"/>
          <w:rPr>
            <w:rStyle w:val="Numeropagina"/>
            <w:lang w:val="it-IT"/>
          </w:rPr>
        </w:pPr>
        <w:r>
          <w:rPr>
            <w:rStyle w:val="Numeropagina"/>
          </w:rPr>
          <w:fldChar w:fldCharType="begin"/>
        </w:r>
        <w:r w:rsidRPr="00C20726">
          <w:rPr>
            <w:rStyle w:val="Numeropagina"/>
            <w:lang w:val="it-IT"/>
          </w:rPr>
          <w:instrText xml:space="preserve"> PAGE </w:instrText>
        </w:r>
        <w:r>
          <w:rPr>
            <w:rStyle w:val="Numeropagina"/>
          </w:rPr>
          <w:fldChar w:fldCharType="separate"/>
        </w:r>
        <w:r w:rsidRPr="00C20726">
          <w:rPr>
            <w:rStyle w:val="Numeropagina"/>
            <w:noProof/>
            <w:lang w:val="it-IT"/>
          </w:rPr>
          <w:t>1</w:t>
        </w:r>
        <w:r>
          <w:rPr>
            <w:rStyle w:val="Numeropagina"/>
          </w:rPr>
          <w:fldChar w:fldCharType="end"/>
        </w:r>
      </w:p>
    </w:sdtContent>
  </w:sdt>
  <w:p w14:paraId="5772065E" w14:textId="77777777" w:rsidR="00CA2006" w:rsidRDefault="00CA2006" w:rsidP="00C20726">
    <w:pPr>
      <w:jc w:val="both"/>
      <w:rPr>
        <w:rFonts w:asciiTheme="majorHAnsi" w:eastAsia="Calibri" w:hAnsiTheme="majorHAnsi" w:cs="Times New Roman"/>
        <w:b/>
        <w:bCs/>
        <w:color w:val="0F0E0E" w:themeColor="background2" w:themeShade="1A"/>
        <w:sz w:val="20"/>
        <w:szCs w:val="20"/>
        <w:lang w:val="it-IT"/>
      </w:rPr>
    </w:pPr>
  </w:p>
  <w:p w14:paraId="4AF477FE" w14:textId="7F2C0969" w:rsidR="00C20726" w:rsidRPr="00C20726" w:rsidRDefault="00C20726" w:rsidP="00C20726">
    <w:pPr>
      <w:jc w:val="both"/>
      <w:rPr>
        <w:rFonts w:asciiTheme="majorHAnsi" w:eastAsia="Calibri" w:hAnsiTheme="majorHAnsi" w:cs="Times New Roman"/>
        <w:b/>
        <w:bCs/>
        <w:color w:val="0F0E0E" w:themeColor="background2" w:themeShade="1A"/>
        <w:sz w:val="20"/>
        <w:szCs w:val="20"/>
        <w:lang w:val="it-IT"/>
      </w:rPr>
    </w:pPr>
    <w:r w:rsidRPr="00C20726">
      <w:rPr>
        <w:rFonts w:asciiTheme="majorHAnsi" w:eastAsia="Calibri" w:hAnsiTheme="majorHAnsi" w:cs="Times New Roman"/>
        <w:b/>
        <w:bCs/>
        <w:color w:val="0F0E0E" w:themeColor="background2" w:themeShade="1A"/>
        <w:sz w:val="20"/>
        <w:szCs w:val="20"/>
        <w:lang w:val="it-IT"/>
      </w:rPr>
      <w:t>Contatti ufficio stampa Visa</w:t>
    </w:r>
  </w:p>
  <w:p w14:paraId="1FAC2125" w14:textId="77777777" w:rsidR="00C20726" w:rsidRPr="00C20726" w:rsidRDefault="00C20726" w:rsidP="00C2072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Luca Gentili, Head of Corporate Comm Visa Sud Europa </w:t>
    </w:r>
    <w:r w:rsidRPr="00C20726">
      <w:rPr>
        <w:rFonts w:asciiTheme="majorHAnsi" w:eastAsia="Calibri" w:hAnsiTheme="majorHAnsi" w:cs="Times New Roman"/>
        <w:color w:val="0F0E0E" w:themeColor="background2" w:themeShade="1A"/>
        <w:sz w:val="20"/>
        <w:szCs w:val="20"/>
        <w:lang w:val="it-IT"/>
      </w:rPr>
      <w:tab/>
      <w:t xml:space="preserve"> gentilil@visa.com </w:t>
    </w:r>
  </w:p>
  <w:p w14:paraId="29804210" w14:textId="77777777" w:rsidR="00C20726" w:rsidRPr="00C20726" w:rsidRDefault="00C20726" w:rsidP="00C2072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Alessandro Zambetti, DAG Communication </w:t>
    </w:r>
    <w:r w:rsidRPr="00C20726">
      <w:rPr>
        <w:rFonts w:asciiTheme="majorHAnsi" w:eastAsia="Calibri" w:hAnsiTheme="majorHAnsi" w:cs="Times New Roman"/>
        <w:color w:val="0F0E0E" w:themeColor="background2" w:themeShade="1A"/>
        <w:sz w:val="20"/>
        <w:szCs w:val="20"/>
        <w:lang w:val="it-IT"/>
      </w:rPr>
      <w:tab/>
      <w:t xml:space="preserve">                                a.zambetti@dagcom.com</w:t>
    </w:r>
    <w:r w:rsidRPr="00C20726">
      <w:rPr>
        <w:rFonts w:asciiTheme="majorHAnsi" w:eastAsia="Calibri" w:hAnsiTheme="majorHAnsi" w:cs="Times New Roman"/>
        <w:color w:val="0F0E0E" w:themeColor="background2" w:themeShade="1A"/>
        <w:sz w:val="20"/>
        <w:szCs w:val="20"/>
        <w:lang w:val="it-IT"/>
      </w:rPr>
      <w:tab/>
      <w:t xml:space="preserve">     +39 338 9241387</w:t>
    </w:r>
  </w:p>
  <w:p w14:paraId="38732D70" w14:textId="77777777" w:rsidR="00C20726" w:rsidRPr="00C20726" w:rsidRDefault="00C20726" w:rsidP="00C2072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Matteo Rasset, DAG Communication</w:t>
    </w:r>
    <w:r w:rsidRPr="00C20726">
      <w:rPr>
        <w:rFonts w:asciiTheme="majorHAnsi" w:eastAsia="Calibri" w:hAnsiTheme="majorHAnsi" w:cs="Times New Roman"/>
        <w:color w:val="0F0E0E" w:themeColor="background2" w:themeShade="1A"/>
        <w:sz w:val="20"/>
        <w:szCs w:val="20"/>
        <w:lang w:val="it-IT"/>
      </w:rPr>
      <w:tab/>
      <w:t xml:space="preserve">                                mrasset@dagcom.com</w:t>
    </w:r>
    <w:r w:rsidRPr="00C20726">
      <w:rPr>
        <w:rFonts w:asciiTheme="majorHAnsi" w:eastAsia="Calibri" w:hAnsiTheme="majorHAnsi" w:cs="Times New Roman"/>
        <w:color w:val="0F0E0E" w:themeColor="background2" w:themeShade="1A"/>
        <w:sz w:val="20"/>
        <w:szCs w:val="20"/>
        <w:lang w:val="it-IT"/>
      </w:rPr>
      <w:tab/>
      <w:t xml:space="preserve">     +39 333 8032644</w:t>
    </w:r>
  </w:p>
  <w:p w14:paraId="35A3026C" w14:textId="77777777" w:rsidR="00C20726" w:rsidRPr="00C20726" w:rsidRDefault="00C20726" w:rsidP="00C20726">
    <w:pPr>
      <w:widowControl w:val="0"/>
      <w:autoSpaceDE w:val="0"/>
      <w:autoSpaceDN w:val="0"/>
      <w:adjustRightInd w:val="0"/>
      <w:ind w:right="-138"/>
      <w:jc w:val="both"/>
      <w:outlineLvl w:val="0"/>
      <w:rPr>
        <w:rFonts w:asciiTheme="majorHAnsi" w:eastAsia="MS Gothic" w:hAnsiTheme="majorHAnsi" w:cs="Segoe UI"/>
        <w:b/>
        <w:bCs/>
        <w:color w:val="0F0E0E" w:themeColor="background2" w:themeShade="1A"/>
        <w:u w:color="000000"/>
        <w:bdr w:val="nil"/>
        <w:lang w:val="it-IT" w:eastAsia="en-GB"/>
      </w:rPr>
    </w:pPr>
    <w:r w:rsidRPr="00C20726">
      <w:rPr>
        <w:rFonts w:asciiTheme="majorHAnsi" w:eastAsia="Calibri" w:hAnsiTheme="majorHAnsi" w:cs="Times New Roman"/>
        <w:color w:val="0F0E0E" w:themeColor="background2" w:themeShade="1A"/>
        <w:sz w:val="20"/>
        <w:szCs w:val="20"/>
        <w:lang w:val="it-IT"/>
      </w:rPr>
      <w:t xml:space="preserve">Barbara D’Incecco, DAG Communication    </w:t>
    </w:r>
    <w:r w:rsidRPr="00C20726">
      <w:rPr>
        <w:rFonts w:asciiTheme="majorHAnsi" w:eastAsia="Calibri" w:hAnsiTheme="majorHAnsi" w:cs="Times New Roman"/>
        <w:color w:val="0F0E0E" w:themeColor="background2" w:themeShade="1A"/>
        <w:sz w:val="20"/>
        <w:szCs w:val="20"/>
        <w:lang w:val="it-IT"/>
      </w:rPr>
      <w:tab/>
      <w:t xml:space="preserve">                                bdincecco@dagcom.com       +39 02 89054168</w:t>
    </w:r>
  </w:p>
  <w:p w14:paraId="4709541A" w14:textId="4A06155E" w:rsidR="00BD2976" w:rsidRPr="00C20726" w:rsidRDefault="00BD2976" w:rsidP="0083715E">
    <w:pPr>
      <w:pStyle w:val="Pidipagina"/>
      <w:ind w:right="360"/>
      <w:rPr>
        <w:rFonts w:asciiTheme="majorHAnsi" w:hAnsiTheme="majorHAnsi"/>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89C5A" w14:textId="77777777" w:rsidR="002345F9" w:rsidRDefault="002345F9" w:rsidP="009F4DFF">
      <w:r>
        <w:separator/>
      </w:r>
    </w:p>
  </w:footnote>
  <w:footnote w:type="continuationSeparator" w:id="0">
    <w:p w14:paraId="6ED86B70" w14:textId="77777777" w:rsidR="002345F9" w:rsidRDefault="002345F9" w:rsidP="009F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18363B6F" w:rsidR="00D26D88" w:rsidRPr="00CB031B" w:rsidRDefault="00F91C0E" w:rsidP="009F4DFF">
    <w:r w:rsidRPr="00CB031B">
      <w:rPr>
        <w:noProof/>
      </w:rPr>
      <w:drawing>
        <wp:anchor distT="0" distB="0" distL="114300" distR="114300" simplePos="0" relativeHeight="251662336" behindDoc="1" locked="0" layoutInCell="1" allowOverlap="1" wp14:anchorId="340C18E3" wp14:editId="0D06915A">
          <wp:simplePos x="0" y="0"/>
          <wp:positionH relativeFrom="column">
            <wp:posOffset>4800600</wp:posOffset>
          </wp:positionH>
          <wp:positionV relativeFrom="paragraph">
            <wp:posOffset>-41910</wp:posOffset>
          </wp:positionV>
          <wp:extent cx="1044220" cy="338328"/>
          <wp:effectExtent l="0" t="0" r="3810" b="5080"/>
          <wp:wrapNone/>
          <wp:docPr id="2"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26B88BC1" w:rsidR="00895F10" w:rsidRDefault="00895F10">
    <w:pPr>
      <w:pStyle w:val="Intestazione"/>
    </w:pPr>
    <w:r w:rsidRPr="00CB031B">
      <w:rPr>
        <w:noProof/>
      </w:rPr>
      <w:drawing>
        <wp:anchor distT="0" distB="0" distL="114300" distR="114300" simplePos="0" relativeHeight="251660288" behindDoc="1" locked="0" layoutInCell="1" allowOverlap="1" wp14:anchorId="2433B1AF" wp14:editId="10D62BA1">
          <wp:simplePos x="0" y="0"/>
          <wp:positionH relativeFrom="column">
            <wp:posOffset>4883150</wp:posOffset>
          </wp:positionH>
          <wp:positionV relativeFrom="paragraph">
            <wp:posOffset>25400</wp:posOffset>
          </wp:positionV>
          <wp:extent cx="1044220" cy="338328"/>
          <wp:effectExtent l="0" t="0" r="3810" b="508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2"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1E6D7CB9"/>
    <w:multiLevelType w:val="hybridMultilevel"/>
    <w:tmpl w:val="519C1C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B36437"/>
    <w:multiLevelType w:val="hybridMultilevel"/>
    <w:tmpl w:val="E152CB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813FC0"/>
    <w:multiLevelType w:val="hybridMultilevel"/>
    <w:tmpl w:val="D7962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7"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0"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2"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3"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4"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7" w15:restartNumberingAfterBreak="0">
    <w:nsid w:val="685146C8"/>
    <w:multiLevelType w:val="hybridMultilevel"/>
    <w:tmpl w:val="6A64E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4"/>
  </w:num>
  <w:num w:numId="12">
    <w:abstractNumId w:val="28"/>
  </w:num>
  <w:num w:numId="13">
    <w:abstractNumId w:val="10"/>
  </w:num>
  <w:num w:numId="14">
    <w:abstractNumId w:val="20"/>
  </w:num>
  <w:num w:numId="15">
    <w:abstractNumId w:val="23"/>
  </w:num>
  <w:num w:numId="16">
    <w:abstractNumId w:val="16"/>
  </w:num>
  <w:num w:numId="17">
    <w:abstractNumId w:val="12"/>
  </w:num>
  <w:num w:numId="18">
    <w:abstractNumId w:val="19"/>
  </w:num>
  <w:num w:numId="19">
    <w:abstractNumId w:val="26"/>
  </w:num>
  <w:num w:numId="20">
    <w:abstractNumId w:val="18"/>
  </w:num>
  <w:num w:numId="21">
    <w:abstractNumId w:val="18"/>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abstractNumId w:val="21"/>
  </w:num>
  <w:num w:numId="23">
    <w:abstractNumId w:val="21"/>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abstractNumId w:val="21"/>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abstractNumId w:val="17"/>
  </w:num>
  <w:num w:numId="26">
    <w:abstractNumId w:val="29"/>
  </w:num>
  <w:num w:numId="27">
    <w:abstractNumId w:val="25"/>
  </w:num>
  <w:num w:numId="28">
    <w:abstractNumId w:val="11"/>
  </w:num>
  <w:num w:numId="29">
    <w:abstractNumId w:val="22"/>
  </w:num>
  <w:num w:numId="30">
    <w:abstractNumId w:val="15"/>
  </w:num>
  <w:num w:numId="31">
    <w:abstractNumId w:val="27"/>
  </w:num>
  <w:num w:numId="32">
    <w:abstractNumId w:val="1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301D"/>
    <w:rsid w:val="00021543"/>
    <w:rsid w:val="0009564A"/>
    <w:rsid w:val="000B72EA"/>
    <w:rsid w:val="000E32F7"/>
    <w:rsid w:val="000F4F36"/>
    <w:rsid w:val="001B0E5F"/>
    <w:rsid w:val="00224E6E"/>
    <w:rsid w:val="002345F9"/>
    <w:rsid w:val="00240E57"/>
    <w:rsid w:val="00247DFA"/>
    <w:rsid w:val="002728CA"/>
    <w:rsid w:val="0028691E"/>
    <w:rsid w:val="002E3C5A"/>
    <w:rsid w:val="002F0A7C"/>
    <w:rsid w:val="003026D0"/>
    <w:rsid w:val="0031120B"/>
    <w:rsid w:val="003140E2"/>
    <w:rsid w:val="003172CC"/>
    <w:rsid w:val="00354CD7"/>
    <w:rsid w:val="0035518A"/>
    <w:rsid w:val="0038187B"/>
    <w:rsid w:val="0039423B"/>
    <w:rsid w:val="003A54B1"/>
    <w:rsid w:val="003C292D"/>
    <w:rsid w:val="003C5725"/>
    <w:rsid w:val="003E7849"/>
    <w:rsid w:val="003F5CA7"/>
    <w:rsid w:val="0041224E"/>
    <w:rsid w:val="00415122"/>
    <w:rsid w:val="00427C67"/>
    <w:rsid w:val="00434FC6"/>
    <w:rsid w:val="004462C1"/>
    <w:rsid w:val="00447BE5"/>
    <w:rsid w:val="00450071"/>
    <w:rsid w:val="004574FC"/>
    <w:rsid w:val="00461DA0"/>
    <w:rsid w:val="004A54C3"/>
    <w:rsid w:val="004B0B8A"/>
    <w:rsid w:val="004C2A7D"/>
    <w:rsid w:val="004C3D74"/>
    <w:rsid w:val="004D289F"/>
    <w:rsid w:val="004E0DDF"/>
    <w:rsid w:val="004E4978"/>
    <w:rsid w:val="004E7016"/>
    <w:rsid w:val="00513E5E"/>
    <w:rsid w:val="005148AC"/>
    <w:rsid w:val="00567091"/>
    <w:rsid w:val="0057701E"/>
    <w:rsid w:val="005916B3"/>
    <w:rsid w:val="005B3103"/>
    <w:rsid w:val="005F51D6"/>
    <w:rsid w:val="00610EBD"/>
    <w:rsid w:val="00612343"/>
    <w:rsid w:val="006125F6"/>
    <w:rsid w:val="0064168F"/>
    <w:rsid w:val="00642076"/>
    <w:rsid w:val="0064726A"/>
    <w:rsid w:val="00657857"/>
    <w:rsid w:val="0067099E"/>
    <w:rsid w:val="00684B32"/>
    <w:rsid w:val="006C3AB4"/>
    <w:rsid w:val="00707BA6"/>
    <w:rsid w:val="0072290F"/>
    <w:rsid w:val="007334BC"/>
    <w:rsid w:val="00733861"/>
    <w:rsid w:val="00741CC2"/>
    <w:rsid w:val="00764EA4"/>
    <w:rsid w:val="007867E2"/>
    <w:rsid w:val="00791BD1"/>
    <w:rsid w:val="007C3BAE"/>
    <w:rsid w:val="007E436D"/>
    <w:rsid w:val="007F4016"/>
    <w:rsid w:val="007F6A8D"/>
    <w:rsid w:val="00823F14"/>
    <w:rsid w:val="0083715E"/>
    <w:rsid w:val="008438CC"/>
    <w:rsid w:val="0085250A"/>
    <w:rsid w:val="00864E83"/>
    <w:rsid w:val="00895F10"/>
    <w:rsid w:val="00897C56"/>
    <w:rsid w:val="008C22BC"/>
    <w:rsid w:val="008C4AF7"/>
    <w:rsid w:val="008C7AED"/>
    <w:rsid w:val="008D6DFB"/>
    <w:rsid w:val="009131E7"/>
    <w:rsid w:val="00917A1F"/>
    <w:rsid w:val="00924635"/>
    <w:rsid w:val="009604BD"/>
    <w:rsid w:val="00965C6B"/>
    <w:rsid w:val="009A4456"/>
    <w:rsid w:val="009C73D8"/>
    <w:rsid w:val="009D01E4"/>
    <w:rsid w:val="009F4DFF"/>
    <w:rsid w:val="00A433F5"/>
    <w:rsid w:val="00A81BF2"/>
    <w:rsid w:val="00AA11E7"/>
    <w:rsid w:val="00AB2A46"/>
    <w:rsid w:val="00AC19F6"/>
    <w:rsid w:val="00AD651E"/>
    <w:rsid w:val="00AE307E"/>
    <w:rsid w:val="00B077F3"/>
    <w:rsid w:val="00B10081"/>
    <w:rsid w:val="00B61484"/>
    <w:rsid w:val="00B83D83"/>
    <w:rsid w:val="00B9465E"/>
    <w:rsid w:val="00BD2976"/>
    <w:rsid w:val="00BE369E"/>
    <w:rsid w:val="00BE3CE2"/>
    <w:rsid w:val="00C05DE8"/>
    <w:rsid w:val="00C20726"/>
    <w:rsid w:val="00C266E9"/>
    <w:rsid w:val="00C3337F"/>
    <w:rsid w:val="00C509B5"/>
    <w:rsid w:val="00C525EC"/>
    <w:rsid w:val="00C619E4"/>
    <w:rsid w:val="00C76241"/>
    <w:rsid w:val="00C86772"/>
    <w:rsid w:val="00C96989"/>
    <w:rsid w:val="00CA2006"/>
    <w:rsid w:val="00CA501B"/>
    <w:rsid w:val="00CB031B"/>
    <w:rsid w:val="00CC5451"/>
    <w:rsid w:val="00CF436E"/>
    <w:rsid w:val="00CF54AE"/>
    <w:rsid w:val="00D26D88"/>
    <w:rsid w:val="00D26EB9"/>
    <w:rsid w:val="00D36534"/>
    <w:rsid w:val="00D50107"/>
    <w:rsid w:val="00DC68B6"/>
    <w:rsid w:val="00DE40F2"/>
    <w:rsid w:val="00DF7A9A"/>
    <w:rsid w:val="00E10225"/>
    <w:rsid w:val="00E26C40"/>
    <w:rsid w:val="00E52626"/>
    <w:rsid w:val="00E529FB"/>
    <w:rsid w:val="00E95DA9"/>
    <w:rsid w:val="00EC500D"/>
    <w:rsid w:val="00EC6E72"/>
    <w:rsid w:val="00F270A4"/>
    <w:rsid w:val="00F4733E"/>
    <w:rsid w:val="00F57DFE"/>
    <w:rsid w:val="00F649E5"/>
    <w:rsid w:val="00F70192"/>
    <w:rsid w:val="00F807E1"/>
    <w:rsid w:val="00F8404C"/>
    <w:rsid w:val="00F91C0E"/>
    <w:rsid w:val="00FE1F72"/>
    <w:rsid w:val="00FE4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chartTrackingRefBased/>
  <w15:docId w15:val="{797F685B-074C-4A47-A194-B1A66B20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basedOn w:val="Normale"/>
    <w:uiPriority w:val="34"/>
    <w:qFormat/>
    <w:rsid w:val="0041224E"/>
    <w:pPr>
      <w:numPr>
        <w:numId w:val="22"/>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pPr>
  </w:style>
  <w:style w:type="paragraph" w:styleId="Numeroelenco2">
    <w:name w:val="List Number 2"/>
    <w:basedOn w:val="Normale"/>
    <w:uiPriority w:val="99"/>
    <w:unhideWhenUsed/>
    <w:rsid w:val="008438CC"/>
    <w:pPr>
      <w:numPr>
        <w:numId w:val="4"/>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684B32"/>
    <w:pPr>
      <w:contextualSpacing w:val="0"/>
    </w:pPr>
    <w:rPr>
      <w:rFonts w:ascii="Calibri" w:eastAsia="Calibri" w:hAnsi="Calibri" w:cs="Arial"/>
      <w:sz w:val="20"/>
      <w:szCs w:val="20"/>
      <w:lang w:val="en-GB"/>
    </w:rPr>
  </w:style>
  <w:style w:type="character" w:customStyle="1" w:styleId="TestonotaapidipaginaCarattere">
    <w:name w:val="Testo nota a piè di pagina Carattere"/>
    <w:basedOn w:val="Carpredefinitoparagrafo"/>
    <w:link w:val="Testonotaapidipagina"/>
    <w:uiPriority w:val="99"/>
    <w:rsid w:val="00684B32"/>
    <w:rPr>
      <w:rFonts w:ascii="Calibri" w:eastAsia="Calibri" w:hAnsi="Calibri" w:cs="Arial"/>
      <w:sz w:val="20"/>
      <w:szCs w:val="20"/>
      <w:lang w:val="en-GB"/>
    </w:rPr>
  </w:style>
  <w:style w:type="character" w:styleId="Rimandonotaapidipagina">
    <w:name w:val="footnote reference"/>
    <w:basedOn w:val="Carpredefinitoparagrafo"/>
    <w:uiPriority w:val="99"/>
    <w:semiHidden/>
    <w:unhideWhenUsed/>
    <w:rsid w:val="00684B32"/>
    <w:rPr>
      <w:vertAlign w:val="superscript"/>
    </w:rPr>
  </w:style>
  <w:style w:type="paragraph" w:customStyle="1" w:styleId="20ContinuousText">
    <w:name w:val="2.0 Continuous Text"/>
    <w:basedOn w:val="Normale"/>
    <w:autoRedefine/>
    <w:qFormat/>
    <w:rsid w:val="00684B32"/>
    <w:rPr>
      <w:rFonts w:ascii="Calibri" w:eastAsia="Times New Roman" w:hAnsi="Calibri" w:cs="Times New Roman"/>
      <w:sz w:val="24"/>
      <w:szCs w:val="20"/>
      <w:lang w:eastAsia="de-DE"/>
    </w:rPr>
  </w:style>
  <w:style w:type="character" w:styleId="Collegamentovisitato">
    <w:name w:val="FollowedHyperlink"/>
    <w:basedOn w:val="Carpredefinitoparagrafo"/>
    <w:uiPriority w:val="99"/>
    <w:semiHidden/>
    <w:unhideWhenUsed/>
    <w:rsid w:val="00684B32"/>
    <w:rPr>
      <w:color w:val="FCC0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aitalia.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sa.visa.com/content/dam/VCOM/regional/na/us/Solutions/documents/visa-crypto-consumer-perceptions-white-paper.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a.visa.com/content/dam/VCOM/regional/na/us/Solutions/documents/visa-crypto-consumer-perceptions-white-paper.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a.visa.com/content/dam/VCOM/regional/na/us/Solutions/documents/visa-crypto-consumer-perceptions-white-paper.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92578F6F373C4A8BABA9C97760E096" ma:contentTypeVersion="15" ma:contentTypeDescription="Create a new document." ma:contentTypeScope="" ma:versionID="7a963ed8cbc56b5468e7db0f1a4418e6">
  <xsd:schema xmlns:xsd="http://www.w3.org/2001/XMLSchema" xmlns:xs="http://www.w3.org/2001/XMLSchema" xmlns:p="http://schemas.microsoft.com/office/2006/metadata/properties" xmlns:ns1="http://schemas.microsoft.com/sharepoint/v3" xmlns:ns2="f2d57e08-bea4-40b0-8f90-22182cd715fa" xmlns:ns3="d8d3784e-9599-4be8-ace6-9ec0c9445a6f" targetNamespace="http://schemas.microsoft.com/office/2006/metadata/properties" ma:root="true" ma:fieldsID="efe2f81cfbfb05b4b8fbb418eebf73db" ns1:_="" ns2:_="" ns3:_="">
    <xsd:import namespace="http://schemas.microsoft.com/sharepoint/v3"/>
    <xsd:import namespace="f2d57e08-bea4-40b0-8f90-22182cd715fa"/>
    <xsd:import namespace="d8d3784e-9599-4be8-ace6-9ec0c9445a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57e08-bea4-40b0-8f90-22182cd7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3784e-9599-4be8-ace6-9ec0c9445a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customXml/itemProps2.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7E57A45-D870-49F6-9B62-515DED47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57e08-bea4-40b0-8f90-22182cd715fa"/>
    <ds:schemaRef ds:uri="d8d3784e-9599-4be8-ace6-9ec0c9445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DE1C5-107C-48CA-8A93-5048E6B97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1809</Words>
  <Characters>10316</Characters>
  <Application>Microsoft Office Word</Application>
  <DocSecurity>0</DocSecurity>
  <Lines>85</Lines>
  <Paragraphs>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D.A.G. Communication Srl</cp:lastModifiedBy>
  <cp:revision>22</cp:revision>
  <cp:lastPrinted>2021-09-24T00:25:00Z</cp:lastPrinted>
  <dcterms:created xsi:type="dcterms:W3CDTF">2021-11-05T09:00:00Z</dcterms:created>
  <dcterms:modified xsi:type="dcterms:W3CDTF">2021-12-10T09:26:00Z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0x0101001892578F6F373C4A8BABA9C97760E096</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ies>
</file>