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50BE" w14:textId="77777777" w:rsidR="000B2D66" w:rsidRPr="00D62F47" w:rsidRDefault="000B2D66" w:rsidP="000B2D66">
      <w:pPr>
        <w:rPr>
          <w:rFonts w:cs="Helvetica"/>
          <w:b/>
          <w:bCs/>
          <w:color w:val="4BACC6" w:themeColor="accent5"/>
          <w:sz w:val="24"/>
        </w:rPr>
      </w:pPr>
      <w:r w:rsidRPr="00D62F47">
        <w:rPr>
          <w:rFonts w:cs="Helvetica"/>
          <w:b/>
          <w:bCs/>
          <w:color w:val="4BACC6" w:themeColor="accent5"/>
          <w:sz w:val="24"/>
        </w:rPr>
        <w:t xml:space="preserve">FOR IMMEDIATE RELEASE </w:t>
      </w:r>
    </w:p>
    <w:p w14:paraId="53104E7B" w14:textId="516849F0" w:rsidR="000B2D66" w:rsidRDefault="004168F7" w:rsidP="000B2D66">
      <w:pPr>
        <w:rPr>
          <w:rFonts w:cs="Helvetica"/>
          <w:b/>
        </w:rPr>
      </w:pPr>
      <w:r>
        <w:rPr>
          <w:rFonts w:cs="Helvetica"/>
          <w:b/>
        </w:rPr>
        <w:t>June</w:t>
      </w:r>
      <w:r w:rsidR="00E0476C">
        <w:rPr>
          <w:rFonts w:cs="Helvetica"/>
          <w:b/>
        </w:rPr>
        <w:t xml:space="preserve"> </w:t>
      </w:r>
      <w:r w:rsidR="00024C3B">
        <w:rPr>
          <w:rFonts w:cs="Helvetica"/>
          <w:b/>
        </w:rPr>
        <w:t>07</w:t>
      </w:r>
      <w:r w:rsidR="000B2D66" w:rsidRPr="00A60FC2">
        <w:rPr>
          <w:rFonts w:cs="Helvetica"/>
          <w:b/>
        </w:rPr>
        <w:t>, 201</w:t>
      </w:r>
      <w:r w:rsidR="006A27D0">
        <w:rPr>
          <w:rFonts w:cs="Helvetica"/>
          <w:b/>
        </w:rPr>
        <w:t>5</w:t>
      </w:r>
    </w:p>
    <w:p w14:paraId="339FAD22" w14:textId="75B6AACB" w:rsidR="00815B43" w:rsidRPr="001F09A8" w:rsidRDefault="004168F7" w:rsidP="000D4022">
      <w:pPr>
        <w:jc w:val="center"/>
        <w:rPr>
          <w:rFonts w:cs="Helvetica"/>
          <w:b/>
          <w:bCs/>
          <w:sz w:val="39"/>
          <w:szCs w:val="39"/>
        </w:rPr>
      </w:pPr>
      <w:bookmarkStart w:id="0" w:name="_GoBack"/>
      <w:r>
        <w:rPr>
          <w:rFonts w:cs="Helvetica"/>
          <w:b/>
          <w:bCs/>
          <w:sz w:val="39"/>
          <w:szCs w:val="39"/>
        </w:rPr>
        <w:t>Dubai’s popula</w:t>
      </w:r>
      <w:r w:rsidR="000D2699">
        <w:rPr>
          <w:rFonts w:cs="Helvetica"/>
          <w:b/>
          <w:bCs/>
          <w:sz w:val="39"/>
          <w:szCs w:val="39"/>
        </w:rPr>
        <w:t>rity with international leisure,</w:t>
      </w:r>
      <w:r>
        <w:rPr>
          <w:rFonts w:cs="Helvetica"/>
          <w:b/>
          <w:bCs/>
          <w:sz w:val="39"/>
          <w:szCs w:val="39"/>
        </w:rPr>
        <w:t xml:space="preserve"> business visitors </w:t>
      </w:r>
      <w:r w:rsidR="00457A5A">
        <w:rPr>
          <w:rFonts w:cs="Helvetica"/>
          <w:b/>
          <w:bCs/>
          <w:sz w:val="39"/>
          <w:szCs w:val="39"/>
        </w:rPr>
        <w:t>continues to rise</w:t>
      </w:r>
      <w:bookmarkEnd w:id="0"/>
      <w:r w:rsidR="00457A5A">
        <w:rPr>
          <w:rFonts w:cs="Helvetica"/>
          <w:b/>
          <w:bCs/>
          <w:sz w:val="39"/>
          <w:szCs w:val="39"/>
        </w:rPr>
        <w:t>: 4th most visited global city</w:t>
      </w:r>
    </w:p>
    <w:p w14:paraId="5153AE0A" w14:textId="07101B42" w:rsidR="004168F7" w:rsidRPr="00457A5A" w:rsidRDefault="00457A5A" w:rsidP="001F09A8">
      <w:pPr>
        <w:pStyle w:val="ListParagraph"/>
        <w:numPr>
          <w:ilvl w:val="0"/>
          <w:numId w:val="5"/>
        </w:numPr>
        <w:spacing w:after="120" w:line="240" w:lineRule="auto"/>
        <w:contextualSpacing w:val="0"/>
        <w:rPr>
          <w:b/>
          <w:sz w:val="24"/>
          <w:szCs w:val="24"/>
        </w:rPr>
      </w:pPr>
      <w:r>
        <w:rPr>
          <w:b/>
          <w:sz w:val="24"/>
          <w:szCs w:val="24"/>
        </w:rPr>
        <w:t>Dubai rises from 5</w:t>
      </w:r>
      <w:r w:rsidRPr="00457A5A">
        <w:rPr>
          <w:b/>
          <w:sz w:val="24"/>
          <w:szCs w:val="24"/>
          <w:vertAlign w:val="superscript"/>
        </w:rPr>
        <w:t>th</w:t>
      </w:r>
      <w:r>
        <w:rPr>
          <w:b/>
          <w:sz w:val="24"/>
          <w:szCs w:val="24"/>
        </w:rPr>
        <w:t xml:space="preserve"> to 4</w:t>
      </w:r>
      <w:r w:rsidRPr="00457A5A">
        <w:rPr>
          <w:b/>
          <w:sz w:val="24"/>
          <w:szCs w:val="24"/>
          <w:vertAlign w:val="superscript"/>
        </w:rPr>
        <w:t>th</w:t>
      </w:r>
      <w:r>
        <w:rPr>
          <w:b/>
          <w:sz w:val="24"/>
          <w:szCs w:val="24"/>
        </w:rPr>
        <w:t xml:space="preserve"> in </w:t>
      </w:r>
      <w:r w:rsidR="00AD1F41" w:rsidRPr="00457A5A">
        <w:rPr>
          <w:b/>
          <w:sz w:val="24"/>
          <w:szCs w:val="24"/>
        </w:rPr>
        <w:t xml:space="preserve">MasterCard </w:t>
      </w:r>
      <w:r>
        <w:rPr>
          <w:b/>
          <w:sz w:val="24"/>
          <w:szCs w:val="24"/>
        </w:rPr>
        <w:t>rankings - predicting</w:t>
      </w:r>
      <w:r w:rsidR="00AD1F41" w:rsidRPr="00457A5A">
        <w:rPr>
          <w:b/>
          <w:sz w:val="24"/>
          <w:szCs w:val="24"/>
        </w:rPr>
        <w:t xml:space="preserve"> 14.3 million </w:t>
      </w:r>
      <w:r>
        <w:rPr>
          <w:b/>
          <w:sz w:val="24"/>
          <w:szCs w:val="24"/>
        </w:rPr>
        <w:t>international visitors to Dubai in 2015</w:t>
      </w:r>
    </w:p>
    <w:p w14:paraId="7862FFEA" w14:textId="1D841948" w:rsidR="001F09A8" w:rsidRPr="00457A5A" w:rsidRDefault="00DC2201" w:rsidP="00C06F84">
      <w:pPr>
        <w:pStyle w:val="ListParagraph"/>
        <w:numPr>
          <w:ilvl w:val="0"/>
          <w:numId w:val="5"/>
        </w:numPr>
        <w:spacing w:after="120" w:line="240" w:lineRule="auto"/>
        <w:contextualSpacing w:val="0"/>
        <w:rPr>
          <w:b/>
          <w:sz w:val="24"/>
          <w:szCs w:val="24"/>
        </w:rPr>
      </w:pPr>
      <w:r w:rsidRPr="00457A5A">
        <w:rPr>
          <w:b/>
          <w:sz w:val="24"/>
          <w:szCs w:val="24"/>
        </w:rPr>
        <w:t xml:space="preserve">City </w:t>
      </w:r>
      <w:r w:rsidR="00D8391B" w:rsidRPr="00457A5A">
        <w:rPr>
          <w:b/>
          <w:sz w:val="24"/>
          <w:szCs w:val="24"/>
        </w:rPr>
        <w:t xml:space="preserve">rockets up </w:t>
      </w:r>
      <w:r w:rsidR="00C06F84" w:rsidRPr="00457A5A">
        <w:rPr>
          <w:b/>
          <w:sz w:val="24"/>
          <w:szCs w:val="24"/>
        </w:rPr>
        <w:t xml:space="preserve">International Congress &amp; Convention Association (ICCA) and </w:t>
      </w:r>
      <w:r w:rsidR="00D8391B" w:rsidRPr="00457A5A">
        <w:rPr>
          <w:b/>
          <w:sz w:val="24"/>
          <w:szCs w:val="24"/>
        </w:rPr>
        <w:t>Union of International Association (UIA)</w:t>
      </w:r>
      <w:r w:rsidR="00C06F84" w:rsidRPr="00457A5A">
        <w:rPr>
          <w:b/>
          <w:sz w:val="24"/>
          <w:szCs w:val="24"/>
        </w:rPr>
        <w:t xml:space="preserve"> meeting </w:t>
      </w:r>
      <w:r w:rsidR="00D8391B" w:rsidRPr="00457A5A">
        <w:rPr>
          <w:rFonts w:cs="Arial"/>
          <w:b/>
          <w:sz w:val="24"/>
          <w:szCs w:val="24"/>
          <w:lang w:val="en-US"/>
        </w:rPr>
        <w:t xml:space="preserve">rankings </w:t>
      </w:r>
      <w:r w:rsidR="008E5AF7" w:rsidRPr="00457A5A">
        <w:rPr>
          <w:rFonts w:cs="Arial"/>
          <w:b/>
          <w:sz w:val="24"/>
          <w:szCs w:val="24"/>
          <w:lang w:val="en-US"/>
        </w:rPr>
        <w:t>for 201</w:t>
      </w:r>
      <w:r w:rsidRPr="00457A5A">
        <w:rPr>
          <w:rFonts w:cs="Arial"/>
          <w:b/>
          <w:sz w:val="24"/>
          <w:szCs w:val="24"/>
          <w:lang w:val="en-US"/>
        </w:rPr>
        <w:t>4</w:t>
      </w:r>
    </w:p>
    <w:p w14:paraId="0FC1D323" w14:textId="50A4E31C" w:rsidR="0077419D" w:rsidRPr="00457A5A" w:rsidRDefault="008E5AF7" w:rsidP="0077419D">
      <w:pPr>
        <w:pStyle w:val="ListParagraph"/>
        <w:numPr>
          <w:ilvl w:val="0"/>
          <w:numId w:val="5"/>
        </w:numPr>
        <w:spacing w:after="0" w:line="240" w:lineRule="auto"/>
        <w:contextualSpacing w:val="0"/>
        <w:rPr>
          <w:b/>
          <w:sz w:val="24"/>
          <w:szCs w:val="24"/>
        </w:rPr>
      </w:pPr>
      <w:r w:rsidRPr="00457A5A">
        <w:rPr>
          <w:b/>
          <w:sz w:val="24"/>
          <w:szCs w:val="24"/>
        </w:rPr>
        <w:t xml:space="preserve">Expanding </w:t>
      </w:r>
      <w:r w:rsidR="001F09A8" w:rsidRPr="00457A5A">
        <w:rPr>
          <w:b/>
          <w:sz w:val="24"/>
          <w:szCs w:val="24"/>
        </w:rPr>
        <w:t>airlift, hotel</w:t>
      </w:r>
      <w:r w:rsidR="00C04079" w:rsidRPr="00457A5A">
        <w:rPr>
          <w:b/>
          <w:sz w:val="24"/>
          <w:szCs w:val="24"/>
        </w:rPr>
        <w:t xml:space="preserve"> </w:t>
      </w:r>
      <w:r w:rsidR="001F09A8" w:rsidRPr="00457A5A">
        <w:rPr>
          <w:b/>
          <w:sz w:val="24"/>
          <w:szCs w:val="24"/>
        </w:rPr>
        <w:t>cap</w:t>
      </w:r>
      <w:r w:rsidRPr="00457A5A">
        <w:rPr>
          <w:b/>
          <w:sz w:val="24"/>
          <w:szCs w:val="24"/>
        </w:rPr>
        <w:t>a</w:t>
      </w:r>
      <w:r w:rsidR="001F09A8" w:rsidRPr="00457A5A">
        <w:rPr>
          <w:b/>
          <w:sz w:val="24"/>
          <w:szCs w:val="24"/>
        </w:rPr>
        <w:t xml:space="preserve">city and destination offer </w:t>
      </w:r>
      <w:r w:rsidR="00C04079" w:rsidRPr="00457A5A">
        <w:rPr>
          <w:b/>
          <w:sz w:val="24"/>
          <w:szCs w:val="24"/>
        </w:rPr>
        <w:t xml:space="preserve">to </w:t>
      </w:r>
      <w:r w:rsidR="00457A5A">
        <w:rPr>
          <w:b/>
          <w:sz w:val="24"/>
          <w:szCs w:val="24"/>
        </w:rPr>
        <w:t>continue driving growth</w:t>
      </w:r>
    </w:p>
    <w:p w14:paraId="19CD9AC4" w14:textId="77777777" w:rsidR="00EF4A1B" w:rsidRPr="003A638C" w:rsidRDefault="00EF4A1B" w:rsidP="00EF4A1B">
      <w:pPr>
        <w:spacing w:after="0"/>
        <w:jc w:val="center"/>
        <w:rPr>
          <w:rFonts w:cs="Helvetica"/>
        </w:rPr>
      </w:pPr>
    </w:p>
    <w:p w14:paraId="781EF1DD" w14:textId="4293184F" w:rsidR="003E003E" w:rsidRDefault="004168F7" w:rsidP="007F6300">
      <w:pPr>
        <w:spacing w:after="120"/>
        <w:rPr>
          <w:rFonts w:cs="Helvetica"/>
        </w:rPr>
      </w:pPr>
      <w:r>
        <w:rPr>
          <w:rFonts w:cs="Helvetica"/>
          <w:b/>
        </w:rPr>
        <w:t>Dubai, United Arab Emirates</w:t>
      </w:r>
      <w:r w:rsidR="000B2D66" w:rsidRPr="00A60FC2">
        <w:rPr>
          <w:rFonts w:cs="Helvetica"/>
          <w:b/>
        </w:rPr>
        <w:t>:</w:t>
      </w:r>
      <w:r w:rsidR="000B2D66" w:rsidRPr="00A60FC2">
        <w:rPr>
          <w:rFonts w:cs="Helvetica"/>
        </w:rPr>
        <w:t xml:space="preserve"> </w:t>
      </w:r>
      <w:r w:rsidR="0040679C">
        <w:rPr>
          <w:rFonts w:cs="Helvetica"/>
        </w:rPr>
        <w:t xml:space="preserve"> </w:t>
      </w:r>
      <w:r w:rsidR="00DC2201">
        <w:rPr>
          <w:rFonts w:cs="Helvetica"/>
        </w:rPr>
        <w:t>Dubai</w:t>
      </w:r>
      <w:r w:rsidR="006A2598">
        <w:rPr>
          <w:rFonts w:cs="Helvetica"/>
        </w:rPr>
        <w:t xml:space="preserve">’s </w:t>
      </w:r>
      <w:r w:rsidR="009336C1">
        <w:rPr>
          <w:rFonts w:cs="Helvetica"/>
        </w:rPr>
        <w:t xml:space="preserve">ongoing </w:t>
      </w:r>
      <w:r w:rsidR="006A2598">
        <w:rPr>
          <w:rFonts w:cs="Helvetica"/>
        </w:rPr>
        <w:t xml:space="preserve">efforts to position itself as a premier </w:t>
      </w:r>
      <w:r w:rsidR="00D8391B">
        <w:rPr>
          <w:rFonts w:cs="Helvetica"/>
        </w:rPr>
        <w:t xml:space="preserve">leisure and business hub have </w:t>
      </w:r>
      <w:r w:rsidR="003E003E">
        <w:rPr>
          <w:rFonts w:cs="Helvetica"/>
        </w:rPr>
        <w:t>resulted in growing visitor numbers to the city</w:t>
      </w:r>
      <w:r w:rsidR="002A718B">
        <w:rPr>
          <w:rFonts w:cs="Helvetica"/>
        </w:rPr>
        <w:t>, as well as</w:t>
      </w:r>
      <w:r w:rsidR="003E003E">
        <w:rPr>
          <w:rFonts w:cs="Helvetica"/>
        </w:rPr>
        <w:t xml:space="preserve"> </w:t>
      </w:r>
      <w:r w:rsidR="00C71EE5">
        <w:rPr>
          <w:rFonts w:cs="Helvetica"/>
        </w:rPr>
        <w:t xml:space="preserve">higher </w:t>
      </w:r>
      <w:r w:rsidR="00D8391B">
        <w:rPr>
          <w:rFonts w:cs="Helvetica"/>
        </w:rPr>
        <w:t>rank</w:t>
      </w:r>
      <w:r w:rsidR="00C71EE5">
        <w:rPr>
          <w:rFonts w:cs="Helvetica"/>
        </w:rPr>
        <w:t>ings</w:t>
      </w:r>
      <w:r w:rsidR="00D8391B">
        <w:rPr>
          <w:rFonts w:cs="Helvetica"/>
        </w:rPr>
        <w:t xml:space="preserve"> </w:t>
      </w:r>
      <w:r w:rsidR="00C71EE5">
        <w:rPr>
          <w:rFonts w:cs="Helvetica"/>
        </w:rPr>
        <w:t>on</w:t>
      </w:r>
      <w:r w:rsidR="00D8391B">
        <w:rPr>
          <w:rFonts w:cs="Helvetica"/>
        </w:rPr>
        <w:t xml:space="preserve"> various </w:t>
      </w:r>
      <w:r w:rsidR="00C71EE5">
        <w:rPr>
          <w:rFonts w:cs="Helvetica"/>
        </w:rPr>
        <w:t xml:space="preserve">global </w:t>
      </w:r>
      <w:r w:rsidR="003E003E">
        <w:rPr>
          <w:rFonts w:cs="Helvetica"/>
        </w:rPr>
        <w:t xml:space="preserve">traveller and meeting </w:t>
      </w:r>
      <w:r w:rsidR="00D8391B">
        <w:rPr>
          <w:rFonts w:cs="Helvetica"/>
        </w:rPr>
        <w:t>indexes</w:t>
      </w:r>
      <w:r w:rsidR="003E003E">
        <w:rPr>
          <w:rFonts w:cs="Helvetica"/>
        </w:rPr>
        <w:t>.</w:t>
      </w:r>
    </w:p>
    <w:p w14:paraId="68B24157" w14:textId="5C795BC5" w:rsidR="00457A5A" w:rsidRDefault="003E003E" w:rsidP="007F6300">
      <w:pPr>
        <w:spacing w:after="120"/>
        <w:rPr>
          <w:rFonts w:cs="Helvetica"/>
        </w:rPr>
      </w:pPr>
      <w:r>
        <w:rPr>
          <w:rFonts w:cs="Helvetica"/>
        </w:rPr>
        <w:t xml:space="preserve">This week, </w:t>
      </w:r>
      <w:r w:rsidRPr="003E003E">
        <w:rPr>
          <w:rFonts w:cs="Helvetica"/>
        </w:rPr>
        <w:t xml:space="preserve">global payments </w:t>
      </w:r>
      <w:r>
        <w:rPr>
          <w:rFonts w:cs="Helvetica"/>
        </w:rPr>
        <w:t>giant MasterCard announced that Dubai ha</w:t>
      </w:r>
      <w:r w:rsidR="00C71EE5">
        <w:rPr>
          <w:rFonts w:cs="Helvetica"/>
        </w:rPr>
        <w:t>s</w:t>
      </w:r>
      <w:r>
        <w:rPr>
          <w:rFonts w:cs="Helvetica"/>
        </w:rPr>
        <w:t xml:space="preserve"> risen </w:t>
      </w:r>
      <w:r w:rsidR="00C71EE5">
        <w:rPr>
          <w:rFonts w:cs="Helvetica"/>
        </w:rPr>
        <w:t xml:space="preserve">to fourth position out of 132 </w:t>
      </w:r>
      <w:r w:rsidRPr="003E003E">
        <w:rPr>
          <w:rFonts w:cs="Helvetica"/>
        </w:rPr>
        <w:t>top destinations for international travellers</w:t>
      </w:r>
      <w:r w:rsidR="00C71EE5">
        <w:rPr>
          <w:rFonts w:cs="Helvetica"/>
        </w:rPr>
        <w:t xml:space="preserve"> </w:t>
      </w:r>
      <w:r>
        <w:rPr>
          <w:rFonts w:cs="Helvetica"/>
        </w:rPr>
        <w:t xml:space="preserve">in the </w:t>
      </w:r>
      <w:r w:rsidRPr="003E003E">
        <w:rPr>
          <w:rFonts w:cs="Helvetica"/>
        </w:rPr>
        <w:t>MasterCard</w:t>
      </w:r>
      <w:r w:rsidR="008E629E">
        <w:rPr>
          <w:rFonts w:cs="Helvetica"/>
        </w:rPr>
        <w:t xml:space="preserve"> </w:t>
      </w:r>
      <w:r w:rsidRPr="003E003E">
        <w:rPr>
          <w:rFonts w:cs="Helvetica"/>
        </w:rPr>
        <w:t>Global Destination Cities Index</w:t>
      </w:r>
      <w:r w:rsidR="00C71EE5">
        <w:rPr>
          <w:rFonts w:cs="Helvetica"/>
        </w:rPr>
        <w:t xml:space="preserve">, </w:t>
      </w:r>
      <w:r w:rsidR="00457A5A">
        <w:rPr>
          <w:rFonts w:cs="Helvetica"/>
        </w:rPr>
        <w:t>behind</w:t>
      </w:r>
      <w:r w:rsidR="00C71EE5">
        <w:rPr>
          <w:rFonts w:cs="Helvetica"/>
        </w:rPr>
        <w:t xml:space="preserve"> London, Paris and Bangkok. </w:t>
      </w:r>
      <w:r w:rsidR="00457A5A">
        <w:rPr>
          <w:rFonts w:cs="Helvetica"/>
        </w:rPr>
        <w:t xml:space="preserve">A one-place rise since 2014 figures, Dubai has risen from the eighth position in 2012 and MasterCard predicts that the emirate will </w:t>
      </w:r>
      <w:r>
        <w:rPr>
          <w:rFonts w:cs="Helvetica"/>
        </w:rPr>
        <w:t xml:space="preserve">welcome </w:t>
      </w:r>
      <w:r w:rsidRPr="003E003E">
        <w:rPr>
          <w:rFonts w:cs="Helvetica"/>
        </w:rPr>
        <w:t xml:space="preserve">almost 14.3 million </w:t>
      </w:r>
      <w:r w:rsidR="00457A5A">
        <w:rPr>
          <w:rFonts w:cs="Helvetica"/>
        </w:rPr>
        <w:t xml:space="preserve">international visitors in 2015, a </w:t>
      </w:r>
      <w:r w:rsidR="00C71EE5">
        <w:rPr>
          <w:rFonts w:cs="Helvetica"/>
        </w:rPr>
        <w:t xml:space="preserve">ratio of 5.7 </w:t>
      </w:r>
      <w:r w:rsidR="00C71EE5" w:rsidRPr="003E003E">
        <w:rPr>
          <w:rFonts w:cs="Helvetica"/>
        </w:rPr>
        <w:t xml:space="preserve">international overnight visitors </w:t>
      </w:r>
      <w:r w:rsidR="00C71EE5">
        <w:rPr>
          <w:rFonts w:cs="Helvetica"/>
        </w:rPr>
        <w:t xml:space="preserve">per </w:t>
      </w:r>
      <w:r w:rsidR="00C71EE5" w:rsidRPr="003E003E">
        <w:rPr>
          <w:rFonts w:cs="Helvetica"/>
        </w:rPr>
        <w:t>city resident</w:t>
      </w:r>
      <w:r w:rsidR="00C71EE5">
        <w:rPr>
          <w:rFonts w:cs="Helvetica"/>
        </w:rPr>
        <w:t>.</w:t>
      </w:r>
      <w:r w:rsidR="00457A5A">
        <w:rPr>
          <w:rFonts w:cs="Helvetica"/>
        </w:rPr>
        <w:t xml:space="preserve"> Official figures released by Dubai’s Department of Tourism &amp; Commerce Marketing (Dubai Tourism) in May of this year showed that the emirate welcomed 13.2 international overnight visitors in 2014. </w:t>
      </w:r>
    </w:p>
    <w:p w14:paraId="2C51B221" w14:textId="28F2E9CE" w:rsidR="008E629E" w:rsidRDefault="008E629E" w:rsidP="008E629E">
      <w:pPr>
        <w:spacing w:after="120"/>
        <w:rPr>
          <w:rFonts w:cs="Helvetica"/>
        </w:rPr>
      </w:pPr>
      <w:proofErr w:type="spellStart"/>
      <w:r>
        <w:rPr>
          <w:rFonts w:cs="Helvetica"/>
        </w:rPr>
        <w:t>Mastercard’s</w:t>
      </w:r>
      <w:proofErr w:type="spellEnd"/>
      <w:r>
        <w:rPr>
          <w:rFonts w:cs="Helvetica"/>
        </w:rPr>
        <w:t xml:space="preserve"> announcement came </w:t>
      </w:r>
      <w:r w:rsidR="00457A5A">
        <w:rPr>
          <w:rFonts w:cs="Helvetica"/>
        </w:rPr>
        <w:t xml:space="preserve">days </w:t>
      </w:r>
      <w:r>
        <w:rPr>
          <w:rFonts w:cs="Helvetica"/>
        </w:rPr>
        <w:t xml:space="preserve">after </w:t>
      </w:r>
      <w:r w:rsidR="00457A5A">
        <w:rPr>
          <w:rFonts w:cs="Helvetica"/>
        </w:rPr>
        <w:t>Dubai</w:t>
      </w:r>
      <w:r>
        <w:rPr>
          <w:rFonts w:cs="Helvetica"/>
        </w:rPr>
        <w:t xml:space="preserve"> retained its top ranking in the Middle East region for international association meetings, and climbed 19 places globally to 44</w:t>
      </w:r>
      <w:r w:rsidRPr="00672C87">
        <w:rPr>
          <w:rFonts w:cs="Helvetica"/>
          <w:vertAlign w:val="superscript"/>
        </w:rPr>
        <w:t>th</w:t>
      </w:r>
      <w:r>
        <w:rPr>
          <w:rFonts w:cs="Helvetica"/>
        </w:rPr>
        <w:t xml:space="preserve"> position in the 2014 </w:t>
      </w:r>
      <w:r w:rsidRPr="00D77B68">
        <w:rPr>
          <w:rFonts w:cs="Helvetica"/>
        </w:rPr>
        <w:t>International Congress &amp; Convention Association</w:t>
      </w:r>
      <w:r>
        <w:rPr>
          <w:rFonts w:cs="Helvetica"/>
        </w:rPr>
        <w:t xml:space="preserve"> (ICCA) World Rankings - up from 63</w:t>
      </w:r>
      <w:r w:rsidRPr="00672C87">
        <w:rPr>
          <w:rFonts w:cs="Helvetica"/>
          <w:vertAlign w:val="superscript"/>
        </w:rPr>
        <w:t>rd</w:t>
      </w:r>
      <w:r>
        <w:rPr>
          <w:rFonts w:cs="Helvetica"/>
        </w:rPr>
        <w:t xml:space="preserve"> place in 2013.</w:t>
      </w:r>
      <w:r w:rsidR="00457A5A">
        <w:rPr>
          <w:rFonts w:cs="Helvetica"/>
        </w:rPr>
        <w:t xml:space="preserve"> </w:t>
      </w:r>
    </w:p>
    <w:p w14:paraId="634C1220" w14:textId="1A98FC17" w:rsidR="008E629E" w:rsidRDefault="008E629E" w:rsidP="008E629E">
      <w:pPr>
        <w:tabs>
          <w:tab w:val="left" w:pos="1395"/>
        </w:tabs>
        <w:spacing w:after="120"/>
        <w:rPr>
          <w:rFonts w:cs="Helvetica"/>
        </w:rPr>
      </w:pPr>
      <w:r>
        <w:rPr>
          <w:rFonts w:cs="Helvetica"/>
        </w:rPr>
        <w:t xml:space="preserve">The ICCA rankings are considered the most dependable and consistent benchmark on how individual destinations which host international </w:t>
      </w:r>
      <w:r w:rsidR="00A73418">
        <w:rPr>
          <w:rFonts w:cs="Helvetica"/>
        </w:rPr>
        <w:t>association meetings</w:t>
      </w:r>
      <w:r>
        <w:rPr>
          <w:rFonts w:cs="Helvetica"/>
        </w:rPr>
        <w:t xml:space="preserve"> are performing.</w:t>
      </w:r>
      <w:r w:rsidR="00A73418">
        <w:rPr>
          <w:rFonts w:cs="Helvetica"/>
        </w:rPr>
        <w:t xml:space="preserve"> International organisations and </w:t>
      </w:r>
      <w:r>
        <w:rPr>
          <w:rFonts w:cs="Helvetica"/>
        </w:rPr>
        <w:t xml:space="preserve">associations regularly use ICCA rankings to gauge the event hosting capacity of a city they may wish to host events in. </w:t>
      </w:r>
    </w:p>
    <w:p w14:paraId="73937556" w14:textId="34FD25A7" w:rsidR="00D8391B" w:rsidRDefault="008E629E" w:rsidP="007F6300">
      <w:pPr>
        <w:spacing w:after="120"/>
        <w:rPr>
          <w:rFonts w:cs="Helvetica"/>
        </w:rPr>
      </w:pPr>
      <w:r>
        <w:rPr>
          <w:rFonts w:cs="Helvetica"/>
        </w:rPr>
        <w:t>In terms of international meeting</w:t>
      </w:r>
      <w:r w:rsidR="002A718B">
        <w:rPr>
          <w:rFonts w:cs="Helvetica"/>
        </w:rPr>
        <w:t>s</w:t>
      </w:r>
      <w:r>
        <w:rPr>
          <w:rFonts w:cs="Helvetica"/>
        </w:rPr>
        <w:t>, Dubai ha</w:t>
      </w:r>
      <w:r w:rsidR="002A718B">
        <w:rPr>
          <w:rFonts w:cs="Helvetica"/>
        </w:rPr>
        <w:t>d</w:t>
      </w:r>
      <w:r>
        <w:rPr>
          <w:rFonts w:cs="Helvetica"/>
        </w:rPr>
        <w:t xml:space="preserve"> more news to celebrate, as the </w:t>
      </w:r>
      <w:r>
        <w:t>Union of International Association (UIA)</w:t>
      </w:r>
      <w:r w:rsidRPr="001D633C">
        <w:rPr>
          <w:rFonts w:cs="Arial"/>
          <w:lang w:val="en-US"/>
        </w:rPr>
        <w:t xml:space="preserve"> </w:t>
      </w:r>
      <w:r w:rsidR="002A718B">
        <w:rPr>
          <w:rFonts w:cs="Arial"/>
          <w:lang w:val="en-US"/>
        </w:rPr>
        <w:t>announced</w:t>
      </w:r>
      <w:r w:rsidR="00DE6873">
        <w:rPr>
          <w:rFonts w:cs="Arial"/>
          <w:lang w:val="en-US"/>
        </w:rPr>
        <w:t xml:space="preserve"> in a recently published report </w:t>
      </w:r>
      <w:r w:rsidR="002A718B">
        <w:rPr>
          <w:rFonts w:cs="Arial"/>
          <w:lang w:val="en-US"/>
        </w:rPr>
        <w:t xml:space="preserve">that Dubai </w:t>
      </w:r>
      <w:r>
        <w:rPr>
          <w:rFonts w:cs="Arial"/>
          <w:lang w:val="en-US"/>
        </w:rPr>
        <w:t>made huge leaps forward in the</w:t>
      </w:r>
      <w:r w:rsidR="00DE6873">
        <w:rPr>
          <w:rFonts w:cs="Arial"/>
          <w:lang w:val="en-US"/>
        </w:rPr>
        <w:t xml:space="preserve"> number of international meetings hosted. Hosting 146 international meetings in 2014, compared to 80 in 2013, Dubai </w:t>
      </w:r>
      <w:r w:rsidR="002A718B">
        <w:rPr>
          <w:rFonts w:cs="Helvetica"/>
        </w:rPr>
        <w:t>jumped from 21</w:t>
      </w:r>
      <w:r w:rsidR="002A718B" w:rsidRPr="002A718B">
        <w:rPr>
          <w:rFonts w:cs="Helvetica"/>
          <w:vertAlign w:val="superscript"/>
        </w:rPr>
        <w:t>st</w:t>
      </w:r>
      <w:r w:rsidR="002A718B">
        <w:rPr>
          <w:rFonts w:cs="Helvetica"/>
        </w:rPr>
        <w:t xml:space="preserve"> position to 14</w:t>
      </w:r>
      <w:r w:rsidR="002A718B" w:rsidRPr="002A718B">
        <w:rPr>
          <w:rFonts w:cs="Helvetica"/>
          <w:vertAlign w:val="superscript"/>
        </w:rPr>
        <w:t>th</w:t>
      </w:r>
      <w:r w:rsidR="002A718B">
        <w:rPr>
          <w:rFonts w:cs="Helvetica"/>
        </w:rPr>
        <w:t xml:space="preserve"> globally</w:t>
      </w:r>
      <w:r w:rsidR="00DE6873">
        <w:rPr>
          <w:rFonts w:cs="Helvetica"/>
        </w:rPr>
        <w:t>.</w:t>
      </w:r>
      <w:r w:rsidR="0084425B">
        <w:rPr>
          <w:rFonts w:cs="Helvetica"/>
        </w:rPr>
        <w:t>*</w:t>
      </w:r>
    </w:p>
    <w:p w14:paraId="5D994EBD" w14:textId="77777777" w:rsidR="00A73418" w:rsidRDefault="00CB0A11" w:rsidP="007F6300">
      <w:pPr>
        <w:tabs>
          <w:tab w:val="left" w:pos="1395"/>
        </w:tabs>
        <w:spacing w:after="120"/>
        <w:rPr>
          <w:rFonts w:cs="Helvetica"/>
        </w:rPr>
      </w:pPr>
      <w:r w:rsidRPr="00883DE1">
        <w:rPr>
          <w:rFonts w:cs="Helvetica"/>
          <w:b/>
        </w:rPr>
        <w:t>Commenting on Dubai’s</w:t>
      </w:r>
      <w:r w:rsidR="00061C96">
        <w:rPr>
          <w:rFonts w:cs="Helvetica"/>
          <w:b/>
        </w:rPr>
        <w:t xml:space="preserve"> </w:t>
      </w:r>
      <w:r w:rsidR="002A718B">
        <w:rPr>
          <w:rFonts w:cs="Helvetica"/>
          <w:b/>
        </w:rPr>
        <w:t>growing appeal to international leisure and business vis</w:t>
      </w:r>
      <w:r w:rsidR="009123DE">
        <w:rPr>
          <w:rFonts w:cs="Helvetica"/>
          <w:b/>
        </w:rPr>
        <w:t xml:space="preserve">itors, His Excellency </w:t>
      </w:r>
      <w:proofErr w:type="spellStart"/>
      <w:r w:rsidR="009123DE">
        <w:rPr>
          <w:rFonts w:cs="Helvetica"/>
          <w:b/>
        </w:rPr>
        <w:t>Helal</w:t>
      </w:r>
      <w:proofErr w:type="spellEnd"/>
      <w:r w:rsidR="009123DE">
        <w:rPr>
          <w:rFonts w:cs="Helvetica"/>
          <w:b/>
        </w:rPr>
        <w:t xml:space="preserve"> </w:t>
      </w:r>
      <w:proofErr w:type="spellStart"/>
      <w:r w:rsidR="009123DE">
        <w:rPr>
          <w:rFonts w:cs="Helvetica"/>
          <w:b/>
        </w:rPr>
        <w:t>Alm</w:t>
      </w:r>
      <w:r w:rsidR="002A718B">
        <w:rPr>
          <w:rFonts w:cs="Helvetica"/>
          <w:b/>
        </w:rPr>
        <w:t>arri</w:t>
      </w:r>
      <w:proofErr w:type="spellEnd"/>
      <w:r w:rsidR="002A718B">
        <w:rPr>
          <w:rFonts w:cs="Helvetica"/>
          <w:b/>
        </w:rPr>
        <w:t>, Director General of Dubai Tourism</w:t>
      </w:r>
      <w:r w:rsidRPr="00883DE1">
        <w:rPr>
          <w:rFonts w:cs="Helvetica"/>
          <w:b/>
        </w:rPr>
        <w:t>, said:</w:t>
      </w:r>
      <w:r>
        <w:rPr>
          <w:rFonts w:cs="Helvetica"/>
        </w:rPr>
        <w:t xml:space="preserve"> “Dubai</w:t>
      </w:r>
      <w:r w:rsidR="00205A26">
        <w:rPr>
          <w:rFonts w:cs="Helvetica"/>
        </w:rPr>
        <w:t xml:space="preserve"> as a destination is ever evolving in order to create memorable experiences for its guests through world-class infrastructure, excellent service and remarkable attractions which are compelling and entice visitors to return</w:t>
      </w:r>
      <w:r w:rsidR="00061C96">
        <w:rPr>
          <w:rFonts w:cs="Helvetica"/>
        </w:rPr>
        <w:t>.</w:t>
      </w:r>
      <w:r w:rsidR="00205A26">
        <w:rPr>
          <w:rFonts w:cs="Helvetica"/>
        </w:rPr>
        <w:t xml:space="preserve"> </w:t>
      </w:r>
      <w:r w:rsidR="009123DE">
        <w:rPr>
          <w:rFonts w:cs="Helvetica"/>
        </w:rPr>
        <w:lastRenderedPageBreak/>
        <w:t xml:space="preserve">Although the MasterCard rankings are predictive, they do approximate with our own estimations of future growth and are a clear demonstration of Dubai’s continual rise as a global destination of choice. </w:t>
      </w:r>
    </w:p>
    <w:p w14:paraId="00B6E3A1" w14:textId="6300D1FB" w:rsidR="00A73418" w:rsidRDefault="00A73418" w:rsidP="007F6300">
      <w:pPr>
        <w:tabs>
          <w:tab w:val="left" w:pos="1395"/>
        </w:tabs>
        <w:spacing w:after="120"/>
        <w:rPr>
          <w:rFonts w:cs="Helvetica"/>
        </w:rPr>
      </w:pPr>
      <w:r>
        <w:rPr>
          <w:rFonts w:cs="Helvetica"/>
        </w:rPr>
        <w:t>W</w:t>
      </w:r>
      <w:r w:rsidR="00DE6873">
        <w:rPr>
          <w:rFonts w:cs="Helvetica"/>
        </w:rPr>
        <w:t>ith regards to business tourism</w:t>
      </w:r>
      <w:r>
        <w:rPr>
          <w:rFonts w:cs="Helvetica"/>
        </w:rPr>
        <w:t xml:space="preserve">, the increase in the number of meetings and conferences being hosted in Dubai is significantly contributing to the rise in visitor numbers while also </w:t>
      </w:r>
      <w:r w:rsidR="00DE6873">
        <w:rPr>
          <w:rFonts w:cs="Helvetica"/>
        </w:rPr>
        <w:t>positio</w:t>
      </w:r>
      <w:r>
        <w:rPr>
          <w:rFonts w:cs="Helvetica"/>
        </w:rPr>
        <w:t>n</w:t>
      </w:r>
      <w:r w:rsidR="00DE6873">
        <w:rPr>
          <w:rFonts w:cs="Helvetica"/>
        </w:rPr>
        <w:t>in</w:t>
      </w:r>
      <w:r>
        <w:rPr>
          <w:rFonts w:cs="Helvetica"/>
        </w:rPr>
        <w:t xml:space="preserve">g the emirate as a global hub for creation, education and innovation.  </w:t>
      </w:r>
    </w:p>
    <w:p w14:paraId="6594C100" w14:textId="034738E9" w:rsidR="00CB0A11" w:rsidRDefault="00205A26" w:rsidP="007F6300">
      <w:pPr>
        <w:tabs>
          <w:tab w:val="left" w:pos="1395"/>
        </w:tabs>
        <w:spacing w:after="120"/>
        <w:rPr>
          <w:rFonts w:cs="Helvetica"/>
        </w:rPr>
      </w:pPr>
      <w:r>
        <w:rPr>
          <w:rFonts w:cs="Helvetica"/>
        </w:rPr>
        <w:t xml:space="preserve">We are very pleased that the efforts </w:t>
      </w:r>
      <w:r w:rsidR="00454B05">
        <w:rPr>
          <w:rFonts w:cs="Helvetica"/>
        </w:rPr>
        <w:t>being exerted</w:t>
      </w:r>
      <w:r>
        <w:rPr>
          <w:rFonts w:cs="Helvetica"/>
        </w:rPr>
        <w:t xml:space="preserve"> by the city’s tourism stakeholders </w:t>
      </w:r>
      <w:r w:rsidR="00454B05">
        <w:rPr>
          <w:rFonts w:cs="Helvetica"/>
        </w:rPr>
        <w:t xml:space="preserve">to </w:t>
      </w:r>
      <w:r w:rsidR="009123DE">
        <w:rPr>
          <w:rFonts w:cs="Helvetica"/>
        </w:rPr>
        <w:t>deliver the Tourism Vision of His Highness Sheikh Mohammed bin Rashid Al Maktoum, UAE Vice President and Prime Minister and Ruler of Dubai, and create</w:t>
      </w:r>
      <w:r w:rsidR="00454B05">
        <w:rPr>
          <w:rFonts w:cs="Helvetica"/>
        </w:rPr>
        <w:t xml:space="preserve"> remarkable experiences</w:t>
      </w:r>
      <w:r w:rsidR="009123DE">
        <w:rPr>
          <w:rFonts w:cs="Helvetica"/>
        </w:rPr>
        <w:t xml:space="preserve"> for both leisure and business visitors</w:t>
      </w:r>
      <w:r w:rsidR="00454B05">
        <w:rPr>
          <w:rFonts w:cs="Helvetica"/>
        </w:rPr>
        <w:t xml:space="preserve"> </w:t>
      </w:r>
      <w:r>
        <w:rPr>
          <w:rFonts w:cs="Helvetica"/>
        </w:rPr>
        <w:t xml:space="preserve">are </w:t>
      </w:r>
      <w:r w:rsidR="00454B05">
        <w:rPr>
          <w:rFonts w:cs="Helvetica"/>
        </w:rPr>
        <w:t xml:space="preserve">seeing </w:t>
      </w:r>
      <w:r>
        <w:rPr>
          <w:rFonts w:cs="Helvetica"/>
        </w:rPr>
        <w:t>results</w:t>
      </w:r>
      <w:r w:rsidR="009123DE">
        <w:rPr>
          <w:rFonts w:cs="Helvetica"/>
        </w:rPr>
        <w:t>, and will continue to seek to reach into new markets while maintaining and increasing our share of existent markets.”</w:t>
      </w:r>
    </w:p>
    <w:p w14:paraId="4D83D684" w14:textId="2F5A58CA" w:rsidR="00931DC1" w:rsidRPr="00931DC1" w:rsidRDefault="00205A26" w:rsidP="00931DC1">
      <w:pPr>
        <w:spacing w:after="240"/>
        <w:rPr>
          <w:rFonts w:cs="Arial"/>
          <w:b/>
          <w:u w:val="single"/>
        </w:rPr>
      </w:pPr>
      <w:r>
        <w:rPr>
          <w:rFonts w:cs="Arial"/>
          <w:b/>
          <w:u w:val="single"/>
        </w:rPr>
        <w:t xml:space="preserve">Expanded airport </w:t>
      </w:r>
      <w:r w:rsidR="00931DC1" w:rsidRPr="00931DC1">
        <w:rPr>
          <w:rFonts w:cs="Arial"/>
          <w:b/>
          <w:u w:val="single"/>
        </w:rPr>
        <w:t xml:space="preserve">capacity to </w:t>
      </w:r>
      <w:r w:rsidR="008E629E">
        <w:rPr>
          <w:rFonts w:cs="Arial"/>
          <w:b/>
          <w:u w:val="single"/>
        </w:rPr>
        <w:t xml:space="preserve">continue </w:t>
      </w:r>
      <w:r w:rsidR="00931DC1" w:rsidRPr="00931DC1">
        <w:rPr>
          <w:rFonts w:cs="Arial"/>
          <w:b/>
          <w:u w:val="single"/>
        </w:rPr>
        <w:t>driv</w:t>
      </w:r>
      <w:r w:rsidR="008E629E">
        <w:rPr>
          <w:rFonts w:cs="Arial"/>
          <w:b/>
          <w:u w:val="single"/>
        </w:rPr>
        <w:t>ing</w:t>
      </w:r>
      <w:r w:rsidR="00931DC1" w:rsidRPr="00931DC1">
        <w:rPr>
          <w:rFonts w:cs="Arial"/>
          <w:b/>
          <w:u w:val="single"/>
        </w:rPr>
        <w:t xml:space="preserve"> growth</w:t>
      </w:r>
    </w:p>
    <w:p w14:paraId="16EE2495" w14:textId="59600058" w:rsidR="00E0476C" w:rsidRPr="001D633C" w:rsidRDefault="00D61698" w:rsidP="007F6300">
      <w:pPr>
        <w:spacing w:after="120"/>
        <w:rPr>
          <w:rFonts w:cs="Arial"/>
        </w:rPr>
      </w:pPr>
      <w:r>
        <w:rPr>
          <w:rFonts w:cs="Arial"/>
        </w:rPr>
        <w:t xml:space="preserve">As international meetings in the city continue to rise, so do the number of international </w:t>
      </w:r>
      <w:r w:rsidR="00C605D0">
        <w:rPr>
          <w:rFonts w:cs="Arial"/>
        </w:rPr>
        <w:t>travellers</w:t>
      </w:r>
      <w:r>
        <w:rPr>
          <w:rFonts w:cs="Arial"/>
        </w:rPr>
        <w:t xml:space="preserve"> who are choosing to </w:t>
      </w:r>
      <w:r w:rsidR="00C605D0">
        <w:rPr>
          <w:rFonts w:cs="Arial"/>
        </w:rPr>
        <w:t xml:space="preserve">visit </w:t>
      </w:r>
      <w:r w:rsidR="00E0476C" w:rsidRPr="00061C96">
        <w:rPr>
          <w:rFonts w:cs="Arial"/>
        </w:rPr>
        <w:t>Dubai</w:t>
      </w:r>
      <w:r w:rsidR="00C605D0">
        <w:rPr>
          <w:rFonts w:cs="Arial"/>
        </w:rPr>
        <w:t>.</w:t>
      </w:r>
      <w:r w:rsidR="00E0476C" w:rsidRPr="00061C96">
        <w:rPr>
          <w:rFonts w:cs="Arial"/>
        </w:rPr>
        <w:t xml:space="preserve"> The city welcomed 13.2 million internation</w:t>
      </w:r>
      <w:r w:rsidR="00C605D0">
        <w:rPr>
          <w:rFonts w:cs="Arial"/>
        </w:rPr>
        <w:t xml:space="preserve">al overnight travellers in 2014, an </w:t>
      </w:r>
      <w:r w:rsidR="00E0476C" w:rsidRPr="00061C96">
        <w:rPr>
          <w:rFonts w:cs="Arial"/>
        </w:rPr>
        <w:t>8.4</w:t>
      </w:r>
      <w:r w:rsidR="00C605D0">
        <w:rPr>
          <w:rFonts w:cs="Arial"/>
        </w:rPr>
        <w:t xml:space="preserve"> percent increase</w:t>
      </w:r>
      <w:r w:rsidR="00E0476C" w:rsidRPr="00061C96">
        <w:rPr>
          <w:rFonts w:cs="Arial"/>
        </w:rPr>
        <w:t xml:space="preserve"> </w:t>
      </w:r>
      <w:r w:rsidR="00C605D0">
        <w:rPr>
          <w:rFonts w:cs="Arial"/>
        </w:rPr>
        <w:t xml:space="preserve">over </w:t>
      </w:r>
      <w:r w:rsidR="00E0476C" w:rsidRPr="00061C96">
        <w:rPr>
          <w:rFonts w:cs="Arial"/>
        </w:rPr>
        <w:t>2013</w:t>
      </w:r>
      <w:r w:rsidR="00C605D0">
        <w:rPr>
          <w:rFonts w:cs="Arial"/>
        </w:rPr>
        <w:t xml:space="preserve">. </w:t>
      </w:r>
      <w:r w:rsidR="00E0476C" w:rsidRPr="001D633C">
        <w:rPr>
          <w:rFonts w:cs="Arial"/>
        </w:rPr>
        <w:t>The purpose of visit</w:t>
      </w:r>
      <w:r w:rsidR="00E721A7">
        <w:rPr>
          <w:rFonts w:cs="Arial"/>
        </w:rPr>
        <w:t>s</w:t>
      </w:r>
      <w:r w:rsidR="00E0476C" w:rsidRPr="001D633C">
        <w:rPr>
          <w:rFonts w:cs="Arial"/>
        </w:rPr>
        <w:t>, although dominated by leisure at 59</w:t>
      </w:r>
      <w:r w:rsidR="00C605D0">
        <w:rPr>
          <w:rFonts w:cs="Arial"/>
        </w:rPr>
        <w:t xml:space="preserve"> percent</w:t>
      </w:r>
      <w:r w:rsidR="00E0476C" w:rsidRPr="001D633C">
        <w:rPr>
          <w:rFonts w:cs="Arial"/>
        </w:rPr>
        <w:t xml:space="preserve">, </w:t>
      </w:r>
      <w:r w:rsidR="00E721A7">
        <w:rPr>
          <w:rFonts w:cs="Arial"/>
        </w:rPr>
        <w:t>saw</w:t>
      </w:r>
      <w:r w:rsidR="00E0476C" w:rsidRPr="001D633C">
        <w:rPr>
          <w:rFonts w:cs="Arial"/>
        </w:rPr>
        <w:t xml:space="preserve"> over 21</w:t>
      </w:r>
      <w:r w:rsidR="00C605D0">
        <w:rPr>
          <w:rFonts w:cs="Arial"/>
        </w:rPr>
        <w:t xml:space="preserve"> percent</w:t>
      </w:r>
      <w:r w:rsidR="00E0476C" w:rsidRPr="001D633C">
        <w:rPr>
          <w:rFonts w:cs="Arial"/>
        </w:rPr>
        <w:t xml:space="preserve"> visiting for business, and another 17</w:t>
      </w:r>
      <w:r w:rsidR="00C605D0">
        <w:rPr>
          <w:rFonts w:cs="Arial"/>
        </w:rPr>
        <w:t xml:space="preserve"> percent</w:t>
      </w:r>
      <w:r w:rsidR="00E0476C" w:rsidRPr="001D633C">
        <w:rPr>
          <w:rFonts w:cs="Arial"/>
        </w:rPr>
        <w:t xml:space="preserve"> visiting friends and/or relatives</w:t>
      </w:r>
      <w:r w:rsidR="00C605D0">
        <w:rPr>
          <w:rFonts w:cs="Arial"/>
        </w:rPr>
        <w:t>.</w:t>
      </w:r>
    </w:p>
    <w:p w14:paraId="67369D7D" w14:textId="77777777" w:rsidR="00C605D0" w:rsidRDefault="00C605D0" w:rsidP="007F6300">
      <w:pPr>
        <w:tabs>
          <w:tab w:val="left" w:pos="2760"/>
        </w:tabs>
        <w:spacing w:after="120"/>
        <w:rPr>
          <w:rFonts w:cs="Arial"/>
        </w:rPr>
      </w:pPr>
      <w:r w:rsidRPr="00C605D0">
        <w:rPr>
          <w:rFonts w:cs="Arial"/>
        </w:rPr>
        <w:t>As a h</w:t>
      </w:r>
      <w:r w:rsidR="00AC5245" w:rsidRPr="00C605D0">
        <w:rPr>
          <w:rFonts w:cs="Arial"/>
        </w:rPr>
        <w:t>ub between East and West</w:t>
      </w:r>
      <w:r>
        <w:rPr>
          <w:rFonts w:cs="Arial"/>
        </w:rPr>
        <w:t>,</w:t>
      </w:r>
      <w:r w:rsidR="00AC5245" w:rsidRPr="00C605D0">
        <w:rPr>
          <w:rFonts w:cs="Arial"/>
        </w:rPr>
        <w:t xml:space="preserve"> and a gateway to emerging markets across the world, </w:t>
      </w:r>
      <w:r w:rsidR="00AC5245" w:rsidRPr="001D633C">
        <w:rPr>
          <w:rFonts w:cs="Arial"/>
        </w:rPr>
        <w:t xml:space="preserve">Dubai International Airport (DXB) </w:t>
      </w:r>
      <w:r>
        <w:rPr>
          <w:rFonts w:cs="Arial"/>
        </w:rPr>
        <w:t>has become the</w:t>
      </w:r>
      <w:r w:rsidR="00AC5245" w:rsidRPr="001D633C">
        <w:rPr>
          <w:rFonts w:cs="Arial"/>
        </w:rPr>
        <w:t xml:space="preserve"> world’s </w:t>
      </w:r>
      <w:r>
        <w:rPr>
          <w:rFonts w:cs="Arial"/>
        </w:rPr>
        <w:t>number one</w:t>
      </w:r>
      <w:r w:rsidR="00AC5245" w:rsidRPr="001D633C">
        <w:rPr>
          <w:rFonts w:cs="Arial"/>
        </w:rPr>
        <w:t xml:space="preserve"> airport </w:t>
      </w:r>
      <w:r>
        <w:rPr>
          <w:rFonts w:cs="Arial"/>
        </w:rPr>
        <w:t xml:space="preserve">in terms of </w:t>
      </w:r>
      <w:r w:rsidR="00AC5245" w:rsidRPr="001D633C">
        <w:rPr>
          <w:rFonts w:cs="Arial"/>
        </w:rPr>
        <w:t>international passengers</w:t>
      </w:r>
      <w:r>
        <w:rPr>
          <w:rFonts w:cs="Arial"/>
        </w:rPr>
        <w:t xml:space="preserve">, with over </w:t>
      </w:r>
      <w:r w:rsidR="00AC5245" w:rsidRPr="001D633C">
        <w:rPr>
          <w:rFonts w:cs="Arial"/>
        </w:rPr>
        <w:t>70</w:t>
      </w:r>
      <w:r w:rsidR="00AC5245">
        <w:rPr>
          <w:rFonts w:cs="Arial"/>
        </w:rPr>
        <w:t>.47</w:t>
      </w:r>
      <w:r w:rsidR="00AC5245" w:rsidRPr="001D633C">
        <w:rPr>
          <w:rFonts w:cs="Arial"/>
        </w:rPr>
        <w:t xml:space="preserve"> million </w:t>
      </w:r>
      <w:r>
        <w:rPr>
          <w:rFonts w:cs="Arial"/>
        </w:rPr>
        <w:t xml:space="preserve">passengers using DXB in 2014. </w:t>
      </w:r>
    </w:p>
    <w:p w14:paraId="6F34C98E" w14:textId="02E78E8D" w:rsidR="00AC5245" w:rsidRDefault="00AC5245" w:rsidP="007F6300">
      <w:pPr>
        <w:spacing w:after="120"/>
        <w:rPr>
          <w:rFonts w:cs="Arial"/>
        </w:rPr>
      </w:pPr>
      <w:r w:rsidRPr="00C605D0">
        <w:rPr>
          <w:rFonts w:cs="Arial"/>
        </w:rPr>
        <w:t xml:space="preserve">Construction is </w:t>
      </w:r>
      <w:r w:rsidR="00C605D0">
        <w:rPr>
          <w:rFonts w:cs="Arial"/>
        </w:rPr>
        <w:t xml:space="preserve">also </w:t>
      </w:r>
      <w:r w:rsidRPr="00C605D0">
        <w:rPr>
          <w:rFonts w:cs="Arial"/>
        </w:rPr>
        <w:t xml:space="preserve">expected to begin later this year on the expansion of </w:t>
      </w:r>
      <w:r w:rsidR="00C605D0">
        <w:rPr>
          <w:rFonts w:cs="Arial"/>
        </w:rPr>
        <w:t xml:space="preserve">Dubai’s second airport, </w:t>
      </w:r>
      <w:r w:rsidR="00C605D0" w:rsidRPr="00C605D0">
        <w:rPr>
          <w:rFonts w:cs="Arial"/>
        </w:rPr>
        <w:t>Al Maktoum International at Dubai World Central (DWC)</w:t>
      </w:r>
      <w:r w:rsidR="00C605D0">
        <w:rPr>
          <w:rFonts w:cs="Arial"/>
        </w:rPr>
        <w:t>.</w:t>
      </w:r>
      <w:r w:rsidRPr="00C605D0">
        <w:rPr>
          <w:rFonts w:cs="Arial"/>
        </w:rPr>
        <w:t xml:space="preserve"> </w:t>
      </w:r>
      <w:r w:rsidR="00C605D0">
        <w:rPr>
          <w:rFonts w:cs="Arial"/>
        </w:rPr>
        <w:t>T</w:t>
      </w:r>
      <w:r w:rsidRPr="00C605D0">
        <w:rPr>
          <w:rFonts w:cs="Arial"/>
        </w:rPr>
        <w:t xml:space="preserve">he existing </w:t>
      </w:r>
      <w:r w:rsidR="00C605D0">
        <w:rPr>
          <w:rFonts w:cs="Arial"/>
        </w:rPr>
        <w:t>six</w:t>
      </w:r>
      <w:r w:rsidRPr="00C605D0">
        <w:rPr>
          <w:rFonts w:cs="Arial"/>
        </w:rPr>
        <w:t xml:space="preserve"> million</w:t>
      </w:r>
      <w:r w:rsidR="0060222B">
        <w:rPr>
          <w:rFonts w:cs="Arial"/>
        </w:rPr>
        <w:t xml:space="preserve"> </w:t>
      </w:r>
      <w:r w:rsidRPr="00C605D0">
        <w:rPr>
          <w:rFonts w:cs="Arial"/>
        </w:rPr>
        <w:t>passenger</w:t>
      </w:r>
      <w:r w:rsidR="0060222B">
        <w:rPr>
          <w:rFonts w:cs="Arial"/>
        </w:rPr>
        <w:t>s</w:t>
      </w:r>
      <w:r w:rsidRPr="00C605D0">
        <w:rPr>
          <w:rFonts w:cs="Arial"/>
        </w:rPr>
        <w:t xml:space="preserve"> per year capacity terminal </w:t>
      </w:r>
      <w:r w:rsidR="00C605D0">
        <w:rPr>
          <w:rFonts w:cs="Arial"/>
        </w:rPr>
        <w:t xml:space="preserve">is set to be </w:t>
      </w:r>
      <w:r w:rsidRPr="00C605D0">
        <w:rPr>
          <w:rFonts w:cs="Arial"/>
        </w:rPr>
        <w:t xml:space="preserve">to be </w:t>
      </w:r>
      <w:r w:rsidR="0060222B">
        <w:rPr>
          <w:rFonts w:cs="Arial"/>
        </w:rPr>
        <w:t>increased</w:t>
      </w:r>
      <w:r w:rsidRPr="00C605D0">
        <w:rPr>
          <w:rFonts w:cs="Arial"/>
        </w:rPr>
        <w:t xml:space="preserve"> to 26 million </w:t>
      </w:r>
      <w:r w:rsidR="0060222B">
        <w:rPr>
          <w:rFonts w:cs="Arial"/>
        </w:rPr>
        <w:t xml:space="preserve">passengers </w:t>
      </w:r>
      <w:r w:rsidRPr="00C605D0">
        <w:rPr>
          <w:rFonts w:cs="Arial"/>
        </w:rPr>
        <w:t>per year by Q1 in 2017</w:t>
      </w:r>
      <w:r w:rsidR="00E721A7">
        <w:rPr>
          <w:rFonts w:cs="Arial"/>
        </w:rPr>
        <w:t xml:space="preserve">, as part of a </w:t>
      </w:r>
      <w:r w:rsidR="0060222B">
        <w:rPr>
          <w:rFonts w:cs="Arial"/>
        </w:rPr>
        <w:t>US</w:t>
      </w:r>
      <w:r w:rsidRPr="0060222B">
        <w:rPr>
          <w:rFonts w:cs="Arial"/>
        </w:rPr>
        <w:t>$32</w:t>
      </w:r>
      <w:r w:rsidR="0060222B">
        <w:rPr>
          <w:rFonts w:cs="Arial"/>
        </w:rPr>
        <w:t xml:space="preserve"> billion</w:t>
      </w:r>
      <w:r w:rsidRPr="0060222B">
        <w:rPr>
          <w:rFonts w:cs="Arial"/>
        </w:rPr>
        <w:t xml:space="preserve"> expansion project announced in September 2014 to create the world’s biggest airport</w:t>
      </w:r>
      <w:r w:rsidR="0060222B">
        <w:rPr>
          <w:rFonts w:cs="Arial"/>
        </w:rPr>
        <w:t>,</w:t>
      </w:r>
      <w:r w:rsidRPr="0060222B">
        <w:rPr>
          <w:rFonts w:cs="Arial"/>
        </w:rPr>
        <w:t xml:space="preserve"> with an ultimate capacity in excess of 200 million passengers per year</w:t>
      </w:r>
      <w:r w:rsidR="0060222B">
        <w:rPr>
          <w:rFonts w:cs="Arial"/>
        </w:rPr>
        <w:t>.</w:t>
      </w:r>
    </w:p>
    <w:p w14:paraId="02B24299" w14:textId="77777777" w:rsidR="0060222B" w:rsidRDefault="0060222B" w:rsidP="00FE5A26">
      <w:pPr>
        <w:spacing w:after="0"/>
        <w:jc w:val="center"/>
        <w:rPr>
          <w:rFonts w:cs="Helvetica"/>
          <w:b/>
        </w:rPr>
      </w:pPr>
    </w:p>
    <w:p w14:paraId="0A0F8924" w14:textId="77777777" w:rsidR="002E11C3" w:rsidRPr="00A60FC2" w:rsidRDefault="001A4A4E" w:rsidP="00FE5A26">
      <w:pPr>
        <w:spacing w:after="0"/>
        <w:jc w:val="center"/>
        <w:rPr>
          <w:rFonts w:cs="Helvetica"/>
          <w:b/>
        </w:rPr>
      </w:pPr>
      <w:r w:rsidRPr="00A60FC2">
        <w:rPr>
          <w:rFonts w:cs="Helvetica"/>
          <w:b/>
        </w:rPr>
        <w:t>- ENDS -</w:t>
      </w:r>
    </w:p>
    <w:p w14:paraId="6B5A4807" w14:textId="77777777" w:rsidR="00407CED" w:rsidRPr="00A60FC2" w:rsidRDefault="00407CED" w:rsidP="004C4859">
      <w:pPr>
        <w:tabs>
          <w:tab w:val="left" w:pos="1485"/>
          <w:tab w:val="left" w:pos="6255"/>
        </w:tabs>
        <w:spacing w:after="0"/>
        <w:jc w:val="both"/>
        <w:rPr>
          <w:rFonts w:eastAsia="Times New Roman" w:cs="Helvetica"/>
          <w:b/>
          <w:color w:val="000000"/>
          <w:lang w:val="en-US"/>
        </w:rPr>
      </w:pPr>
    </w:p>
    <w:p w14:paraId="6622899F" w14:textId="56068EEC" w:rsidR="000D2699" w:rsidRDefault="000D2699" w:rsidP="0084425B">
      <w:pPr>
        <w:tabs>
          <w:tab w:val="left" w:pos="1485"/>
        </w:tabs>
        <w:spacing w:after="0"/>
        <w:jc w:val="both"/>
        <w:rPr>
          <w:rFonts w:eastAsia="Times New Roman" w:cs="Helvetica"/>
          <w:b/>
          <w:color w:val="000000"/>
        </w:rPr>
      </w:pPr>
      <w:r w:rsidRPr="00D631D5">
        <w:rPr>
          <w:rFonts w:eastAsia="Times New Roman" w:cs="Helvetica"/>
          <w:b/>
          <w:color w:val="000000"/>
        </w:rPr>
        <w:t>NOTES TO EDITORS</w:t>
      </w:r>
    </w:p>
    <w:p w14:paraId="54A5DEBB" w14:textId="77777777" w:rsidR="000D2699" w:rsidRDefault="000D2699" w:rsidP="0084425B">
      <w:pPr>
        <w:tabs>
          <w:tab w:val="left" w:pos="1485"/>
        </w:tabs>
        <w:spacing w:after="0"/>
        <w:jc w:val="both"/>
        <w:rPr>
          <w:rFonts w:eastAsia="Times New Roman" w:cs="Helvetica"/>
          <w:b/>
          <w:color w:val="000000"/>
        </w:rPr>
      </w:pPr>
    </w:p>
    <w:p w14:paraId="449BF7B4" w14:textId="602BEB83" w:rsidR="00B52BBA" w:rsidRDefault="0084425B" w:rsidP="0084425B">
      <w:pPr>
        <w:tabs>
          <w:tab w:val="left" w:pos="1485"/>
        </w:tabs>
        <w:spacing w:after="0"/>
        <w:jc w:val="both"/>
        <w:rPr>
          <w:rFonts w:eastAsia="Times New Roman" w:cs="Helvetica"/>
          <w:b/>
          <w:color w:val="000000"/>
        </w:rPr>
      </w:pPr>
      <w:r>
        <w:rPr>
          <w:rFonts w:eastAsia="Times New Roman" w:cs="Helvetica"/>
          <w:b/>
          <w:color w:val="000000"/>
        </w:rPr>
        <w:t xml:space="preserve">* </w:t>
      </w:r>
      <w:r w:rsidRPr="00024C3B">
        <w:rPr>
          <w:rFonts w:eastAsia="Times New Roman" w:cs="Helvetica"/>
          <w:b/>
          <w:color w:val="000000"/>
        </w:rPr>
        <w:t>Definition of International Meetings</w:t>
      </w:r>
    </w:p>
    <w:p w14:paraId="0FF6F901" w14:textId="315B2887" w:rsidR="0084425B" w:rsidRDefault="0084425B">
      <w:pPr>
        <w:tabs>
          <w:tab w:val="left" w:pos="1485"/>
        </w:tabs>
        <w:spacing w:after="0"/>
        <w:jc w:val="both"/>
        <w:rPr>
          <w:rFonts w:eastAsia="Times New Roman" w:cs="Helvetica"/>
          <w:color w:val="000000"/>
        </w:rPr>
      </w:pPr>
      <w:r>
        <w:rPr>
          <w:rFonts w:eastAsia="Times New Roman" w:cs="Helvetica"/>
          <w:color w:val="000000"/>
        </w:rPr>
        <w:t>There are two categories of International Meetings measured in the UIA Report:</w:t>
      </w:r>
    </w:p>
    <w:p w14:paraId="59D73D65" w14:textId="554BBF5E" w:rsidR="0084425B" w:rsidRPr="00024C3B" w:rsidRDefault="0084425B" w:rsidP="00024C3B">
      <w:pPr>
        <w:pStyle w:val="ListParagraph"/>
        <w:numPr>
          <w:ilvl w:val="0"/>
          <w:numId w:val="12"/>
        </w:numPr>
        <w:tabs>
          <w:tab w:val="left" w:pos="1485"/>
        </w:tabs>
        <w:spacing w:after="0"/>
        <w:jc w:val="both"/>
        <w:rPr>
          <w:rFonts w:eastAsia="Times New Roman" w:cs="Helvetica"/>
          <w:color w:val="000000"/>
        </w:rPr>
      </w:pPr>
      <w:r w:rsidRPr="00024C3B">
        <w:rPr>
          <w:rFonts w:eastAsia="Times New Roman" w:cs="Helvetica"/>
          <w:color w:val="000000"/>
        </w:rPr>
        <w:t xml:space="preserve">Meetings organised or sponsored by international non-governmental organisations and intergovernmental organisations, with at least 50 participants or where the number of participants are unknown. </w:t>
      </w:r>
    </w:p>
    <w:p w14:paraId="112E9EE9" w14:textId="62B7765C" w:rsidR="0084425B" w:rsidRPr="00024C3B" w:rsidRDefault="0084425B" w:rsidP="00024C3B">
      <w:pPr>
        <w:pStyle w:val="ListParagraph"/>
        <w:numPr>
          <w:ilvl w:val="0"/>
          <w:numId w:val="12"/>
        </w:numPr>
        <w:tabs>
          <w:tab w:val="left" w:pos="1485"/>
        </w:tabs>
        <w:spacing w:after="0"/>
        <w:jc w:val="both"/>
        <w:rPr>
          <w:rFonts w:eastAsia="Times New Roman" w:cs="Helvetica"/>
          <w:color w:val="000000"/>
        </w:rPr>
      </w:pPr>
      <w:r>
        <w:rPr>
          <w:rFonts w:eastAsia="Times New Roman" w:cs="Helvetica"/>
          <w:color w:val="000000"/>
        </w:rPr>
        <w:t>Meetings not organised or sponsored by international organisations but nonetheless of significant international character, notably those organised by national organisations and national branches of international organisations, with at least 30 per cent of the participants from countries other than the host country and at least five nationalities represented; which last for at least two days or with an unknown duration; with either a concurrent exhibition or at least 250 participants.</w:t>
      </w:r>
    </w:p>
    <w:p w14:paraId="43B15549" w14:textId="77777777" w:rsidR="00D631D5" w:rsidRPr="00D631D5" w:rsidRDefault="00D631D5" w:rsidP="00D631D5">
      <w:pPr>
        <w:pStyle w:val="ListParagraph"/>
        <w:rPr>
          <w:rFonts w:eastAsia="Times New Roman" w:cs="Helvetica"/>
          <w:b/>
          <w:color w:val="000000"/>
          <w:lang w:val="en-US"/>
        </w:rPr>
      </w:pPr>
      <w:r w:rsidRPr="00D631D5">
        <w:rPr>
          <w:rFonts w:eastAsia="Times New Roman" w:cs="Helvetica"/>
          <w:b/>
          <w:color w:val="000000"/>
          <w:lang w:val="en-US"/>
        </w:rPr>
        <w:t xml:space="preserve">About Dubai Business Events – the Official Convention Bureau                                                                                                                  </w:t>
      </w:r>
    </w:p>
    <w:p w14:paraId="0521BA93" w14:textId="77777777" w:rsidR="00D631D5" w:rsidRPr="000D2699" w:rsidRDefault="00D631D5" w:rsidP="00D631D5">
      <w:pPr>
        <w:pStyle w:val="ListParagraph"/>
        <w:rPr>
          <w:rFonts w:eastAsia="Times New Roman" w:cs="Helvetica"/>
          <w:color w:val="000000"/>
          <w:lang w:val="en-US"/>
        </w:rPr>
      </w:pPr>
      <w:r w:rsidRPr="000D2699">
        <w:rPr>
          <w:rFonts w:eastAsia="Times New Roman" w:cs="Helvetica"/>
          <w:color w:val="000000"/>
          <w:lang w:val="en-US"/>
        </w:rPr>
        <w:t xml:space="preserve">Dubai Business Events (DBE) – the Official Convention Bureau, aims to further develop and increase Dubai's share of the international business events market in order to grow economic development, jobs and knowledge creation in the emirate. DBE’s main goal, as a division of Dubai Tourism, is to establish the Emirate as a premier business event destination by helping organizers of international meetings, incentives, congresses and exhibitions plan and manage every aspect of their event. DBE's service standards are audited by Lloyd's Register Quality Assurance as part of DBE’s membership of </w:t>
      </w:r>
      <w:proofErr w:type="spellStart"/>
      <w:r w:rsidRPr="000D2699">
        <w:rPr>
          <w:rFonts w:eastAsia="Times New Roman" w:cs="Helvetica"/>
          <w:color w:val="000000"/>
          <w:lang w:val="en-US"/>
        </w:rPr>
        <w:t>BestCities</w:t>
      </w:r>
      <w:proofErr w:type="spellEnd"/>
      <w:r w:rsidRPr="000D2699">
        <w:rPr>
          <w:rFonts w:eastAsia="Times New Roman" w:cs="Helvetica"/>
          <w:color w:val="000000"/>
          <w:lang w:val="en-US"/>
        </w:rPr>
        <w:t xml:space="preserve"> Global Alliance that aim to deliver the world's best service experience for the meeting industry. </w:t>
      </w:r>
    </w:p>
    <w:p w14:paraId="79FF3FD6" w14:textId="77777777" w:rsidR="00D631D5" w:rsidRPr="00D631D5" w:rsidRDefault="00D631D5" w:rsidP="00D631D5">
      <w:pPr>
        <w:pStyle w:val="ListParagraph"/>
        <w:rPr>
          <w:rFonts w:eastAsia="Times New Roman" w:cs="Helvetica"/>
          <w:b/>
          <w:color w:val="000000"/>
        </w:rPr>
      </w:pPr>
      <w:r w:rsidRPr="00D631D5">
        <w:rPr>
          <w:rFonts w:eastAsia="Times New Roman" w:cs="Helvetica"/>
          <w:b/>
          <w:color w:val="000000"/>
        </w:rPr>
        <w:tab/>
      </w:r>
    </w:p>
    <w:p w14:paraId="5040FBEA" w14:textId="77777777" w:rsidR="00D631D5" w:rsidRPr="00D631D5" w:rsidRDefault="00D631D5" w:rsidP="00D631D5">
      <w:pPr>
        <w:pStyle w:val="ListParagraph"/>
        <w:rPr>
          <w:rFonts w:eastAsia="Times New Roman" w:cs="Helvetica"/>
          <w:b/>
          <w:color w:val="000000"/>
        </w:rPr>
      </w:pPr>
      <w:r w:rsidRPr="00D631D5">
        <w:rPr>
          <w:rFonts w:eastAsia="Times New Roman" w:cs="Helvetica"/>
          <w:b/>
          <w:color w:val="000000"/>
        </w:rPr>
        <w:t>About Dubai Tourism (Dubai’s Department of Tourism and Commerce Marketing - DTCM)</w:t>
      </w:r>
    </w:p>
    <w:p w14:paraId="680D0D8E" w14:textId="77777777" w:rsidR="00D631D5" w:rsidRPr="000D2699" w:rsidRDefault="00D631D5" w:rsidP="00D631D5">
      <w:pPr>
        <w:pStyle w:val="ListParagraph"/>
        <w:rPr>
          <w:rFonts w:eastAsia="Times New Roman" w:cs="Helvetica"/>
          <w:color w:val="000000"/>
        </w:rPr>
      </w:pPr>
      <w:r w:rsidRPr="000D2699">
        <w:rPr>
          <w:rFonts w:eastAsia="Times New Roman" w:cs="Helvetica"/>
          <w:color w:val="000000"/>
        </w:rPr>
        <w:t>With the ultimate vision of positioning Dubai as the world’s leading tourism destination and commercial hub, Dubai Tourism’s mission is to increase the awareness of Dubai to global audiences and to attract tourists and inward investment into the Emirate.  Dubai Tourism is the principal authority for the planning, supervision, development and marketing of Dubai’s tourism sector; markets and promotes the Emirate’s commerce sector; and is responsible for the licencing and classification of all tourism services, including hotels, tour operators and travel agents. Brands and departments within the DTCM portfolio include Dubai Business Events, Dubai Events, Dubai Calendar, and Dubai Festivals and Retail Establishment (formerly known as Dubai Events and Promotions Establishment). In addition to its headquarters in Dubai, Dubai Tourism operates 20 offices worldwide.</w:t>
      </w:r>
    </w:p>
    <w:p w14:paraId="57CE00B6" w14:textId="77777777" w:rsidR="00D631D5" w:rsidRPr="00D631D5" w:rsidRDefault="00D631D5" w:rsidP="00D631D5">
      <w:pPr>
        <w:pStyle w:val="ListParagraph"/>
        <w:rPr>
          <w:rFonts w:eastAsia="Times New Roman" w:cs="Helvetica"/>
          <w:b/>
          <w:color w:val="000000"/>
          <w:lang w:val="en-US"/>
        </w:rPr>
      </w:pPr>
    </w:p>
    <w:p w14:paraId="14FE3730" w14:textId="77777777" w:rsidR="00D631D5" w:rsidRPr="00D631D5" w:rsidRDefault="00D631D5" w:rsidP="00D631D5">
      <w:pPr>
        <w:pStyle w:val="ListParagraph"/>
        <w:rPr>
          <w:rFonts w:eastAsia="Times New Roman" w:cs="Helvetica"/>
          <w:b/>
          <w:color w:val="000000"/>
          <w:lang w:val="en-US"/>
        </w:rPr>
      </w:pPr>
      <w:r w:rsidRPr="00D631D5">
        <w:rPr>
          <w:rFonts w:eastAsia="Times New Roman" w:cs="Helvetica"/>
          <w:b/>
          <w:color w:val="000000"/>
          <w:lang w:val="en-US"/>
        </w:rPr>
        <w:t>For more information about DBE:</w:t>
      </w:r>
    </w:p>
    <w:p w14:paraId="7797E395" w14:textId="77777777" w:rsidR="00D631D5" w:rsidRPr="00D631D5" w:rsidRDefault="00D631D5" w:rsidP="00D631D5">
      <w:pPr>
        <w:pStyle w:val="ListParagraph"/>
        <w:rPr>
          <w:rFonts w:eastAsia="Times New Roman" w:cs="Helvetica"/>
          <w:b/>
          <w:color w:val="000000"/>
          <w:lang w:val="en-US"/>
        </w:rPr>
      </w:pPr>
      <w:hyperlink r:id="rId8" w:history="1">
        <w:r w:rsidRPr="00D631D5">
          <w:rPr>
            <w:rStyle w:val="Hyperlink"/>
            <w:rFonts w:eastAsia="Times New Roman" w:cs="Helvetica"/>
            <w:b/>
            <w:lang w:val="en-US"/>
          </w:rPr>
          <w:t>askdbe@dubaitourism.ae</w:t>
        </w:r>
      </w:hyperlink>
      <w:r w:rsidRPr="00D631D5">
        <w:rPr>
          <w:rFonts w:eastAsia="Times New Roman" w:cs="Helvetica"/>
          <w:b/>
          <w:color w:val="000000"/>
          <w:lang w:val="en-US"/>
        </w:rPr>
        <w:tab/>
      </w:r>
    </w:p>
    <w:p w14:paraId="1902BF58" w14:textId="77777777" w:rsidR="00D631D5" w:rsidRPr="00D631D5" w:rsidRDefault="00D631D5" w:rsidP="00D631D5">
      <w:pPr>
        <w:pStyle w:val="ListParagraph"/>
        <w:rPr>
          <w:rFonts w:eastAsia="Times New Roman" w:cs="Helvetica"/>
          <w:b/>
          <w:color w:val="000000"/>
          <w:lang w:val="en-US"/>
        </w:rPr>
      </w:pPr>
      <w:hyperlink r:id="rId9" w:history="1">
        <w:r w:rsidRPr="00D631D5">
          <w:rPr>
            <w:rStyle w:val="Hyperlink"/>
            <w:rFonts w:eastAsia="Times New Roman" w:cs="Helvetica"/>
            <w:b/>
            <w:lang w:val="en-US"/>
          </w:rPr>
          <w:t>http://www.dubaibusinessevents.ae</w:t>
        </w:r>
      </w:hyperlink>
    </w:p>
    <w:p w14:paraId="19736252" w14:textId="77777777" w:rsidR="00D631D5" w:rsidRPr="00D631D5" w:rsidRDefault="00D631D5" w:rsidP="00D631D5">
      <w:pPr>
        <w:pStyle w:val="ListParagraph"/>
        <w:rPr>
          <w:rFonts w:eastAsia="Times New Roman" w:cs="Helvetica"/>
          <w:b/>
          <w:color w:val="000000"/>
        </w:rPr>
      </w:pPr>
    </w:p>
    <w:p w14:paraId="7A8FA4F9" w14:textId="5760C9AE" w:rsidR="00D631D5" w:rsidRPr="00D631D5" w:rsidRDefault="00D631D5" w:rsidP="000D2699">
      <w:pPr>
        <w:pStyle w:val="ListParagraph"/>
        <w:spacing w:after="160"/>
        <w:rPr>
          <w:rFonts w:eastAsia="Times New Roman" w:cs="Helvetica"/>
          <w:b/>
          <w:color w:val="000000"/>
        </w:rPr>
      </w:pPr>
      <w:r w:rsidRPr="00D631D5">
        <w:rPr>
          <w:rFonts w:eastAsia="Times New Roman" w:cs="Helvetica"/>
          <w:b/>
          <w:color w:val="000000"/>
        </w:rPr>
        <w:t xml:space="preserve">FOR </w:t>
      </w:r>
      <w:r w:rsidR="000D2699">
        <w:rPr>
          <w:rFonts w:eastAsia="Times New Roman" w:cs="Helvetica"/>
          <w:b/>
          <w:color w:val="000000"/>
        </w:rPr>
        <w:t xml:space="preserve">INTERVIEWS OR OTHER MEDIA INQUIRIES, PLEASE </w:t>
      </w:r>
      <w:r w:rsidRPr="00D631D5">
        <w:rPr>
          <w:rFonts w:eastAsia="Times New Roman" w:cs="Helvetica"/>
          <w:b/>
          <w:color w:val="000000"/>
        </w:rPr>
        <w:t>CONTACT:</w:t>
      </w:r>
    </w:p>
    <w:p w14:paraId="2A818E41" w14:textId="77777777" w:rsidR="00D631D5" w:rsidRPr="000D2699" w:rsidRDefault="00D631D5" w:rsidP="00D631D5">
      <w:pPr>
        <w:pStyle w:val="ListParagraph"/>
        <w:rPr>
          <w:rFonts w:eastAsia="Times New Roman" w:cs="Helvetica"/>
          <w:color w:val="000000"/>
        </w:rPr>
      </w:pPr>
      <w:r w:rsidRPr="000D2699">
        <w:rPr>
          <w:rFonts w:eastAsia="Times New Roman" w:cs="Helvetica"/>
          <w:color w:val="000000"/>
        </w:rPr>
        <w:t>Johan Janssen</w:t>
      </w:r>
      <w:r w:rsidRPr="000D2699">
        <w:rPr>
          <w:rFonts w:eastAsia="Times New Roman" w:cs="Helvetica"/>
          <w:color w:val="000000"/>
        </w:rPr>
        <w:tab/>
      </w:r>
    </w:p>
    <w:p w14:paraId="473B28F5" w14:textId="77777777" w:rsidR="00D631D5" w:rsidRPr="000D2699" w:rsidRDefault="00D631D5" w:rsidP="00D631D5">
      <w:pPr>
        <w:pStyle w:val="ListParagraph"/>
        <w:rPr>
          <w:rFonts w:eastAsia="Times New Roman" w:cs="Helvetica"/>
          <w:color w:val="000000"/>
        </w:rPr>
      </w:pPr>
      <w:r w:rsidRPr="000D2699">
        <w:rPr>
          <w:rFonts w:eastAsia="Times New Roman" w:cs="Helvetica"/>
          <w:color w:val="000000"/>
        </w:rPr>
        <w:t xml:space="preserve">Account Manager – DABO&amp;CO </w:t>
      </w:r>
    </w:p>
    <w:p w14:paraId="439F1492" w14:textId="77777777" w:rsidR="00D631D5" w:rsidRPr="000D2699" w:rsidRDefault="00D631D5" w:rsidP="00D631D5">
      <w:pPr>
        <w:pStyle w:val="ListParagraph"/>
        <w:rPr>
          <w:rFonts w:eastAsia="Times New Roman" w:cs="Helvetica"/>
          <w:color w:val="000000"/>
        </w:rPr>
      </w:pPr>
      <w:hyperlink r:id="rId10" w:history="1">
        <w:r w:rsidRPr="000D2699">
          <w:rPr>
            <w:rStyle w:val="Hyperlink"/>
            <w:rFonts w:eastAsia="Times New Roman" w:cs="Helvetica"/>
          </w:rPr>
          <w:t>Johan.j@daboandco.com</w:t>
        </w:r>
      </w:hyperlink>
    </w:p>
    <w:p w14:paraId="48E50F83" w14:textId="77777777" w:rsidR="00D631D5" w:rsidRPr="000D2699" w:rsidRDefault="00D631D5" w:rsidP="00D631D5">
      <w:pPr>
        <w:pStyle w:val="ListParagraph"/>
        <w:rPr>
          <w:rFonts w:eastAsia="Times New Roman" w:cs="Helvetica"/>
          <w:color w:val="000000"/>
        </w:rPr>
      </w:pPr>
      <w:r w:rsidRPr="000D2699">
        <w:rPr>
          <w:rFonts w:eastAsia="Times New Roman" w:cs="Helvetica"/>
          <w:color w:val="000000"/>
        </w:rPr>
        <w:t>+971 4 237 8058</w:t>
      </w:r>
    </w:p>
    <w:p w14:paraId="1690F2B4" w14:textId="77777777" w:rsidR="00D631D5" w:rsidRPr="000D2699" w:rsidRDefault="00D631D5" w:rsidP="00D631D5">
      <w:pPr>
        <w:pStyle w:val="ListParagraph"/>
        <w:rPr>
          <w:rFonts w:eastAsia="Times New Roman" w:cs="Helvetica"/>
          <w:color w:val="000000"/>
        </w:rPr>
      </w:pPr>
      <w:r w:rsidRPr="000D2699">
        <w:rPr>
          <w:rFonts w:eastAsia="Times New Roman" w:cs="Helvetica"/>
          <w:color w:val="000000"/>
        </w:rPr>
        <w:t>+971 05 107 7359</w:t>
      </w:r>
    </w:p>
    <w:p w14:paraId="1200649D" w14:textId="77777777" w:rsidR="00D631D5" w:rsidRPr="00024C3B" w:rsidRDefault="00D631D5" w:rsidP="00024C3B">
      <w:pPr>
        <w:pStyle w:val="ListParagraph"/>
        <w:tabs>
          <w:tab w:val="left" w:pos="1485"/>
        </w:tabs>
        <w:spacing w:after="0"/>
        <w:jc w:val="both"/>
        <w:rPr>
          <w:rFonts w:eastAsia="Times New Roman" w:cs="Helvetica"/>
          <w:b/>
          <w:color w:val="000000"/>
        </w:rPr>
      </w:pPr>
    </w:p>
    <w:sectPr w:rsidR="00D631D5" w:rsidRPr="00024C3B" w:rsidSect="001A2A51">
      <w:headerReference w:type="default" r:id="rId11"/>
      <w:footerReference w:type="default" r:id="rId12"/>
      <w:headerReference w:type="first" r:id="rId13"/>
      <w:pgSz w:w="11906" w:h="16838"/>
      <w:pgMar w:top="993" w:right="1440" w:bottom="1440"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036A" w14:textId="77777777" w:rsidR="00DE6873" w:rsidRDefault="00DE6873" w:rsidP="00D91986">
      <w:pPr>
        <w:spacing w:after="0" w:line="240" w:lineRule="auto"/>
      </w:pPr>
      <w:r>
        <w:separator/>
      </w:r>
    </w:p>
  </w:endnote>
  <w:endnote w:type="continuationSeparator" w:id="0">
    <w:p w14:paraId="1CC8A582" w14:textId="77777777" w:rsidR="00DE6873" w:rsidRDefault="00DE6873"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F88B" w14:textId="77777777" w:rsidR="00DE6873" w:rsidRDefault="00DE6873" w:rsidP="001A2A5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8E9D" w14:textId="77777777" w:rsidR="00DE6873" w:rsidRDefault="00DE6873" w:rsidP="00D91986">
      <w:pPr>
        <w:spacing w:after="0" w:line="240" w:lineRule="auto"/>
      </w:pPr>
      <w:r>
        <w:separator/>
      </w:r>
    </w:p>
  </w:footnote>
  <w:footnote w:type="continuationSeparator" w:id="0">
    <w:p w14:paraId="435031FD" w14:textId="77777777" w:rsidR="00DE6873" w:rsidRDefault="00DE6873" w:rsidP="00D9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DF92" w14:textId="283895FF" w:rsidR="00DE6873" w:rsidRDefault="00AC3B0F" w:rsidP="009123DE">
    <w:pPr>
      <w:jc w:val="center"/>
      <w:rPr>
        <w:noProof/>
        <w:lang w:eastAsia="en-GB"/>
      </w:rPr>
    </w:pPr>
    <w:r>
      <w:rPr>
        <w:noProof/>
        <w:lang w:val="en-US"/>
      </w:rPr>
      <w:drawing>
        <wp:anchor distT="0" distB="91440" distL="114300" distR="114300" simplePos="0" relativeHeight="251661312" behindDoc="0" locked="0" layoutInCell="0" allowOverlap="0" wp14:anchorId="769DC91A" wp14:editId="30E4F89C">
          <wp:simplePos x="0" y="0"/>
          <wp:positionH relativeFrom="column">
            <wp:posOffset>4438650</wp:posOffset>
          </wp:positionH>
          <wp:positionV relativeFrom="page">
            <wp:posOffset>220345</wp:posOffset>
          </wp:positionV>
          <wp:extent cx="1234440" cy="722376"/>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CM Blue.jpg"/>
                  <pic:cNvPicPr/>
                </pic:nvPicPr>
                <pic:blipFill>
                  <a:blip r:embed="rId1">
                    <a:extLst>
                      <a:ext uri="{28A0092B-C50C-407E-A947-70E740481C1C}">
                        <a14:useLocalDpi xmlns:a14="http://schemas.microsoft.com/office/drawing/2010/main" val="0"/>
                      </a:ext>
                    </a:extLst>
                  </a:blip>
                  <a:stretch>
                    <a:fillRect/>
                  </a:stretch>
                </pic:blipFill>
                <pic:spPr>
                  <a:xfrm>
                    <a:off x="0" y="0"/>
                    <a:ext cx="1234440" cy="722376"/>
                  </a:xfrm>
                  <a:prstGeom prst="rect">
                    <a:avLst/>
                  </a:prstGeom>
                </pic:spPr>
              </pic:pic>
            </a:graphicData>
          </a:graphic>
          <wp14:sizeRelH relativeFrom="margin">
            <wp14:pctWidth>0</wp14:pctWidth>
          </wp14:sizeRelH>
          <wp14:sizeRelV relativeFrom="margin">
            <wp14:pctHeight>0</wp14:pctHeight>
          </wp14:sizeRelV>
        </wp:anchor>
      </w:drawing>
    </w:r>
    <w:r w:rsidR="00DE6873">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7DE1" w14:textId="64E91906" w:rsidR="00DE6873" w:rsidRDefault="00AC3B0F" w:rsidP="001434D1">
    <w:pPr>
      <w:jc w:val="right"/>
      <w:rPr>
        <w:noProof/>
        <w:lang w:eastAsia="en-GB"/>
      </w:rPr>
    </w:pPr>
    <w:r>
      <w:rPr>
        <w:noProof/>
        <w:lang w:val="en-US"/>
      </w:rPr>
      <w:drawing>
        <wp:anchor distT="0" distB="91440" distL="114300" distR="114300" simplePos="0" relativeHeight="251660288" behindDoc="0" locked="0" layoutInCell="0" allowOverlap="0" wp14:anchorId="0786BCD8" wp14:editId="41BA5EE6">
          <wp:simplePos x="0" y="0"/>
          <wp:positionH relativeFrom="column">
            <wp:posOffset>4495800</wp:posOffset>
          </wp:positionH>
          <wp:positionV relativeFrom="page">
            <wp:posOffset>600075</wp:posOffset>
          </wp:positionV>
          <wp:extent cx="1234440" cy="722376"/>
          <wp:effectExtent l="0" t="0" r="381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CM Blue.jpg"/>
                  <pic:cNvPicPr/>
                </pic:nvPicPr>
                <pic:blipFill>
                  <a:blip r:embed="rId1">
                    <a:extLst>
                      <a:ext uri="{28A0092B-C50C-407E-A947-70E740481C1C}">
                        <a14:useLocalDpi xmlns:a14="http://schemas.microsoft.com/office/drawing/2010/main" val="0"/>
                      </a:ext>
                    </a:extLst>
                  </a:blip>
                  <a:stretch>
                    <a:fillRect/>
                  </a:stretch>
                </pic:blipFill>
                <pic:spPr>
                  <a:xfrm>
                    <a:off x="0" y="0"/>
                    <a:ext cx="1234440" cy="722376"/>
                  </a:xfrm>
                  <a:prstGeom prst="rect">
                    <a:avLst/>
                  </a:prstGeom>
                </pic:spPr>
              </pic:pic>
            </a:graphicData>
          </a:graphic>
          <wp14:sizeRelH relativeFrom="margin">
            <wp14:pctWidth>0</wp14:pctWidth>
          </wp14:sizeRelH>
          <wp14:sizeRelV relativeFrom="margin">
            <wp14:pctHeight>0</wp14:pctHeight>
          </wp14:sizeRelV>
        </wp:anchor>
      </w:drawing>
    </w:r>
    <w:r w:rsidR="00DE687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B8C"/>
    <w:multiLevelType w:val="hybridMultilevel"/>
    <w:tmpl w:val="8AE04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233A1"/>
    <w:multiLevelType w:val="hybridMultilevel"/>
    <w:tmpl w:val="2CC295F6"/>
    <w:lvl w:ilvl="0" w:tplc="6A386FB6">
      <w:start w:val="1"/>
      <w:numFmt w:val="bullet"/>
      <w:lvlText w:val=""/>
      <w:lvlJc w:val="left"/>
      <w:pPr>
        <w:ind w:left="360" w:hanging="360"/>
      </w:pPr>
      <w:rPr>
        <w:rFonts w:ascii="Symbol" w:hAnsi="Symbol" w:hint="default"/>
        <w:b w:val="0"/>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B0E8E"/>
    <w:multiLevelType w:val="hybridMultilevel"/>
    <w:tmpl w:val="060A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14F73"/>
    <w:multiLevelType w:val="hybridMultilevel"/>
    <w:tmpl w:val="4D9CE3C2"/>
    <w:lvl w:ilvl="0" w:tplc="8DBCD29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F77BC"/>
    <w:multiLevelType w:val="hybridMultilevel"/>
    <w:tmpl w:val="04D48856"/>
    <w:lvl w:ilvl="0" w:tplc="E250D7C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853A5"/>
    <w:multiLevelType w:val="hybridMultilevel"/>
    <w:tmpl w:val="AEC2CE94"/>
    <w:lvl w:ilvl="0" w:tplc="F1340C4A">
      <w:start w:val="2017"/>
      <w:numFmt w:val="bullet"/>
      <w:lvlText w:val=""/>
      <w:lvlJc w:val="left"/>
      <w:pPr>
        <w:ind w:left="720" w:hanging="360"/>
      </w:pPr>
      <w:rPr>
        <w:rFonts w:ascii="Symbol" w:eastAsia="Times New Roman" w:hAnsi="Symbol" w:cs="Helvetic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858B7"/>
    <w:multiLevelType w:val="hybridMultilevel"/>
    <w:tmpl w:val="65A61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C2336"/>
    <w:multiLevelType w:val="hybridMultilevel"/>
    <w:tmpl w:val="261EA9D4"/>
    <w:lvl w:ilvl="0" w:tplc="1FCEA2B2">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36364"/>
    <w:multiLevelType w:val="hybridMultilevel"/>
    <w:tmpl w:val="6756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0499F"/>
    <w:multiLevelType w:val="hybridMultilevel"/>
    <w:tmpl w:val="3796C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3B6679D"/>
    <w:multiLevelType w:val="hybridMultilevel"/>
    <w:tmpl w:val="B27859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CA2A12"/>
    <w:multiLevelType w:val="hybridMultilevel"/>
    <w:tmpl w:val="39CE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
  </w:num>
  <w:num w:numId="5">
    <w:abstractNumId w:val="3"/>
  </w:num>
  <w:num w:numId="6">
    <w:abstractNumId w:val="8"/>
  </w:num>
  <w:num w:numId="7">
    <w:abstractNumId w:val="0"/>
  </w:num>
  <w:num w:numId="8">
    <w:abstractNumId w:val="10"/>
  </w:num>
  <w:num w:numId="9">
    <w:abstractNumId w:val="2"/>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C7"/>
    <w:rsid w:val="0000219C"/>
    <w:rsid w:val="00003E2F"/>
    <w:rsid w:val="0001545E"/>
    <w:rsid w:val="00016D50"/>
    <w:rsid w:val="000208F4"/>
    <w:rsid w:val="00021E6E"/>
    <w:rsid w:val="00024C3B"/>
    <w:rsid w:val="00032A06"/>
    <w:rsid w:val="0004556C"/>
    <w:rsid w:val="0004587C"/>
    <w:rsid w:val="00061C96"/>
    <w:rsid w:val="00062310"/>
    <w:rsid w:val="00062908"/>
    <w:rsid w:val="000644DD"/>
    <w:rsid w:val="0006624D"/>
    <w:rsid w:val="0007168D"/>
    <w:rsid w:val="00077389"/>
    <w:rsid w:val="00086734"/>
    <w:rsid w:val="00091066"/>
    <w:rsid w:val="000943F5"/>
    <w:rsid w:val="00095F5F"/>
    <w:rsid w:val="000A586A"/>
    <w:rsid w:val="000B19A0"/>
    <w:rsid w:val="000B2D66"/>
    <w:rsid w:val="000B47CC"/>
    <w:rsid w:val="000B5DB7"/>
    <w:rsid w:val="000C3996"/>
    <w:rsid w:val="000C6AD1"/>
    <w:rsid w:val="000D1928"/>
    <w:rsid w:val="000D2699"/>
    <w:rsid w:val="000D3D8D"/>
    <w:rsid w:val="000D4022"/>
    <w:rsid w:val="000E3DD3"/>
    <w:rsid w:val="000E4687"/>
    <w:rsid w:val="000E469A"/>
    <w:rsid w:val="000F1165"/>
    <w:rsid w:val="000F1B89"/>
    <w:rsid w:val="000F3127"/>
    <w:rsid w:val="001001A8"/>
    <w:rsid w:val="00101403"/>
    <w:rsid w:val="00106B7C"/>
    <w:rsid w:val="00114663"/>
    <w:rsid w:val="001201AB"/>
    <w:rsid w:val="00130494"/>
    <w:rsid w:val="001434D1"/>
    <w:rsid w:val="00143DD4"/>
    <w:rsid w:val="00146830"/>
    <w:rsid w:val="001474EB"/>
    <w:rsid w:val="00156301"/>
    <w:rsid w:val="00160088"/>
    <w:rsid w:val="00163FD7"/>
    <w:rsid w:val="001671F7"/>
    <w:rsid w:val="001703C4"/>
    <w:rsid w:val="00173293"/>
    <w:rsid w:val="00174A13"/>
    <w:rsid w:val="00181FF3"/>
    <w:rsid w:val="0018561B"/>
    <w:rsid w:val="00191F37"/>
    <w:rsid w:val="00197C71"/>
    <w:rsid w:val="001A14DE"/>
    <w:rsid w:val="001A2A51"/>
    <w:rsid w:val="001A4A4E"/>
    <w:rsid w:val="001B5E90"/>
    <w:rsid w:val="001B5FA0"/>
    <w:rsid w:val="001B7535"/>
    <w:rsid w:val="001C198D"/>
    <w:rsid w:val="001C4CA1"/>
    <w:rsid w:val="001C53FA"/>
    <w:rsid w:val="001C61C8"/>
    <w:rsid w:val="001D43C7"/>
    <w:rsid w:val="001F09A8"/>
    <w:rsid w:val="001F4A9B"/>
    <w:rsid w:val="00205A26"/>
    <w:rsid w:val="002103DF"/>
    <w:rsid w:val="002144A0"/>
    <w:rsid w:val="00215902"/>
    <w:rsid w:val="0023059F"/>
    <w:rsid w:val="00236190"/>
    <w:rsid w:val="00246ED0"/>
    <w:rsid w:val="002553DD"/>
    <w:rsid w:val="002563DF"/>
    <w:rsid w:val="00256794"/>
    <w:rsid w:val="00264DE6"/>
    <w:rsid w:val="00270D78"/>
    <w:rsid w:val="00271CE1"/>
    <w:rsid w:val="002744D9"/>
    <w:rsid w:val="00280B58"/>
    <w:rsid w:val="00282259"/>
    <w:rsid w:val="0028394A"/>
    <w:rsid w:val="00294F2B"/>
    <w:rsid w:val="002A1A66"/>
    <w:rsid w:val="002A2C06"/>
    <w:rsid w:val="002A5E34"/>
    <w:rsid w:val="002A718B"/>
    <w:rsid w:val="002B2540"/>
    <w:rsid w:val="002B3A33"/>
    <w:rsid w:val="002B3F52"/>
    <w:rsid w:val="002C34BC"/>
    <w:rsid w:val="002C619F"/>
    <w:rsid w:val="002D053F"/>
    <w:rsid w:val="002D0AB4"/>
    <w:rsid w:val="002D2084"/>
    <w:rsid w:val="002D2835"/>
    <w:rsid w:val="002E0BD4"/>
    <w:rsid w:val="002E11C3"/>
    <w:rsid w:val="002E768C"/>
    <w:rsid w:val="002F0C28"/>
    <w:rsid w:val="00302433"/>
    <w:rsid w:val="0030484E"/>
    <w:rsid w:val="003335CF"/>
    <w:rsid w:val="003460A4"/>
    <w:rsid w:val="003503BF"/>
    <w:rsid w:val="00351909"/>
    <w:rsid w:val="00365EA6"/>
    <w:rsid w:val="00367CFF"/>
    <w:rsid w:val="0037144A"/>
    <w:rsid w:val="00375056"/>
    <w:rsid w:val="00375FE7"/>
    <w:rsid w:val="003824E5"/>
    <w:rsid w:val="003A14CD"/>
    <w:rsid w:val="003A406C"/>
    <w:rsid w:val="003A638C"/>
    <w:rsid w:val="003B2029"/>
    <w:rsid w:val="003B2F7F"/>
    <w:rsid w:val="003B6EB9"/>
    <w:rsid w:val="003C7988"/>
    <w:rsid w:val="003D4181"/>
    <w:rsid w:val="003E003E"/>
    <w:rsid w:val="003E5D7F"/>
    <w:rsid w:val="003F091C"/>
    <w:rsid w:val="003F5E98"/>
    <w:rsid w:val="00403FD2"/>
    <w:rsid w:val="00405F6D"/>
    <w:rsid w:val="0040679C"/>
    <w:rsid w:val="00407CED"/>
    <w:rsid w:val="004118B8"/>
    <w:rsid w:val="004168F7"/>
    <w:rsid w:val="0042275C"/>
    <w:rsid w:val="00426549"/>
    <w:rsid w:val="004265F9"/>
    <w:rsid w:val="00433A00"/>
    <w:rsid w:val="00440D9A"/>
    <w:rsid w:val="00441CDF"/>
    <w:rsid w:val="0045065C"/>
    <w:rsid w:val="0045407E"/>
    <w:rsid w:val="00454B05"/>
    <w:rsid w:val="00454F67"/>
    <w:rsid w:val="00457A5A"/>
    <w:rsid w:val="00460BED"/>
    <w:rsid w:val="00462D2A"/>
    <w:rsid w:val="00462E45"/>
    <w:rsid w:val="00464CA8"/>
    <w:rsid w:val="00466471"/>
    <w:rsid w:val="0046653A"/>
    <w:rsid w:val="00470A52"/>
    <w:rsid w:val="00480EDF"/>
    <w:rsid w:val="00481E26"/>
    <w:rsid w:val="00486FA3"/>
    <w:rsid w:val="0049392A"/>
    <w:rsid w:val="00495B6E"/>
    <w:rsid w:val="004A09B2"/>
    <w:rsid w:val="004B72E7"/>
    <w:rsid w:val="004C3C85"/>
    <w:rsid w:val="004C4859"/>
    <w:rsid w:val="004C63ED"/>
    <w:rsid w:val="004F16AB"/>
    <w:rsid w:val="004F55B8"/>
    <w:rsid w:val="004F61F6"/>
    <w:rsid w:val="00505BB6"/>
    <w:rsid w:val="00511394"/>
    <w:rsid w:val="00512A3C"/>
    <w:rsid w:val="00513748"/>
    <w:rsid w:val="00514F4C"/>
    <w:rsid w:val="00523AF3"/>
    <w:rsid w:val="005247A6"/>
    <w:rsid w:val="00531E26"/>
    <w:rsid w:val="00532365"/>
    <w:rsid w:val="00541944"/>
    <w:rsid w:val="00545CED"/>
    <w:rsid w:val="0054751B"/>
    <w:rsid w:val="00555DC6"/>
    <w:rsid w:val="00570DAA"/>
    <w:rsid w:val="00577AB1"/>
    <w:rsid w:val="00585A9A"/>
    <w:rsid w:val="00587ACD"/>
    <w:rsid w:val="00591D65"/>
    <w:rsid w:val="005A5012"/>
    <w:rsid w:val="005B2F98"/>
    <w:rsid w:val="005C2AA5"/>
    <w:rsid w:val="005C4595"/>
    <w:rsid w:val="005C6F7F"/>
    <w:rsid w:val="005D53B9"/>
    <w:rsid w:val="005E69CA"/>
    <w:rsid w:val="005F0309"/>
    <w:rsid w:val="005F5875"/>
    <w:rsid w:val="0060222B"/>
    <w:rsid w:val="00603E8C"/>
    <w:rsid w:val="00607657"/>
    <w:rsid w:val="00612139"/>
    <w:rsid w:val="00615E5E"/>
    <w:rsid w:val="00623AA2"/>
    <w:rsid w:val="00635001"/>
    <w:rsid w:val="00643CA0"/>
    <w:rsid w:val="00645454"/>
    <w:rsid w:val="0064721B"/>
    <w:rsid w:val="00650255"/>
    <w:rsid w:val="006528DF"/>
    <w:rsid w:val="006532CA"/>
    <w:rsid w:val="006630DA"/>
    <w:rsid w:val="0066316A"/>
    <w:rsid w:val="00672C87"/>
    <w:rsid w:val="00681E83"/>
    <w:rsid w:val="00685E11"/>
    <w:rsid w:val="00696A3D"/>
    <w:rsid w:val="006A2598"/>
    <w:rsid w:val="006A27D0"/>
    <w:rsid w:val="006A728D"/>
    <w:rsid w:val="006B077C"/>
    <w:rsid w:val="006C076B"/>
    <w:rsid w:val="006D2FB2"/>
    <w:rsid w:val="006D4FF5"/>
    <w:rsid w:val="006E61B2"/>
    <w:rsid w:val="006F118A"/>
    <w:rsid w:val="00727992"/>
    <w:rsid w:val="00730C77"/>
    <w:rsid w:val="00741C94"/>
    <w:rsid w:val="00752D94"/>
    <w:rsid w:val="0077419D"/>
    <w:rsid w:val="00795808"/>
    <w:rsid w:val="007A6816"/>
    <w:rsid w:val="007B5296"/>
    <w:rsid w:val="007C261A"/>
    <w:rsid w:val="007C3A46"/>
    <w:rsid w:val="007C7DA1"/>
    <w:rsid w:val="007E0E41"/>
    <w:rsid w:val="007E5DE3"/>
    <w:rsid w:val="007F2BFD"/>
    <w:rsid w:val="007F39D9"/>
    <w:rsid w:val="007F6300"/>
    <w:rsid w:val="0080207E"/>
    <w:rsid w:val="0080239C"/>
    <w:rsid w:val="0080254C"/>
    <w:rsid w:val="00806F17"/>
    <w:rsid w:val="00810EDD"/>
    <w:rsid w:val="00815B43"/>
    <w:rsid w:val="008203E2"/>
    <w:rsid w:val="00821D94"/>
    <w:rsid w:val="00824974"/>
    <w:rsid w:val="00824A5A"/>
    <w:rsid w:val="00826562"/>
    <w:rsid w:val="0083522B"/>
    <w:rsid w:val="008415CB"/>
    <w:rsid w:val="0084425B"/>
    <w:rsid w:val="00846390"/>
    <w:rsid w:val="00852B04"/>
    <w:rsid w:val="008565DF"/>
    <w:rsid w:val="00864CF5"/>
    <w:rsid w:val="00867760"/>
    <w:rsid w:val="008718A3"/>
    <w:rsid w:val="00871EE8"/>
    <w:rsid w:val="00880DE3"/>
    <w:rsid w:val="00883DE1"/>
    <w:rsid w:val="0088404F"/>
    <w:rsid w:val="00895AF5"/>
    <w:rsid w:val="00896CE7"/>
    <w:rsid w:val="008A15EF"/>
    <w:rsid w:val="008A32F0"/>
    <w:rsid w:val="008A3645"/>
    <w:rsid w:val="008B46C3"/>
    <w:rsid w:val="008D3435"/>
    <w:rsid w:val="008D72A2"/>
    <w:rsid w:val="008E35BB"/>
    <w:rsid w:val="008E3932"/>
    <w:rsid w:val="008E4225"/>
    <w:rsid w:val="008E5AF7"/>
    <w:rsid w:val="008E629E"/>
    <w:rsid w:val="008F1FC7"/>
    <w:rsid w:val="00907342"/>
    <w:rsid w:val="009123DE"/>
    <w:rsid w:val="00921B87"/>
    <w:rsid w:val="009312C2"/>
    <w:rsid w:val="00931DC1"/>
    <w:rsid w:val="009336C1"/>
    <w:rsid w:val="0095167E"/>
    <w:rsid w:val="00952D42"/>
    <w:rsid w:val="00953A28"/>
    <w:rsid w:val="009550CD"/>
    <w:rsid w:val="009567A6"/>
    <w:rsid w:val="00962515"/>
    <w:rsid w:val="00966488"/>
    <w:rsid w:val="00984D65"/>
    <w:rsid w:val="009853EE"/>
    <w:rsid w:val="0098546D"/>
    <w:rsid w:val="0099419C"/>
    <w:rsid w:val="00994689"/>
    <w:rsid w:val="00995F46"/>
    <w:rsid w:val="00996243"/>
    <w:rsid w:val="009A1C8B"/>
    <w:rsid w:val="009A5C66"/>
    <w:rsid w:val="009B6669"/>
    <w:rsid w:val="009C156A"/>
    <w:rsid w:val="009C735E"/>
    <w:rsid w:val="009D506D"/>
    <w:rsid w:val="00A11429"/>
    <w:rsid w:val="00A152D4"/>
    <w:rsid w:val="00A300C4"/>
    <w:rsid w:val="00A34842"/>
    <w:rsid w:val="00A40C99"/>
    <w:rsid w:val="00A413C6"/>
    <w:rsid w:val="00A50836"/>
    <w:rsid w:val="00A50EC0"/>
    <w:rsid w:val="00A51830"/>
    <w:rsid w:val="00A6077C"/>
    <w:rsid w:val="00A60FC2"/>
    <w:rsid w:val="00A61743"/>
    <w:rsid w:val="00A628DA"/>
    <w:rsid w:val="00A73418"/>
    <w:rsid w:val="00A82C89"/>
    <w:rsid w:val="00A92EC1"/>
    <w:rsid w:val="00AA1D3F"/>
    <w:rsid w:val="00AA4AA3"/>
    <w:rsid w:val="00AB17B4"/>
    <w:rsid w:val="00AB5326"/>
    <w:rsid w:val="00AB5601"/>
    <w:rsid w:val="00AB6CA1"/>
    <w:rsid w:val="00AC21E5"/>
    <w:rsid w:val="00AC3B0F"/>
    <w:rsid w:val="00AC5245"/>
    <w:rsid w:val="00AC7118"/>
    <w:rsid w:val="00AC7E8D"/>
    <w:rsid w:val="00AD1F41"/>
    <w:rsid w:val="00AD4692"/>
    <w:rsid w:val="00AE0154"/>
    <w:rsid w:val="00AE5824"/>
    <w:rsid w:val="00AF1D1F"/>
    <w:rsid w:val="00AF5F15"/>
    <w:rsid w:val="00B16136"/>
    <w:rsid w:val="00B21C36"/>
    <w:rsid w:val="00B21D0D"/>
    <w:rsid w:val="00B2707C"/>
    <w:rsid w:val="00B332A0"/>
    <w:rsid w:val="00B34DBE"/>
    <w:rsid w:val="00B35F52"/>
    <w:rsid w:val="00B37CC3"/>
    <w:rsid w:val="00B44F91"/>
    <w:rsid w:val="00B45517"/>
    <w:rsid w:val="00B52BBA"/>
    <w:rsid w:val="00B53386"/>
    <w:rsid w:val="00B552B1"/>
    <w:rsid w:val="00B60052"/>
    <w:rsid w:val="00B64466"/>
    <w:rsid w:val="00B726FD"/>
    <w:rsid w:val="00B77EC3"/>
    <w:rsid w:val="00B812FF"/>
    <w:rsid w:val="00B9295A"/>
    <w:rsid w:val="00B95A69"/>
    <w:rsid w:val="00BA357F"/>
    <w:rsid w:val="00BA5E1A"/>
    <w:rsid w:val="00BA7CB8"/>
    <w:rsid w:val="00BB58F9"/>
    <w:rsid w:val="00BC55AF"/>
    <w:rsid w:val="00BC6ADA"/>
    <w:rsid w:val="00BC744A"/>
    <w:rsid w:val="00BF05CC"/>
    <w:rsid w:val="00BF7B10"/>
    <w:rsid w:val="00C04079"/>
    <w:rsid w:val="00C0514C"/>
    <w:rsid w:val="00C06F84"/>
    <w:rsid w:val="00C13B6D"/>
    <w:rsid w:val="00C2677C"/>
    <w:rsid w:val="00C34A55"/>
    <w:rsid w:val="00C370F1"/>
    <w:rsid w:val="00C4225B"/>
    <w:rsid w:val="00C43EFC"/>
    <w:rsid w:val="00C5131B"/>
    <w:rsid w:val="00C53AFC"/>
    <w:rsid w:val="00C605D0"/>
    <w:rsid w:val="00C65A1B"/>
    <w:rsid w:val="00C71EE5"/>
    <w:rsid w:val="00C7604B"/>
    <w:rsid w:val="00C76353"/>
    <w:rsid w:val="00C7663D"/>
    <w:rsid w:val="00C82DD0"/>
    <w:rsid w:val="00C84DAC"/>
    <w:rsid w:val="00C878BE"/>
    <w:rsid w:val="00C90AD0"/>
    <w:rsid w:val="00C91D84"/>
    <w:rsid w:val="00C92701"/>
    <w:rsid w:val="00CA3182"/>
    <w:rsid w:val="00CB0A11"/>
    <w:rsid w:val="00CB3C5E"/>
    <w:rsid w:val="00CB5822"/>
    <w:rsid w:val="00CC34F5"/>
    <w:rsid w:val="00CC71E0"/>
    <w:rsid w:val="00CD08C3"/>
    <w:rsid w:val="00CD1C37"/>
    <w:rsid w:val="00CD4BEB"/>
    <w:rsid w:val="00CD7337"/>
    <w:rsid w:val="00CD735F"/>
    <w:rsid w:val="00CE039A"/>
    <w:rsid w:val="00CF4C1D"/>
    <w:rsid w:val="00D00C65"/>
    <w:rsid w:val="00D03657"/>
    <w:rsid w:val="00D03BD8"/>
    <w:rsid w:val="00D106B3"/>
    <w:rsid w:val="00D11063"/>
    <w:rsid w:val="00D12485"/>
    <w:rsid w:val="00D22EC9"/>
    <w:rsid w:val="00D22ED1"/>
    <w:rsid w:val="00D24A1A"/>
    <w:rsid w:val="00D31631"/>
    <w:rsid w:val="00D3298C"/>
    <w:rsid w:val="00D32DAC"/>
    <w:rsid w:val="00D331E8"/>
    <w:rsid w:val="00D346EC"/>
    <w:rsid w:val="00D3474B"/>
    <w:rsid w:val="00D365D0"/>
    <w:rsid w:val="00D46E21"/>
    <w:rsid w:val="00D55FC4"/>
    <w:rsid w:val="00D5732B"/>
    <w:rsid w:val="00D61698"/>
    <w:rsid w:val="00D61BF2"/>
    <w:rsid w:val="00D62F47"/>
    <w:rsid w:val="00D631D5"/>
    <w:rsid w:val="00D738DD"/>
    <w:rsid w:val="00D77B68"/>
    <w:rsid w:val="00D818A5"/>
    <w:rsid w:val="00D8391B"/>
    <w:rsid w:val="00D91201"/>
    <w:rsid w:val="00D91986"/>
    <w:rsid w:val="00DA19A5"/>
    <w:rsid w:val="00DA57EA"/>
    <w:rsid w:val="00DB5076"/>
    <w:rsid w:val="00DB62AD"/>
    <w:rsid w:val="00DB649C"/>
    <w:rsid w:val="00DB7BEB"/>
    <w:rsid w:val="00DC2201"/>
    <w:rsid w:val="00DE08DA"/>
    <w:rsid w:val="00DE1296"/>
    <w:rsid w:val="00DE6873"/>
    <w:rsid w:val="00DF42E3"/>
    <w:rsid w:val="00E0265C"/>
    <w:rsid w:val="00E0476C"/>
    <w:rsid w:val="00E122E6"/>
    <w:rsid w:val="00E14445"/>
    <w:rsid w:val="00E15541"/>
    <w:rsid w:val="00E16D21"/>
    <w:rsid w:val="00E2510D"/>
    <w:rsid w:val="00E31F24"/>
    <w:rsid w:val="00E4019B"/>
    <w:rsid w:val="00E450F8"/>
    <w:rsid w:val="00E6332E"/>
    <w:rsid w:val="00E644D2"/>
    <w:rsid w:val="00E721A7"/>
    <w:rsid w:val="00E72D3C"/>
    <w:rsid w:val="00E76851"/>
    <w:rsid w:val="00E810FA"/>
    <w:rsid w:val="00E8697F"/>
    <w:rsid w:val="00E8724D"/>
    <w:rsid w:val="00E924C3"/>
    <w:rsid w:val="00EA0BB8"/>
    <w:rsid w:val="00EA4E5E"/>
    <w:rsid w:val="00EB7345"/>
    <w:rsid w:val="00EC6C66"/>
    <w:rsid w:val="00EE6906"/>
    <w:rsid w:val="00EF3845"/>
    <w:rsid w:val="00EF4975"/>
    <w:rsid w:val="00EF4A1B"/>
    <w:rsid w:val="00F07C7A"/>
    <w:rsid w:val="00F12933"/>
    <w:rsid w:val="00F12C9A"/>
    <w:rsid w:val="00F15430"/>
    <w:rsid w:val="00F16C28"/>
    <w:rsid w:val="00F27ECB"/>
    <w:rsid w:val="00F34593"/>
    <w:rsid w:val="00F41A99"/>
    <w:rsid w:val="00F42873"/>
    <w:rsid w:val="00F429A0"/>
    <w:rsid w:val="00F44DFE"/>
    <w:rsid w:val="00F47A71"/>
    <w:rsid w:val="00F47F3C"/>
    <w:rsid w:val="00F50E82"/>
    <w:rsid w:val="00F53773"/>
    <w:rsid w:val="00F5468A"/>
    <w:rsid w:val="00F57AED"/>
    <w:rsid w:val="00F57CBA"/>
    <w:rsid w:val="00F63EFE"/>
    <w:rsid w:val="00F6410B"/>
    <w:rsid w:val="00F64369"/>
    <w:rsid w:val="00F657E7"/>
    <w:rsid w:val="00F65904"/>
    <w:rsid w:val="00F70347"/>
    <w:rsid w:val="00F75387"/>
    <w:rsid w:val="00F807B9"/>
    <w:rsid w:val="00F817B2"/>
    <w:rsid w:val="00F86B28"/>
    <w:rsid w:val="00F878F1"/>
    <w:rsid w:val="00F9066B"/>
    <w:rsid w:val="00F96D31"/>
    <w:rsid w:val="00FA1C82"/>
    <w:rsid w:val="00FA39A0"/>
    <w:rsid w:val="00FA738E"/>
    <w:rsid w:val="00FB68B6"/>
    <w:rsid w:val="00FC39A9"/>
    <w:rsid w:val="00FC70B4"/>
    <w:rsid w:val="00FD265E"/>
    <w:rsid w:val="00FD5AEF"/>
    <w:rsid w:val="00FD69B4"/>
    <w:rsid w:val="00FE3549"/>
    <w:rsid w:val="00FE4371"/>
    <w:rsid w:val="00FE5A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72A8D59"/>
  <w15:docId w15:val="{367E95C9-A56B-4B0A-BA3D-786535A8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C3"/>
    <w:rPr>
      <w:rFonts w:ascii="Tahoma" w:hAnsi="Tahoma" w:cs="Tahoma"/>
      <w:sz w:val="16"/>
      <w:szCs w:val="16"/>
    </w:rPr>
  </w:style>
  <w:style w:type="character" w:styleId="PlaceholderText">
    <w:name w:val="Placeholder Text"/>
    <w:basedOn w:val="DefaultParagraphFont"/>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character" w:styleId="Hyperlink">
    <w:name w:val="Hyperlink"/>
    <w:basedOn w:val="DefaultParagraphFont"/>
    <w:uiPriority w:val="99"/>
    <w:unhideWhenUsed/>
    <w:rsid w:val="00880DE3"/>
    <w:rPr>
      <w:color w:val="0000FF" w:themeColor="hyperlink"/>
      <w:u w:val="single"/>
    </w:rPr>
  </w:style>
  <w:style w:type="character" w:styleId="CommentReference">
    <w:name w:val="annotation reference"/>
    <w:basedOn w:val="DefaultParagraphFont"/>
    <w:uiPriority w:val="99"/>
    <w:semiHidden/>
    <w:unhideWhenUsed/>
    <w:rsid w:val="00DA57EA"/>
    <w:rPr>
      <w:sz w:val="16"/>
      <w:szCs w:val="16"/>
    </w:rPr>
  </w:style>
  <w:style w:type="paragraph" w:styleId="CommentText">
    <w:name w:val="annotation text"/>
    <w:basedOn w:val="Normal"/>
    <w:link w:val="CommentTextChar"/>
    <w:uiPriority w:val="99"/>
    <w:semiHidden/>
    <w:unhideWhenUsed/>
    <w:rsid w:val="00DA57EA"/>
    <w:pPr>
      <w:spacing w:line="240" w:lineRule="auto"/>
    </w:pPr>
    <w:rPr>
      <w:sz w:val="20"/>
      <w:szCs w:val="20"/>
    </w:rPr>
  </w:style>
  <w:style w:type="character" w:customStyle="1" w:styleId="CommentTextChar">
    <w:name w:val="Comment Text Char"/>
    <w:basedOn w:val="DefaultParagraphFont"/>
    <w:link w:val="CommentText"/>
    <w:uiPriority w:val="99"/>
    <w:semiHidden/>
    <w:rsid w:val="00DA57EA"/>
    <w:rPr>
      <w:sz w:val="20"/>
      <w:szCs w:val="20"/>
    </w:rPr>
  </w:style>
  <w:style w:type="paragraph" w:styleId="CommentSubject">
    <w:name w:val="annotation subject"/>
    <w:basedOn w:val="CommentText"/>
    <w:next w:val="CommentText"/>
    <w:link w:val="CommentSubjectChar"/>
    <w:uiPriority w:val="99"/>
    <w:semiHidden/>
    <w:unhideWhenUsed/>
    <w:rsid w:val="00DA57EA"/>
    <w:rPr>
      <w:b/>
      <w:bCs/>
    </w:rPr>
  </w:style>
  <w:style w:type="character" w:customStyle="1" w:styleId="CommentSubjectChar">
    <w:name w:val="Comment Subject Char"/>
    <w:basedOn w:val="CommentTextChar"/>
    <w:link w:val="CommentSubject"/>
    <w:uiPriority w:val="99"/>
    <w:semiHidden/>
    <w:rsid w:val="00DA57EA"/>
    <w:rPr>
      <w:b/>
      <w:bCs/>
      <w:sz w:val="20"/>
      <w:szCs w:val="20"/>
    </w:rPr>
  </w:style>
  <w:style w:type="paragraph" w:styleId="ListParagraph">
    <w:name w:val="List Paragraph"/>
    <w:basedOn w:val="Normal"/>
    <w:qFormat/>
    <w:rsid w:val="007B5296"/>
    <w:pPr>
      <w:ind w:left="720"/>
      <w:contextualSpacing/>
    </w:pPr>
  </w:style>
  <w:style w:type="paragraph" w:styleId="Revision">
    <w:name w:val="Revision"/>
    <w:hidden/>
    <w:uiPriority w:val="99"/>
    <w:semiHidden/>
    <w:rsid w:val="00CE039A"/>
    <w:pPr>
      <w:spacing w:after="0" w:line="240" w:lineRule="auto"/>
    </w:pPr>
  </w:style>
  <w:style w:type="character" w:styleId="FollowedHyperlink">
    <w:name w:val="FollowedHyperlink"/>
    <w:basedOn w:val="DefaultParagraphFont"/>
    <w:uiPriority w:val="99"/>
    <w:semiHidden/>
    <w:unhideWhenUsed/>
    <w:rsid w:val="0080207E"/>
    <w:rPr>
      <w:color w:val="800080" w:themeColor="followedHyperlink"/>
      <w:u w:val="single"/>
    </w:rPr>
  </w:style>
  <w:style w:type="character" w:styleId="Strong">
    <w:name w:val="Strong"/>
    <w:basedOn w:val="DefaultParagraphFont"/>
    <w:uiPriority w:val="22"/>
    <w:qFormat/>
    <w:rsid w:val="003E0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4035">
      <w:bodyDiv w:val="1"/>
      <w:marLeft w:val="0"/>
      <w:marRight w:val="0"/>
      <w:marTop w:val="0"/>
      <w:marBottom w:val="0"/>
      <w:divBdr>
        <w:top w:val="none" w:sz="0" w:space="0" w:color="auto"/>
        <w:left w:val="none" w:sz="0" w:space="0" w:color="auto"/>
        <w:bottom w:val="none" w:sz="0" w:space="0" w:color="auto"/>
        <w:right w:val="none" w:sz="0" w:space="0" w:color="auto"/>
      </w:divBdr>
    </w:div>
    <w:div w:id="152375424">
      <w:bodyDiv w:val="1"/>
      <w:marLeft w:val="0"/>
      <w:marRight w:val="0"/>
      <w:marTop w:val="0"/>
      <w:marBottom w:val="0"/>
      <w:divBdr>
        <w:top w:val="none" w:sz="0" w:space="0" w:color="auto"/>
        <w:left w:val="none" w:sz="0" w:space="0" w:color="auto"/>
        <w:bottom w:val="none" w:sz="0" w:space="0" w:color="auto"/>
        <w:right w:val="none" w:sz="0" w:space="0" w:color="auto"/>
      </w:divBdr>
    </w:div>
    <w:div w:id="375357371">
      <w:bodyDiv w:val="1"/>
      <w:marLeft w:val="0"/>
      <w:marRight w:val="0"/>
      <w:marTop w:val="0"/>
      <w:marBottom w:val="0"/>
      <w:divBdr>
        <w:top w:val="none" w:sz="0" w:space="0" w:color="auto"/>
        <w:left w:val="none" w:sz="0" w:space="0" w:color="auto"/>
        <w:bottom w:val="none" w:sz="0" w:space="0" w:color="auto"/>
        <w:right w:val="none" w:sz="0" w:space="0" w:color="auto"/>
      </w:divBdr>
    </w:div>
    <w:div w:id="563680896">
      <w:bodyDiv w:val="1"/>
      <w:marLeft w:val="0"/>
      <w:marRight w:val="0"/>
      <w:marTop w:val="0"/>
      <w:marBottom w:val="0"/>
      <w:divBdr>
        <w:top w:val="none" w:sz="0" w:space="0" w:color="auto"/>
        <w:left w:val="none" w:sz="0" w:space="0" w:color="auto"/>
        <w:bottom w:val="none" w:sz="0" w:space="0" w:color="auto"/>
        <w:right w:val="none" w:sz="0" w:space="0" w:color="auto"/>
      </w:divBdr>
    </w:div>
    <w:div w:id="761029458">
      <w:bodyDiv w:val="1"/>
      <w:marLeft w:val="0"/>
      <w:marRight w:val="0"/>
      <w:marTop w:val="0"/>
      <w:marBottom w:val="0"/>
      <w:divBdr>
        <w:top w:val="none" w:sz="0" w:space="0" w:color="auto"/>
        <w:left w:val="none" w:sz="0" w:space="0" w:color="auto"/>
        <w:bottom w:val="none" w:sz="0" w:space="0" w:color="auto"/>
        <w:right w:val="none" w:sz="0" w:space="0" w:color="auto"/>
      </w:divBdr>
    </w:div>
    <w:div w:id="808983193">
      <w:bodyDiv w:val="1"/>
      <w:marLeft w:val="0"/>
      <w:marRight w:val="0"/>
      <w:marTop w:val="0"/>
      <w:marBottom w:val="0"/>
      <w:divBdr>
        <w:top w:val="none" w:sz="0" w:space="0" w:color="auto"/>
        <w:left w:val="none" w:sz="0" w:space="0" w:color="auto"/>
        <w:bottom w:val="none" w:sz="0" w:space="0" w:color="auto"/>
        <w:right w:val="none" w:sz="0" w:space="0" w:color="auto"/>
      </w:divBdr>
    </w:div>
    <w:div w:id="840241799">
      <w:bodyDiv w:val="1"/>
      <w:marLeft w:val="0"/>
      <w:marRight w:val="0"/>
      <w:marTop w:val="0"/>
      <w:marBottom w:val="0"/>
      <w:divBdr>
        <w:top w:val="none" w:sz="0" w:space="0" w:color="auto"/>
        <w:left w:val="none" w:sz="0" w:space="0" w:color="auto"/>
        <w:bottom w:val="none" w:sz="0" w:space="0" w:color="auto"/>
        <w:right w:val="none" w:sz="0" w:space="0" w:color="auto"/>
      </w:divBdr>
    </w:div>
    <w:div w:id="876621664">
      <w:bodyDiv w:val="1"/>
      <w:marLeft w:val="0"/>
      <w:marRight w:val="0"/>
      <w:marTop w:val="0"/>
      <w:marBottom w:val="0"/>
      <w:divBdr>
        <w:top w:val="none" w:sz="0" w:space="0" w:color="auto"/>
        <w:left w:val="none" w:sz="0" w:space="0" w:color="auto"/>
        <w:bottom w:val="none" w:sz="0" w:space="0" w:color="auto"/>
        <w:right w:val="none" w:sz="0" w:space="0" w:color="auto"/>
      </w:divBdr>
    </w:div>
    <w:div w:id="1008674299">
      <w:bodyDiv w:val="1"/>
      <w:marLeft w:val="0"/>
      <w:marRight w:val="0"/>
      <w:marTop w:val="0"/>
      <w:marBottom w:val="0"/>
      <w:divBdr>
        <w:top w:val="none" w:sz="0" w:space="0" w:color="auto"/>
        <w:left w:val="none" w:sz="0" w:space="0" w:color="auto"/>
        <w:bottom w:val="none" w:sz="0" w:space="0" w:color="auto"/>
        <w:right w:val="none" w:sz="0" w:space="0" w:color="auto"/>
      </w:divBdr>
    </w:div>
    <w:div w:id="1161239378">
      <w:bodyDiv w:val="1"/>
      <w:marLeft w:val="0"/>
      <w:marRight w:val="0"/>
      <w:marTop w:val="0"/>
      <w:marBottom w:val="0"/>
      <w:divBdr>
        <w:top w:val="none" w:sz="0" w:space="0" w:color="auto"/>
        <w:left w:val="none" w:sz="0" w:space="0" w:color="auto"/>
        <w:bottom w:val="none" w:sz="0" w:space="0" w:color="auto"/>
        <w:right w:val="none" w:sz="0" w:space="0" w:color="auto"/>
      </w:divBdr>
    </w:div>
    <w:div w:id="1363359895">
      <w:bodyDiv w:val="1"/>
      <w:marLeft w:val="0"/>
      <w:marRight w:val="0"/>
      <w:marTop w:val="0"/>
      <w:marBottom w:val="0"/>
      <w:divBdr>
        <w:top w:val="none" w:sz="0" w:space="0" w:color="auto"/>
        <w:left w:val="none" w:sz="0" w:space="0" w:color="auto"/>
        <w:bottom w:val="none" w:sz="0" w:space="0" w:color="auto"/>
        <w:right w:val="none" w:sz="0" w:space="0" w:color="auto"/>
      </w:divBdr>
    </w:div>
    <w:div w:id="1489203711">
      <w:bodyDiv w:val="1"/>
      <w:marLeft w:val="0"/>
      <w:marRight w:val="0"/>
      <w:marTop w:val="0"/>
      <w:marBottom w:val="0"/>
      <w:divBdr>
        <w:top w:val="none" w:sz="0" w:space="0" w:color="auto"/>
        <w:left w:val="none" w:sz="0" w:space="0" w:color="auto"/>
        <w:bottom w:val="none" w:sz="0" w:space="0" w:color="auto"/>
        <w:right w:val="none" w:sz="0" w:space="0" w:color="auto"/>
      </w:divBdr>
    </w:div>
    <w:div w:id="1658071987">
      <w:bodyDiv w:val="1"/>
      <w:marLeft w:val="0"/>
      <w:marRight w:val="0"/>
      <w:marTop w:val="0"/>
      <w:marBottom w:val="0"/>
      <w:divBdr>
        <w:top w:val="none" w:sz="0" w:space="0" w:color="auto"/>
        <w:left w:val="none" w:sz="0" w:space="0" w:color="auto"/>
        <w:bottom w:val="none" w:sz="0" w:space="0" w:color="auto"/>
        <w:right w:val="none" w:sz="0" w:space="0" w:color="auto"/>
      </w:divBdr>
    </w:div>
    <w:div w:id="19305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dbe@dubaitourism.a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an.j@daboandco.com" TargetMode="External"/><Relationship Id="rId4" Type="http://schemas.openxmlformats.org/officeDocument/2006/relationships/settings" Target="settings.xml"/><Relationship Id="rId9" Type="http://schemas.openxmlformats.org/officeDocument/2006/relationships/hyperlink" Target="http://www.dubaibusinessevents.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FC56-5C35-419C-8DB6-95061C63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Janssen</dc:creator>
  <cp:lastModifiedBy>Johan Janssen</cp:lastModifiedBy>
  <cp:revision>2</cp:revision>
  <cp:lastPrinted>2014-09-17T12:41:00Z</cp:lastPrinted>
  <dcterms:created xsi:type="dcterms:W3CDTF">2015-06-07T07:53:00Z</dcterms:created>
  <dcterms:modified xsi:type="dcterms:W3CDTF">2015-06-07T07:53:00Z</dcterms:modified>
</cp:coreProperties>
</file>