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3" w:rsidRPr="00494548" w:rsidRDefault="00FD6213" w:rsidP="00494548">
      <w:pPr>
        <w:spacing w:line="276" w:lineRule="auto"/>
        <w:ind w:left="-142"/>
        <w:rPr>
          <w:rFonts w:ascii="Arial" w:eastAsia="Times New Roman" w:hAnsi="Arial" w:cs="Arial"/>
          <w:color w:val="D5171E"/>
          <w:sz w:val="46"/>
          <w:szCs w:val="46"/>
        </w:rPr>
      </w:pPr>
      <w:r>
        <w:rPr>
          <w:rFonts w:ascii="Arial" w:eastAsia="Times New Roman" w:hAnsi="Arial" w:cs="Arial"/>
          <w:color w:val="D5171E"/>
          <w:sz w:val="4"/>
          <w:szCs w:val="4"/>
        </w:rPr>
        <w:br/>
      </w:r>
      <w:r>
        <w:rPr>
          <w:rFonts w:ascii="Arial" w:eastAsia="Times New Roman" w:hAnsi="Arial" w:cs="Arial"/>
          <w:color w:val="D5171E"/>
          <w:sz w:val="4"/>
          <w:szCs w:val="4"/>
        </w:rPr>
        <w:br/>
      </w:r>
      <w:r w:rsidR="00494548">
        <w:rPr>
          <w:rFonts w:ascii="Arial" w:eastAsia="Times New Roman" w:hAnsi="Arial" w:cs="Arial"/>
          <w:color w:val="D5171E"/>
          <w:sz w:val="46"/>
          <w:szCs w:val="46"/>
        </w:rPr>
        <w:t xml:space="preserve">Bilaga: </w:t>
      </w:r>
      <w:r w:rsidR="00494548" w:rsidRPr="00494548">
        <w:rPr>
          <w:rFonts w:ascii="Arial" w:eastAsia="Times New Roman" w:hAnsi="Arial" w:cs="Arial"/>
          <w:color w:val="D5171E"/>
          <w:sz w:val="46"/>
          <w:szCs w:val="46"/>
        </w:rPr>
        <w:t>Lönelista topp 100 i Sverige</w:t>
      </w:r>
      <w:r w:rsidR="007613AC" w:rsidRPr="00494548">
        <w:rPr>
          <w:rFonts w:ascii="Arial" w:eastAsia="Times New Roman" w:hAnsi="Arial" w:cs="Arial"/>
          <w:color w:val="D5171E"/>
          <w:sz w:val="46"/>
          <w:szCs w:val="46"/>
        </w:rPr>
        <w:t xml:space="preserve"> </w:t>
      </w:r>
    </w:p>
    <w:p w:rsidR="007613AC" w:rsidRPr="00494548" w:rsidRDefault="007613AC" w:rsidP="00494548">
      <w:pPr>
        <w:spacing w:line="276" w:lineRule="auto"/>
        <w:ind w:left="-142"/>
        <w:rPr>
          <w:rFonts w:ascii="Arial" w:eastAsia="Times New Roman" w:hAnsi="Arial" w:cs="Arial"/>
          <w:i/>
          <w:sz w:val="19"/>
          <w:szCs w:val="19"/>
        </w:rPr>
      </w:pPr>
      <w:r w:rsidRPr="00494548">
        <w:rPr>
          <w:rFonts w:ascii="Arial" w:eastAsia="Times New Roman" w:hAnsi="Arial" w:cs="Arial"/>
          <w:i/>
          <w:sz w:val="19"/>
          <w:szCs w:val="19"/>
        </w:rPr>
        <w:t xml:space="preserve">Källa: </w:t>
      </w:r>
      <w:r w:rsidR="005D07A4" w:rsidRPr="00494548">
        <w:rPr>
          <w:rFonts w:ascii="Arial" w:eastAsia="Times New Roman" w:hAnsi="Arial" w:cs="Arial"/>
          <w:i/>
          <w:sz w:val="19"/>
          <w:szCs w:val="19"/>
        </w:rPr>
        <w:t>Affärs</w:t>
      </w:r>
      <w:r w:rsidRPr="00494548">
        <w:rPr>
          <w:rFonts w:ascii="Arial" w:eastAsia="Times New Roman" w:hAnsi="Arial" w:cs="Arial"/>
          <w:i/>
          <w:sz w:val="19"/>
          <w:szCs w:val="19"/>
        </w:rPr>
        <w:t xml:space="preserve">- och </w:t>
      </w:r>
      <w:r w:rsidR="005D07A4" w:rsidRPr="00494548">
        <w:rPr>
          <w:rFonts w:ascii="Arial" w:eastAsia="Times New Roman" w:hAnsi="Arial" w:cs="Arial"/>
          <w:i/>
          <w:sz w:val="19"/>
          <w:szCs w:val="19"/>
        </w:rPr>
        <w:t>kredituppl</w:t>
      </w:r>
      <w:r w:rsidR="00494548" w:rsidRPr="00494548">
        <w:rPr>
          <w:rFonts w:ascii="Arial" w:eastAsia="Times New Roman" w:hAnsi="Arial" w:cs="Arial"/>
          <w:i/>
          <w:sz w:val="19"/>
          <w:szCs w:val="19"/>
        </w:rPr>
        <w:t xml:space="preserve">ysningsföretaget </w:t>
      </w:r>
      <w:r w:rsidRPr="00494548">
        <w:rPr>
          <w:rFonts w:ascii="Arial" w:eastAsia="Times New Roman" w:hAnsi="Arial" w:cs="Arial"/>
          <w:i/>
          <w:sz w:val="19"/>
          <w:szCs w:val="19"/>
        </w:rPr>
        <w:t xml:space="preserve">Creditsafe </w:t>
      </w:r>
    </w:p>
    <w:p w:rsidR="00540E95" w:rsidRPr="00AB72AD" w:rsidRDefault="00540E95" w:rsidP="007613AC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Frgadlista1"/>
        <w:tblW w:w="10033" w:type="dxa"/>
        <w:tblLook w:val="04A0"/>
      </w:tblPr>
      <w:tblGrid>
        <w:gridCol w:w="517"/>
        <w:gridCol w:w="637"/>
        <w:gridCol w:w="4057"/>
        <w:gridCol w:w="1537"/>
        <w:gridCol w:w="1441"/>
        <w:gridCol w:w="1844"/>
      </w:tblGrid>
      <w:tr w:rsidR="00512393" w:rsidRPr="00AB72AD" w:rsidTr="00285041">
        <w:trPr>
          <w:cnfStyle w:val="100000000000"/>
          <w:trHeight w:val="397"/>
        </w:trPr>
        <w:tc>
          <w:tcPr>
            <w:cnfStyle w:val="001000000000"/>
            <w:tcW w:w="517" w:type="dxa"/>
            <w:shd w:val="clear" w:color="auto" w:fill="C00000"/>
            <w:noWrap/>
            <w:hideMark/>
          </w:tcPr>
          <w:p w:rsidR="007613AC" w:rsidRPr="00494548" w:rsidRDefault="007613AC" w:rsidP="00494548">
            <w:pPr>
              <w:ind w:left="-142" w:hanging="142"/>
              <w:jc w:val="right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637" w:type="dxa"/>
            <w:shd w:val="clear" w:color="auto" w:fill="C00000"/>
            <w:noWrap/>
            <w:vAlign w:val="bottom"/>
            <w:hideMark/>
          </w:tcPr>
          <w:p w:rsidR="007613AC" w:rsidRPr="005D323E" w:rsidRDefault="007613AC" w:rsidP="00494548">
            <w:pPr>
              <w:cnfStyle w:val="10000000000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057" w:type="dxa"/>
            <w:shd w:val="clear" w:color="auto" w:fill="C00000"/>
            <w:noWrap/>
            <w:vAlign w:val="center"/>
            <w:hideMark/>
          </w:tcPr>
          <w:p w:rsidR="007613AC" w:rsidRPr="00494548" w:rsidRDefault="007613AC" w:rsidP="00494548">
            <w:pPr>
              <w:cnfStyle w:val="100000000000"/>
              <w:rPr>
                <w:rFonts w:ascii="Arial" w:eastAsia="Times New Roman" w:hAnsi="Arial" w:cs="Arial"/>
                <w:sz w:val="19"/>
                <w:szCs w:val="19"/>
              </w:rPr>
            </w:pPr>
            <w:proofErr w:type="gramStart"/>
            <w:r w:rsidRPr="00494548">
              <w:rPr>
                <w:rFonts w:ascii="Arial" w:eastAsia="Times New Roman" w:hAnsi="Arial" w:cs="Arial"/>
                <w:sz w:val="19"/>
                <w:szCs w:val="19"/>
              </w:rPr>
              <w:t>F</w:t>
            </w:r>
            <w:r w:rsidR="00512393" w:rsidRPr="00494548">
              <w:rPr>
                <w:rFonts w:ascii="Arial" w:eastAsia="Times New Roman" w:hAnsi="Arial" w:cs="Arial"/>
                <w:sz w:val="19"/>
                <w:szCs w:val="19"/>
              </w:rPr>
              <w:t>Ö</w:t>
            </w:r>
            <w:r w:rsidRPr="00494548">
              <w:rPr>
                <w:rFonts w:ascii="Arial" w:eastAsia="Times New Roman" w:hAnsi="Arial" w:cs="Arial"/>
                <w:sz w:val="19"/>
                <w:szCs w:val="19"/>
              </w:rPr>
              <w:t>RETAG</w:t>
            </w:r>
            <w:proofErr w:type="gramEnd"/>
            <w:r w:rsidR="000B5BEE">
              <w:rPr>
                <w:rFonts w:ascii="Arial" w:eastAsia="Times New Roman" w:hAnsi="Arial" w:cs="Arial"/>
                <w:sz w:val="19"/>
                <w:szCs w:val="19"/>
              </w:rPr>
              <w:t>:</w:t>
            </w:r>
            <w:r w:rsidRPr="0049454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537" w:type="dxa"/>
            <w:shd w:val="clear" w:color="auto" w:fill="C00000"/>
            <w:noWrap/>
            <w:vAlign w:val="center"/>
            <w:hideMark/>
          </w:tcPr>
          <w:p w:rsidR="007613AC" w:rsidRPr="00494548" w:rsidRDefault="007613AC" w:rsidP="00494548">
            <w:pPr>
              <w:cnfStyle w:val="100000000000"/>
              <w:rPr>
                <w:rFonts w:ascii="Arial" w:eastAsia="Times New Roman" w:hAnsi="Arial" w:cs="Arial"/>
                <w:sz w:val="19"/>
                <w:szCs w:val="19"/>
              </w:rPr>
            </w:pPr>
            <w:r w:rsidRPr="00494548">
              <w:rPr>
                <w:rFonts w:ascii="Arial" w:eastAsia="Times New Roman" w:hAnsi="Arial" w:cs="Arial"/>
                <w:sz w:val="19"/>
                <w:szCs w:val="19"/>
              </w:rPr>
              <w:t>KOMMUN</w:t>
            </w:r>
            <w:r w:rsidR="000B5BEE">
              <w:rPr>
                <w:rFonts w:ascii="Arial" w:eastAsia="Times New Roman" w:hAnsi="Arial" w:cs="Arial"/>
                <w:sz w:val="19"/>
                <w:szCs w:val="19"/>
              </w:rPr>
              <w:t>:</w:t>
            </w:r>
            <w:r w:rsidRPr="00494548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441" w:type="dxa"/>
            <w:shd w:val="clear" w:color="auto" w:fill="C00000"/>
            <w:noWrap/>
            <w:vAlign w:val="center"/>
            <w:hideMark/>
          </w:tcPr>
          <w:p w:rsidR="007613AC" w:rsidRPr="00494548" w:rsidRDefault="007613AC" w:rsidP="00494548">
            <w:pPr>
              <w:cnfStyle w:val="100000000000"/>
              <w:rPr>
                <w:rFonts w:ascii="Arial" w:eastAsia="Times New Roman" w:hAnsi="Arial" w:cs="Arial"/>
                <w:sz w:val="19"/>
                <w:szCs w:val="19"/>
              </w:rPr>
            </w:pPr>
            <w:r w:rsidRPr="00494548">
              <w:rPr>
                <w:rFonts w:ascii="Arial" w:eastAsia="Times New Roman" w:hAnsi="Arial" w:cs="Arial"/>
                <w:sz w:val="19"/>
                <w:szCs w:val="19"/>
              </w:rPr>
              <w:t>ANSTÄLLDA</w:t>
            </w:r>
            <w:r w:rsidR="000B5BEE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844" w:type="dxa"/>
            <w:shd w:val="clear" w:color="auto" w:fill="C00000"/>
            <w:noWrap/>
            <w:vAlign w:val="center"/>
            <w:hideMark/>
          </w:tcPr>
          <w:p w:rsidR="007613AC" w:rsidRPr="00494548" w:rsidRDefault="00494548" w:rsidP="00494548">
            <w:pPr>
              <w:cnfStyle w:val="100000000000"/>
              <w:rPr>
                <w:rFonts w:ascii="Arial" w:eastAsia="Times New Roman" w:hAnsi="Arial" w:cs="Arial"/>
                <w:bCs w:val="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0B5BEE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 w:rsidR="007613AC" w:rsidRPr="00494548">
              <w:rPr>
                <w:rFonts w:ascii="Arial" w:eastAsia="Times New Roman" w:hAnsi="Arial" w:cs="Arial"/>
                <w:sz w:val="19"/>
                <w:szCs w:val="19"/>
              </w:rPr>
              <w:t>SNITTLÖN TK</w:t>
            </w:r>
            <w:r w:rsidR="005D323E" w:rsidRPr="00494548">
              <w:rPr>
                <w:rFonts w:ascii="Arial" w:eastAsia="Times New Roman" w:hAnsi="Arial" w:cs="Arial"/>
                <w:sz w:val="19"/>
                <w:szCs w:val="19"/>
              </w:rPr>
              <w:t>R</w:t>
            </w:r>
            <w:r w:rsidR="000B5BEE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</w:tr>
      <w:tr w:rsidR="009520A4" w:rsidRPr="005D323E" w:rsidTr="00285041">
        <w:trPr>
          <w:cnfStyle w:val="000000100000"/>
          <w:trHeight w:val="157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cnfStyle w:val="00000010000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9520A4" w:rsidRPr="007911D3" w:rsidRDefault="009520A4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2850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Nordea Investment Management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453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1318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(5)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Google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1301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SEB Investment Management AB 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1285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Handelsbanken Fonder Aktiebolag 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1244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ABG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Sundal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Collier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1237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The Boston Consulting Group Nordic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1223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(14)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SAP Svenska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1222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Qbranch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Stockholm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1154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SMBF Service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1105</w:t>
            </w:r>
          </w:p>
        </w:tc>
      </w:tr>
      <w:tr w:rsidR="00285041" w:rsidRPr="005D323E" w:rsidTr="00AD4D1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2850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(8)</w:t>
            </w:r>
          </w:p>
        </w:tc>
        <w:tc>
          <w:tcPr>
            <w:tcW w:w="405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LäkarLeasing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Sverige AB</w:t>
            </w:r>
          </w:p>
        </w:tc>
        <w:tc>
          <w:tcPr>
            <w:tcW w:w="15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1090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2850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(11)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Gartner Sverige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1077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Rent-A-Doctor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1044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EMC Information Systems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1032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Intel Sweden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981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Oracle Svenska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453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965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Cisco Systems (Sweden)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956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Vårdassistans Sverige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952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(21)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Microsoft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458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947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McKinsey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&amp; Company Service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940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Oriflame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Services International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937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IKEA Industry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ÄNGELHOLM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913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Setterwalls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Advokatbyrå Malmö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MALMÖ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912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NASDAQ OMX Clearing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911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Accenture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728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910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(24)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QlikTech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Nordic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LUND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883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(31)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IKEA Services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HELSINGBORG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881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IKEA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Retail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Services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ÄLMHULT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872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(12)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East Capital International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863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TriOptima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856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(45)</w:t>
            </w:r>
          </w:p>
        </w:tc>
        <w:tc>
          <w:tcPr>
            <w:tcW w:w="405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Wallenius Wilhelmsen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Logistics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853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Symantec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Nordic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846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DNB Asset Management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837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Swedbank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Robur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Fonder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830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(77)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Lernia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818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Bristol-Myers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Squibb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815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SAS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Institute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814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(27) 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SunGard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Front Arena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796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DENSO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Sales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GÖTEBORG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792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Dassault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Systemes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791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Quintiles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UPPSALA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785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Fiskars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HÖGANÄS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785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Arthur D. Little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GÖTEBORG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785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(100)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Bayer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776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(57)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Dell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775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(32)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Novartis Sverige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TÄBY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770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(26)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Stryker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MALMÖ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769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(39)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East Capital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766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(55)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Roche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765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7"/>
                <w:szCs w:val="17"/>
                <w:lang w:val="en-ZA"/>
              </w:rPr>
            </w:pPr>
            <w:r w:rsidRPr="007911D3">
              <w:rPr>
                <w:rFonts w:ascii="Arial" w:eastAsia="Times New Roman" w:hAnsi="Arial" w:cs="Arial"/>
                <w:sz w:val="17"/>
                <w:szCs w:val="17"/>
                <w:lang w:val="en-ZA"/>
              </w:rPr>
              <w:t xml:space="preserve">NASDAQ OMX Exchange and Clearing Services 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759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(44)</w:t>
            </w:r>
          </w:p>
        </w:tc>
        <w:tc>
          <w:tcPr>
            <w:tcW w:w="405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Kwintet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MALMÖ</w:t>
            </w:r>
          </w:p>
        </w:tc>
        <w:tc>
          <w:tcPr>
            <w:tcW w:w="1441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844" w:type="dxa"/>
            <w:shd w:val="clear" w:color="auto" w:fill="D9D9D9" w:themeFill="background1" w:themeFillShade="D9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756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(16)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Proffice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752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Autodesk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GÖTEBORG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752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e-AAM Driveline Systems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TROLLHÄTTAN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750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Interoute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Managed Services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748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(70)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International General Electric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DANDERYD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746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Investor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744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(92)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Advokatfirman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Delphi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i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Stockholm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740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(53)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Johnson &amp; Johnson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SOLLENTUNA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736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Procter &amp; Gamble Sverige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733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Svenskt Näringsliv Service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729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Akademikliniken HJ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(73)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Advokatfirman Vinge Skåne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MALMÖ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Forefront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Consulting Group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Crawford &amp; Company (Sweden)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725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Boehringer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Ingelheim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723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(61)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OMX Technology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721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Navexa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Securities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717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HeidelbergCement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714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(63)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Apple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714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(83)</w:t>
            </w:r>
          </w:p>
        </w:tc>
        <w:tc>
          <w:tcPr>
            <w:tcW w:w="405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Max Matthiessen AB</w:t>
            </w:r>
          </w:p>
        </w:tc>
        <w:tc>
          <w:tcPr>
            <w:tcW w:w="153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1844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701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Setterwalls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Advokatbyrå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StoGot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701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Alumni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699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Coor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 Service Management AI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696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JTI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694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(90)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ALMEGA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693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(74)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Capacent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690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Elof Hansson Trade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GÖTEBORG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689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Söderberg &amp; Partners Placeringsrådgivning 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689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Meda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OTC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688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28504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Papyrus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MÖLNDAL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686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2850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BMW Sverige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SOLLENTUNA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679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Verizon Sweden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679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Eli Lilly Sweden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678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Scandinavian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MediCopter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ÖSTERSUND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677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(69)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Avnet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Nortec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SOLNA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Huawei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Technologies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674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(42)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EA Digital Illusions CE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323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674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(84)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Digital Route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673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Skandia Försäljning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363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673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63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Knowit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Business Consulting AB</w:t>
            </w:r>
          </w:p>
        </w:tc>
        <w:tc>
          <w:tcPr>
            <w:tcW w:w="1537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LINKÖPING</w:t>
            </w:r>
          </w:p>
        </w:tc>
        <w:tc>
          <w:tcPr>
            <w:tcW w:w="1441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844" w:type="dxa"/>
            <w:shd w:val="clear" w:color="auto" w:fill="BFBFBF" w:themeFill="background1" w:themeFillShade="BF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672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shd w:val="clear" w:color="auto" w:fill="FFFFFF" w:themeFill="background1"/>
            <w:noWrap/>
            <w:vAlign w:val="center"/>
            <w:hideMark/>
          </w:tcPr>
          <w:p w:rsidR="00285041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FFFFFF" w:themeFill="background1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(58)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Euroclear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AMPM Yacht Management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KUNGÄLV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670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(88)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Veidekke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Bostad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SUNDBYBERG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668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Robert Bosch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(80)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Linklaters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Advokatbyrå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666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Avanade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Sweden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666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(96)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Arbio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661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(89)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Willis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661</w:t>
            </w:r>
          </w:p>
        </w:tc>
      </w:tr>
      <w:tr w:rsidR="00285041" w:rsidRPr="005D323E" w:rsidTr="00285041">
        <w:trPr>
          <w:cnfStyle w:val="000000100000"/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(87)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Aftonbladet </w:t>
            </w:r>
            <w:proofErr w:type="spellStart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>Hierta</w:t>
            </w:r>
            <w:proofErr w:type="spellEnd"/>
            <w:r w:rsidRPr="007911D3">
              <w:rPr>
                <w:rFonts w:ascii="Arial" w:eastAsia="Times New Roman" w:hAnsi="Arial" w:cs="Arial"/>
                <w:sz w:val="18"/>
                <w:szCs w:val="18"/>
              </w:rPr>
              <w:t xml:space="preserve"> Aktiebolag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285041" w:rsidP="007911D3">
            <w:pPr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sz w:val="18"/>
                <w:szCs w:val="18"/>
              </w:rPr>
              <w:t>390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285041" w:rsidP="007911D3">
            <w:pPr>
              <w:jc w:val="right"/>
              <w:cnfStyle w:val="0000001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11D3">
              <w:rPr>
                <w:rFonts w:ascii="Arial" w:eastAsia="Times New Roman" w:hAnsi="Arial" w:cs="Arial"/>
                <w:b/>
                <w:sz w:val="18"/>
                <w:szCs w:val="18"/>
              </w:rPr>
              <w:t>659</w:t>
            </w:r>
          </w:p>
        </w:tc>
      </w:tr>
      <w:tr w:rsidR="00285041" w:rsidRPr="005D323E" w:rsidTr="00285041">
        <w:trPr>
          <w:trHeight w:val="198"/>
        </w:trPr>
        <w:tc>
          <w:tcPr>
            <w:cnfStyle w:val="001000000000"/>
            <w:tcW w:w="517" w:type="dxa"/>
            <w:noWrap/>
            <w:vAlign w:val="center"/>
            <w:hideMark/>
          </w:tcPr>
          <w:p w:rsidR="00285041" w:rsidRPr="007911D3" w:rsidRDefault="00285041" w:rsidP="007911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37" w:type="dxa"/>
            <w:noWrap/>
            <w:vAlign w:val="center"/>
            <w:hideMark/>
          </w:tcPr>
          <w:p w:rsidR="00285041" w:rsidRPr="007911D3" w:rsidRDefault="00AD4D11" w:rsidP="007911D3">
            <w:pPr>
              <w:cnfStyle w:val="00000000000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(85</w:t>
            </w:r>
            <w:r w:rsidRPr="007911D3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4057" w:type="dxa"/>
            <w:noWrap/>
            <w:vAlign w:val="center"/>
            <w:hideMark/>
          </w:tcPr>
          <w:p w:rsidR="00285041" w:rsidRPr="007911D3" w:rsidRDefault="00AD4D1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JKL AB</w:t>
            </w:r>
          </w:p>
        </w:tc>
        <w:tc>
          <w:tcPr>
            <w:tcW w:w="1537" w:type="dxa"/>
            <w:noWrap/>
            <w:vAlign w:val="center"/>
            <w:hideMark/>
          </w:tcPr>
          <w:p w:rsidR="00285041" w:rsidRPr="007911D3" w:rsidRDefault="00AD4D11" w:rsidP="007911D3">
            <w:pPr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STOCKHOLM</w:t>
            </w:r>
          </w:p>
        </w:tc>
        <w:tc>
          <w:tcPr>
            <w:tcW w:w="1441" w:type="dxa"/>
            <w:noWrap/>
            <w:vAlign w:val="center"/>
            <w:hideMark/>
          </w:tcPr>
          <w:p w:rsidR="00285041" w:rsidRPr="007911D3" w:rsidRDefault="00AD4D11" w:rsidP="007911D3">
            <w:pPr>
              <w:jc w:val="right"/>
              <w:cnfStyle w:val="00000000000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844" w:type="dxa"/>
            <w:noWrap/>
            <w:vAlign w:val="center"/>
            <w:hideMark/>
          </w:tcPr>
          <w:p w:rsidR="00285041" w:rsidRPr="007911D3" w:rsidRDefault="00AD4D11" w:rsidP="007911D3">
            <w:pPr>
              <w:jc w:val="right"/>
              <w:cnfStyle w:val="00000000000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657</w:t>
            </w:r>
          </w:p>
        </w:tc>
      </w:tr>
    </w:tbl>
    <w:p w:rsidR="007613AC" w:rsidRDefault="007613AC" w:rsidP="007613AC">
      <w:pPr>
        <w:rPr>
          <w:rFonts w:ascii="Arial" w:eastAsia="Times New Roman" w:hAnsi="Arial" w:cs="Arial"/>
          <w:sz w:val="18"/>
          <w:szCs w:val="18"/>
        </w:rPr>
      </w:pPr>
    </w:p>
    <w:p w:rsidR="00FD6213" w:rsidRDefault="00FD6213" w:rsidP="00FD6213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BA2352" w:rsidRPr="00FD6213">
        <w:rPr>
          <w:rFonts w:ascii="Arial" w:eastAsia="Times New Roman" w:hAnsi="Arial" w:cs="Arial"/>
          <w:b/>
          <w:sz w:val="16"/>
          <w:szCs w:val="16"/>
        </w:rPr>
        <w:t xml:space="preserve">FOTNOT: </w:t>
      </w:r>
      <w:r w:rsidR="000814EC" w:rsidRPr="00FD6213">
        <w:rPr>
          <w:rFonts w:ascii="Arial" w:hAnsi="Arial" w:cs="Arial"/>
          <w:iCs/>
          <w:sz w:val="16"/>
          <w:szCs w:val="16"/>
        </w:rPr>
        <w:t xml:space="preserve">Listorna grundar sig på aktiebolag med minst 50 anställda och baseras på de senaste boksluten som har </w:t>
      </w:r>
      <w:r w:rsidR="00B05C1B" w:rsidRPr="00FD6213">
        <w:rPr>
          <w:rFonts w:ascii="Arial" w:hAnsi="Arial" w:cs="Arial"/>
          <w:iCs/>
          <w:sz w:val="16"/>
          <w:szCs w:val="16"/>
        </w:rPr>
        <w:t>l</w:t>
      </w:r>
      <w:r w:rsidR="000814EC" w:rsidRPr="00FD6213">
        <w:rPr>
          <w:rFonts w:ascii="Arial" w:hAnsi="Arial" w:cs="Arial"/>
          <w:iCs/>
          <w:sz w:val="16"/>
          <w:szCs w:val="16"/>
        </w:rPr>
        <w:t xml:space="preserve">ämnats in </w:t>
      </w:r>
      <w:r>
        <w:rPr>
          <w:rFonts w:ascii="Arial" w:hAnsi="Arial" w:cs="Arial"/>
          <w:iCs/>
          <w:sz w:val="16"/>
          <w:szCs w:val="16"/>
        </w:rPr>
        <w:br/>
      </w:r>
      <w:r w:rsidR="000814EC" w:rsidRPr="00FD6213">
        <w:rPr>
          <w:rFonts w:ascii="Arial" w:hAnsi="Arial" w:cs="Arial"/>
          <w:iCs/>
          <w:sz w:val="16"/>
          <w:szCs w:val="16"/>
        </w:rPr>
        <w:t xml:space="preserve">till Bolagsverket. Alla snittlöner är inklusive skatt men exklusive sociala avgifter. Lön till VD och styrelse ingår </w:t>
      </w:r>
      <w:proofErr w:type="gramStart"/>
      <w:r w:rsidR="000814EC" w:rsidRPr="00FD6213">
        <w:rPr>
          <w:rFonts w:ascii="Arial" w:hAnsi="Arial" w:cs="Arial"/>
          <w:iCs/>
          <w:sz w:val="16"/>
          <w:szCs w:val="16"/>
        </w:rPr>
        <w:t>ej</w:t>
      </w:r>
      <w:proofErr w:type="gramEnd"/>
      <w:r w:rsidR="00BA2352" w:rsidRPr="00FD6213">
        <w:rPr>
          <w:rFonts w:ascii="Arial" w:eastAsia="Times New Roman" w:hAnsi="Arial" w:cs="Arial"/>
          <w:sz w:val="16"/>
          <w:szCs w:val="16"/>
        </w:rPr>
        <w:t xml:space="preserve">. </w:t>
      </w:r>
      <w:r w:rsidR="000814EC" w:rsidRPr="00FD6213">
        <w:rPr>
          <w:rFonts w:ascii="Arial" w:hAnsi="Arial" w:cs="Arial"/>
          <w:sz w:val="16"/>
          <w:szCs w:val="16"/>
        </w:rPr>
        <w:t>Siffror</w:t>
      </w:r>
      <w:r w:rsidR="00B05C1B" w:rsidRPr="00FD6213">
        <w:rPr>
          <w:rFonts w:ascii="Arial" w:hAnsi="Arial" w:cs="Arial"/>
          <w:sz w:val="16"/>
          <w:szCs w:val="16"/>
        </w:rPr>
        <w:t>na</w:t>
      </w:r>
      <w:r w:rsidR="000814EC" w:rsidRPr="00FD6213">
        <w:rPr>
          <w:rFonts w:ascii="Arial" w:hAnsi="Arial" w:cs="Arial"/>
          <w:sz w:val="16"/>
          <w:szCs w:val="16"/>
        </w:rPr>
        <w:t xml:space="preserve"> inom </w:t>
      </w:r>
      <w:r>
        <w:rPr>
          <w:rFonts w:ascii="Arial" w:hAnsi="Arial" w:cs="Arial"/>
          <w:sz w:val="16"/>
          <w:szCs w:val="16"/>
        </w:rPr>
        <w:t>p</w:t>
      </w:r>
      <w:r w:rsidR="000814EC" w:rsidRPr="00FD6213">
        <w:rPr>
          <w:rFonts w:ascii="Arial" w:hAnsi="Arial" w:cs="Arial"/>
          <w:sz w:val="16"/>
          <w:szCs w:val="16"/>
        </w:rPr>
        <w:t>arentes anger tidigare placering på förra årets lista.</w:t>
      </w:r>
    </w:p>
    <w:p w:rsidR="00074C04" w:rsidRPr="00FD6213" w:rsidRDefault="00FD6213" w:rsidP="00FD6213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FD6213">
        <w:rPr>
          <w:rFonts w:ascii="Arial" w:hAnsi="Arial" w:cs="Arial"/>
          <w:b/>
          <w:sz w:val="16"/>
          <w:szCs w:val="16"/>
        </w:rPr>
        <w:br/>
        <w:t>FÖR MER INFORMATION, KONTAKTA:</w:t>
      </w:r>
      <w:r w:rsidRPr="00FD6213">
        <w:rPr>
          <w:rFonts w:ascii="Arial" w:hAnsi="Arial" w:cs="Arial"/>
          <w:sz w:val="16"/>
          <w:szCs w:val="16"/>
        </w:rPr>
        <w:br/>
      </w:r>
      <w:r w:rsidR="00074C04" w:rsidRPr="00FD6213">
        <w:rPr>
          <w:rFonts w:ascii="Arial" w:hAnsi="Arial" w:cs="Arial"/>
          <w:b/>
          <w:bCs/>
          <w:sz w:val="16"/>
          <w:szCs w:val="16"/>
        </w:rPr>
        <w:t>Krister Jonsson</w:t>
      </w:r>
      <w:r w:rsidR="00074C04" w:rsidRPr="00FD6213">
        <w:rPr>
          <w:rFonts w:ascii="Arial" w:hAnsi="Arial" w:cs="Arial"/>
          <w:sz w:val="16"/>
          <w:szCs w:val="16"/>
        </w:rPr>
        <w:t>, Sverigechef, på</w:t>
      </w:r>
      <w:r w:rsidRPr="00FD6213">
        <w:rPr>
          <w:rFonts w:ascii="Arial" w:hAnsi="Arial" w:cs="Arial"/>
          <w:sz w:val="16"/>
          <w:szCs w:val="16"/>
        </w:rPr>
        <w:t xml:space="preserve"> telefon 070-628 08 99 </w:t>
      </w:r>
      <w:r w:rsidRPr="00FD6213">
        <w:rPr>
          <w:rFonts w:ascii="Arial" w:hAnsi="Arial" w:cs="Arial"/>
          <w:color w:val="000000" w:themeColor="text1"/>
          <w:sz w:val="16"/>
          <w:szCs w:val="16"/>
        </w:rPr>
        <w:t xml:space="preserve">eller via e-post </w:t>
      </w:r>
      <w:hyperlink r:id="rId8" w:history="1">
        <w:r w:rsidR="00074C04" w:rsidRPr="00FD6213">
          <w:rPr>
            <w:rStyle w:val="Hyperlnk"/>
            <w:rFonts w:ascii="Arial" w:hAnsi="Arial" w:cs="Arial"/>
            <w:color w:val="000000" w:themeColor="text1"/>
            <w:sz w:val="16"/>
            <w:szCs w:val="16"/>
          </w:rPr>
          <w:t>krister.jonsson@creditsafe.se</w:t>
        </w:r>
      </w:hyperlink>
      <w:r w:rsidR="00074C04" w:rsidRPr="00FD6213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FD6213">
        <w:rPr>
          <w:rFonts w:ascii="Arial" w:hAnsi="Arial" w:cs="Arial"/>
          <w:color w:val="000000" w:themeColor="text1"/>
          <w:sz w:val="16"/>
          <w:szCs w:val="16"/>
        </w:rPr>
        <w:br/>
      </w:r>
      <w:r w:rsidR="00074C04" w:rsidRPr="00FD6213">
        <w:rPr>
          <w:rFonts w:ascii="Arial" w:hAnsi="Arial" w:cs="Arial"/>
          <w:b/>
          <w:color w:val="000000" w:themeColor="text1"/>
          <w:sz w:val="16"/>
          <w:szCs w:val="16"/>
        </w:rPr>
        <w:t>S</w:t>
      </w:r>
      <w:r w:rsidR="00074C04" w:rsidRPr="00FD6213">
        <w:rPr>
          <w:rFonts w:ascii="Arial" w:hAnsi="Arial" w:cs="Arial"/>
          <w:b/>
          <w:bCs/>
          <w:color w:val="000000" w:themeColor="text1"/>
          <w:sz w:val="16"/>
          <w:szCs w:val="16"/>
        </w:rPr>
        <w:t>andra Andersson</w:t>
      </w:r>
      <w:r w:rsidR="00074C04" w:rsidRPr="00FD6213">
        <w:rPr>
          <w:rFonts w:ascii="Arial" w:hAnsi="Arial" w:cs="Arial"/>
          <w:color w:val="000000" w:themeColor="text1"/>
          <w:sz w:val="16"/>
          <w:szCs w:val="16"/>
        </w:rPr>
        <w:t xml:space="preserve">, Marknadsansvarig, på telefon 070-030 36 37 eller via e-post </w:t>
      </w:r>
      <w:hyperlink r:id="rId9" w:history="1">
        <w:r w:rsidR="00074C04" w:rsidRPr="00FD6213">
          <w:rPr>
            <w:rStyle w:val="Hyperlnk"/>
            <w:rFonts w:ascii="Arial" w:hAnsi="Arial" w:cs="Arial"/>
            <w:color w:val="000000" w:themeColor="text1"/>
            <w:sz w:val="16"/>
            <w:szCs w:val="16"/>
          </w:rPr>
          <w:t>sandra.andersson@creditsafe.se</w:t>
        </w:r>
      </w:hyperlink>
    </w:p>
    <w:sectPr w:rsidR="00074C04" w:rsidRPr="00FD6213" w:rsidSect="00FD6213">
      <w:headerReference w:type="default" r:id="rId10"/>
      <w:footerReference w:type="default" r:id="rId11"/>
      <w:pgSz w:w="11900" w:h="16840"/>
      <w:pgMar w:top="2127" w:right="126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41" w:rsidRDefault="00285041" w:rsidP="00553C46">
      <w:r>
        <w:separator/>
      </w:r>
    </w:p>
  </w:endnote>
  <w:endnote w:type="continuationSeparator" w:id="1">
    <w:p w:rsidR="00285041" w:rsidRDefault="00285041" w:rsidP="0055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41" w:rsidRPr="009520A4" w:rsidRDefault="00285041">
    <w:pPr>
      <w:rPr>
        <w:rFonts w:ascii="Arial" w:hAnsi="Arial" w:cs="Arial"/>
        <w:i/>
        <w:color w:val="808080" w:themeColor="background1" w:themeShade="80"/>
        <w:sz w:val="15"/>
        <w:szCs w:val="15"/>
      </w:rPr>
    </w:pPr>
    <w:r w:rsidRPr="009520A4">
      <w:rPr>
        <w:rFonts w:ascii="Arial" w:hAnsi="Arial" w:cs="Arial"/>
        <w:b/>
        <w:bCs/>
        <w:i/>
        <w:iCs/>
        <w:color w:val="808080" w:themeColor="background1" w:themeShade="80"/>
        <w:sz w:val="15"/>
        <w:szCs w:val="15"/>
      </w:rPr>
      <w:t xml:space="preserve">Creditsafe är ett rikstäckande affärs- och kreditupplysningsföretag. </w:t>
    </w:r>
    <w:r w:rsidRPr="009520A4">
      <w:rPr>
        <w:rFonts w:ascii="Arial" w:hAnsi="Arial" w:cs="Arial"/>
        <w:i/>
        <w:iCs/>
        <w:color w:val="808080" w:themeColor="background1" w:themeShade="80"/>
        <w:sz w:val="15"/>
        <w:szCs w:val="15"/>
      </w:rPr>
      <w:t>Vi levererar kreditinformation direkt anpassad för webben</w:t>
    </w:r>
    <w:r>
      <w:rPr>
        <w:rFonts w:ascii="Arial" w:hAnsi="Arial" w:cs="Arial"/>
        <w:i/>
        <w:iCs/>
        <w:color w:val="808080" w:themeColor="background1" w:themeShade="80"/>
        <w:sz w:val="15"/>
        <w:szCs w:val="15"/>
      </w:rPr>
      <w:t xml:space="preserve"> </w:t>
    </w:r>
    <w:r w:rsidRPr="009520A4">
      <w:rPr>
        <w:rFonts w:ascii="Arial" w:hAnsi="Arial" w:cs="Arial"/>
        <w:i/>
        <w:iCs/>
        <w:color w:val="808080" w:themeColor="background1" w:themeShade="80"/>
        <w:sz w:val="15"/>
        <w:szCs w:val="15"/>
      </w:rPr>
      <w:t>eller</w:t>
    </w:r>
    <w:r>
      <w:rPr>
        <w:rFonts w:ascii="Arial" w:hAnsi="Arial" w:cs="Arial"/>
        <w:i/>
        <w:iCs/>
        <w:color w:val="808080" w:themeColor="background1" w:themeShade="80"/>
        <w:sz w:val="15"/>
        <w:szCs w:val="15"/>
      </w:rPr>
      <w:br/>
    </w:r>
    <w:r w:rsidRPr="009520A4">
      <w:rPr>
        <w:rFonts w:ascii="Arial" w:hAnsi="Arial" w:cs="Arial"/>
        <w:i/>
        <w:iCs/>
        <w:color w:val="808080" w:themeColor="background1" w:themeShade="80"/>
        <w:sz w:val="15"/>
        <w:szCs w:val="15"/>
      </w:rPr>
      <w:t xml:space="preserve">via kundanpassade integrerade lösningar. </w:t>
    </w:r>
    <w:r>
      <w:rPr>
        <w:rFonts w:ascii="Arial" w:hAnsi="Arial" w:cs="Arial"/>
        <w:i/>
        <w:color w:val="808080" w:themeColor="background1" w:themeShade="80"/>
        <w:sz w:val="15"/>
        <w:szCs w:val="15"/>
      </w:rPr>
      <w:t>Vi täcker</w:t>
    </w:r>
    <w:r w:rsidRPr="009520A4">
      <w:rPr>
        <w:rFonts w:ascii="Arial" w:hAnsi="Arial" w:cs="Arial"/>
        <w:i/>
        <w:color w:val="808080" w:themeColor="background1" w:themeShade="80"/>
        <w:sz w:val="15"/>
        <w:szCs w:val="15"/>
      </w:rPr>
      <w:t xml:space="preserve"> in alla behov e</w:t>
    </w:r>
    <w:r>
      <w:rPr>
        <w:rFonts w:ascii="Arial" w:hAnsi="Arial" w:cs="Arial"/>
        <w:i/>
        <w:color w:val="808080" w:themeColor="background1" w:themeShade="80"/>
        <w:sz w:val="15"/>
        <w:szCs w:val="15"/>
      </w:rPr>
      <w:t>tt företag har för att optimera sina affärsbeslut, säkerställa a</w:t>
    </w:r>
    <w:r w:rsidRPr="009520A4">
      <w:rPr>
        <w:rFonts w:ascii="Arial" w:hAnsi="Arial" w:cs="Arial"/>
        <w:i/>
        <w:color w:val="808080" w:themeColor="background1" w:themeShade="80"/>
        <w:sz w:val="15"/>
        <w:szCs w:val="15"/>
      </w:rPr>
      <w:t xml:space="preserve">tt man gör affärer med </w:t>
    </w:r>
    <w:r>
      <w:rPr>
        <w:rFonts w:ascii="Arial" w:hAnsi="Arial" w:cs="Arial"/>
        <w:i/>
        <w:color w:val="808080" w:themeColor="background1" w:themeShade="80"/>
        <w:sz w:val="15"/>
        <w:szCs w:val="15"/>
      </w:rPr>
      <w:t xml:space="preserve">kreditvärdiga kunder samt minska risken för </w:t>
    </w:r>
    <w:r w:rsidRPr="009520A4">
      <w:rPr>
        <w:rFonts w:ascii="Arial" w:hAnsi="Arial" w:cs="Arial"/>
        <w:i/>
        <w:color w:val="808080" w:themeColor="background1" w:themeShade="80"/>
        <w:sz w:val="15"/>
        <w:szCs w:val="15"/>
      </w:rPr>
      <w:t xml:space="preserve">kreditförluster. Creditsafe </w:t>
    </w:r>
    <w:r>
      <w:rPr>
        <w:rFonts w:ascii="Arial" w:hAnsi="Arial" w:cs="Arial"/>
        <w:i/>
        <w:color w:val="808080" w:themeColor="background1" w:themeShade="80"/>
        <w:sz w:val="15"/>
        <w:szCs w:val="15"/>
      </w:rPr>
      <w:t xml:space="preserve">är </w:t>
    </w:r>
    <w:r w:rsidRPr="009520A4">
      <w:rPr>
        <w:rFonts w:ascii="Arial" w:hAnsi="Arial" w:cs="Arial"/>
        <w:i/>
        <w:color w:val="808080" w:themeColor="background1" w:themeShade="80"/>
        <w:sz w:val="15"/>
        <w:szCs w:val="15"/>
      </w:rPr>
      <w:t>Europas största leverantör av kreditupplysning.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41" w:rsidRDefault="00285041" w:rsidP="00553C46">
      <w:r>
        <w:separator/>
      </w:r>
    </w:p>
  </w:footnote>
  <w:footnote w:type="continuationSeparator" w:id="1">
    <w:p w:rsidR="00285041" w:rsidRDefault="00285041" w:rsidP="00553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41" w:rsidRPr="00494548" w:rsidRDefault="00285041" w:rsidP="00494548">
    <w:pPr>
      <w:pStyle w:val="Sidhuvud"/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-220980</wp:posOffset>
          </wp:positionV>
          <wp:extent cx="1790700" cy="590550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1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creditsafe_simplysmarter_RGB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="00AD4D11" w:rsidRPr="00AD4D11">
      <w:rPr>
        <w:rFonts w:ascii="Arial" w:hAnsi="Arial"/>
        <w:b/>
      </w:rPr>
      <w:t>Korrigerad lista:</w:t>
    </w:r>
    <w:r w:rsidR="00AD4D11">
      <w:rPr>
        <w:rFonts w:ascii="Arial" w:hAnsi="Arial"/>
      </w:rPr>
      <w:t xml:space="preserve"> Pressmeddelande</w:t>
    </w:r>
    <w:r>
      <w:rPr>
        <w:rFonts w:ascii="Arial" w:hAnsi="Arial"/>
      </w:rPr>
      <w:t xml:space="preserve"> 23</w:t>
    </w:r>
    <w:r w:rsidRPr="00650D8D">
      <w:rPr>
        <w:rFonts w:ascii="Arial" w:hAnsi="Arial"/>
      </w:rPr>
      <w:t xml:space="preserve"> </w:t>
    </w:r>
    <w:r>
      <w:rPr>
        <w:rFonts w:ascii="Arial" w:hAnsi="Arial"/>
      </w:rPr>
      <w:t xml:space="preserve">okt </w:t>
    </w:r>
    <w:r w:rsidRPr="00650D8D">
      <w:rPr>
        <w:rFonts w:ascii="Arial" w:hAnsi="Arial"/>
      </w:rPr>
      <w:t>2013</w:t>
    </w:r>
    <w:r>
      <w:rPr>
        <w:rFonts w:ascii="Arial" w:hAnsi="Arial"/>
      </w:rPr>
      <w:br/>
    </w:r>
  </w:p>
  <w:p w:rsidR="00285041" w:rsidRPr="00650D8D" w:rsidRDefault="00285041" w:rsidP="00E63D10">
    <w:pPr>
      <w:pStyle w:val="Sidhuvud"/>
      <w:jc w:val="center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5B28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1BE7"/>
    <w:multiLevelType w:val="hybridMultilevel"/>
    <w:tmpl w:val="9C804254"/>
    <w:lvl w:ilvl="0" w:tplc="9E1292AE">
      <w:start w:val="2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F300704"/>
    <w:multiLevelType w:val="hybridMultilevel"/>
    <w:tmpl w:val="A5F42B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56AE4"/>
    <w:multiLevelType w:val="hybridMultilevel"/>
    <w:tmpl w:val="78F248CE"/>
    <w:lvl w:ilvl="0" w:tplc="4BE64BEE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60F98"/>
    <w:multiLevelType w:val="hybridMultilevel"/>
    <w:tmpl w:val="6F6CDB42"/>
    <w:lvl w:ilvl="0" w:tplc="D27C6A60">
      <w:start w:val="10"/>
      <w:numFmt w:val="bullet"/>
      <w:lvlText w:val="–"/>
      <w:lvlJc w:val="left"/>
      <w:pPr>
        <w:ind w:left="720" w:hanging="360"/>
      </w:pPr>
      <w:rPr>
        <w:rFonts w:ascii="Times" w:eastAsia="MS Mincho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66DBF"/>
    <w:multiLevelType w:val="hybridMultilevel"/>
    <w:tmpl w:val="B0088E98"/>
    <w:lvl w:ilvl="0" w:tplc="D58C01F0">
      <w:start w:val="10"/>
      <w:numFmt w:val="bullet"/>
      <w:lvlText w:val="–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AE0D90"/>
    <w:multiLevelType w:val="hybridMultilevel"/>
    <w:tmpl w:val="00A40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92213"/>
    <w:multiLevelType w:val="hybridMultilevel"/>
    <w:tmpl w:val="27D0A5B4"/>
    <w:lvl w:ilvl="0" w:tplc="324860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3441"/>
    <w:rsid w:val="000055FF"/>
    <w:rsid w:val="000346B3"/>
    <w:rsid w:val="00034895"/>
    <w:rsid w:val="00054996"/>
    <w:rsid w:val="00072A32"/>
    <w:rsid w:val="00074C04"/>
    <w:rsid w:val="000814EC"/>
    <w:rsid w:val="000B5BEE"/>
    <w:rsid w:val="000D5FB6"/>
    <w:rsid w:val="00114333"/>
    <w:rsid w:val="00115769"/>
    <w:rsid w:val="00150C06"/>
    <w:rsid w:val="0016011A"/>
    <w:rsid w:val="001A7552"/>
    <w:rsid w:val="001C11E8"/>
    <w:rsid w:val="00256114"/>
    <w:rsid w:val="00262826"/>
    <w:rsid w:val="00285041"/>
    <w:rsid w:val="00291638"/>
    <w:rsid w:val="002A1442"/>
    <w:rsid w:val="003017BC"/>
    <w:rsid w:val="0032131B"/>
    <w:rsid w:val="003359CF"/>
    <w:rsid w:val="003441CD"/>
    <w:rsid w:val="00397FBB"/>
    <w:rsid w:val="003B7320"/>
    <w:rsid w:val="003C4CA4"/>
    <w:rsid w:val="003C4FE1"/>
    <w:rsid w:val="003E6634"/>
    <w:rsid w:val="003F1F0A"/>
    <w:rsid w:val="00406278"/>
    <w:rsid w:val="00414E85"/>
    <w:rsid w:val="00431ED7"/>
    <w:rsid w:val="004556D9"/>
    <w:rsid w:val="0046243F"/>
    <w:rsid w:val="00477962"/>
    <w:rsid w:val="004824F9"/>
    <w:rsid w:val="00494548"/>
    <w:rsid w:val="004B5D36"/>
    <w:rsid w:val="004D2915"/>
    <w:rsid w:val="00507DDF"/>
    <w:rsid w:val="00512393"/>
    <w:rsid w:val="00540E95"/>
    <w:rsid w:val="00553C46"/>
    <w:rsid w:val="005542AD"/>
    <w:rsid w:val="005C575E"/>
    <w:rsid w:val="005D07A4"/>
    <w:rsid w:val="005D25D6"/>
    <w:rsid w:val="005D2C62"/>
    <w:rsid w:val="005D323E"/>
    <w:rsid w:val="006053F3"/>
    <w:rsid w:val="0060623F"/>
    <w:rsid w:val="00650D8D"/>
    <w:rsid w:val="00692B7B"/>
    <w:rsid w:val="006A6BD4"/>
    <w:rsid w:val="006B05AA"/>
    <w:rsid w:val="006B067D"/>
    <w:rsid w:val="006D6695"/>
    <w:rsid w:val="006F329F"/>
    <w:rsid w:val="006F3EB5"/>
    <w:rsid w:val="00736C85"/>
    <w:rsid w:val="00752839"/>
    <w:rsid w:val="007613AC"/>
    <w:rsid w:val="007911D3"/>
    <w:rsid w:val="0086003C"/>
    <w:rsid w:val="00926957"/>
    <w:rsid w:val="00934C00"/>
    <w:rsid w:val="009514ED"/>
    <w:rsid w:val="009520A4"/>
    <w:rsid w:val="00993D10"/>
    <w:rsid w:val="009D2DF6"/>
    <w:rsid w:val="009E6BA6"/>
    <w:rsid w:val="00A206B0"/>
    <w:rsid w:val="00AB72AD"/>
    <w:rsid w:val="00AD4D11"/>
    <w:rsid w:val="00AE31E7"/>
    <w:rsid w:val="00AF0413"/>
    <w:rsid w:val="00AF7F06"/>
    <w:rsid w:val="00B019BC"/>
    <w:rsid w:val="00B05C1B"/>
    <w:rsid w:val="00B65F75"/>
    <w:rsid w:val="00B8249B"/>
    <w:rsid w:val="00BA2352"/>
    <w:rsid w:val="00BB6071"/>
    <w:rsid w:val="00C1534E"/>
    <w:rsid w:val="00C61CB5"/>
    <w:rsid w:val="00C76A91"/>
    <w:rsid w:val="00CA5AA9"/>
    <w:rsid w:val="00CF1B07"/>
    <w:rsid w:val="00D03990"/>
    <w:rsid w:val="00D62856"/>
    <w:rsid w:val="00DF7245"/>
    <w:rsid w:val="00E27AC0"/>
    <w:rsid w:val="00E3182A"/>
    <w:rsid w:val="00E35C52"/>
    <w:rsid w:val="00E63D10"/>
    <w:rsid w:val="00E84400"/>
    <w:rsid w:val="00EA2351"/>
    <w:rsid w:val="00EB38BC"/>
    <w:rsid w:val="00EC53F7"/>
    <w:rsid w:val="00ED55DD"/>
    <w:rsid w:val="00ED6338"/>
    <w:rsid w:val="00ED724A"/>
    <w:rsid w:val="00F05A88"/>
    <w:rsid w:val="00F119ED"/>
    <w:rsid w:val="00F13441"/>
    <w:rsid w:val="00F33B5B"/>
    <w:rsid w:val="00F53FA8"/>
    <w:rsid w:val="00F630AD"/>
    <w:rsid w:val="00F96301"/>
    <w:rsid w:val="00FA2135"/>
    <w:rsid w:val="00FA6040"/>
    <w:rsid w:val="00FA714C"/>
    <w:rsid w:val="00FB7860"/>
    <w:rsid w:val="00FD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8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F13441"/>
    <w:rPr>
      <w:b/>
      <w:bCs/>
    </w:rPr>
  </w:style>
  <w:style w:type="paragraph" w:styleId="Normalwebb">
    <w:name w:val="Normal (Web)"/>
    <w:basedOn w:val="Normal"/>
    <w:uiPriority w:val="99"/>
    <w:unhideWhenUsed/>
    <w:rsid w:val="00F13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F13441"/>
    <w:pPr>
      <w:ind w:left="720"/>
      <w:contextualSpacing/>
    </w:pPr>
  </w:style>
  <w:style w:type="character" w:styleId="Hyperlnk">
    <w:name w:val="Hyperlink"/>
    <w:uiPriority w:val="99"/>
    <w:unhideWhenUsed/>
    <w:rsid w:val="00FA6040"/>
    <w:rPr>
      <w:color w:val="0000FF"/>
      <w:u w:val="single"/>
    </w:rPr>
  </w:style>
  <w:style w:type="character" w:styleId="Betoning">
    <w:name w:val="Emphasis"/>
    <w:uiPriority w:val="20"/>
    <w:qFormat/>
    <w:rsid w:val="003F1F0A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huvudChar">
    <w:name w:val="Sidhuvud Char"/>
    <w:link w:val="Sidhuvud"/>
    <w:uiPriority w:val="99"/>
    <w:rsid w:val="00553C46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553C46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SidfotChar">
    <w:name w:val="Sidfot Char"/>
    <w:link w:val="Sidfot"/>
    <w:uiPriority w:val="99"/>
    <w:rsid w:val="00553C46"/>
    <w:rPr>
      <w:lang w:val="sv-SE"/>
    </w:rPr>
  </w:style>
  <w:style w:type="table" w:customStyle="1" w:styleId="Ljusskuggning-dekorfrg11">
    <w:name w:val="Ljus skuggning - dekorfärg 11"/>
    <w:basedOn w:val="Normaltabell"/>
    <w:uiPriority w:val="60"/>
    <w:rsid w:val="005D07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Formatmall1">
    <w:name w:val="Formatmall1"/>
    <w:basedOn w:val="Normaltabell"/>
    <w:uiPriority w:val="99"/>
    <w:rsid w:val="005D32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2">
    <w:name w:val="Light Shading Accent 2"/>
    <w:basedOn w:val="Normaltabell"/>
    <w:uiPriority w:val="60"/>
    <w:rsid w:val="005D323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D323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juslista1">
    <w:name w:val="Ljus lista1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2">
    <w:name w:val="Light List Accent 2"/>
    <w:basedOn w:val="Normaltabell"/>
    <w:uiPriority w:val="61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D323E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D323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rklista1">
    <w:name w:val="Mörk lista1"/>
    <w:basedOn w:val="Normaltabell"/>
    <w:uiPriority w:val="70"/>
    <w:rsid w:val="005D323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llanmrkskuggning2-dekorfrg2">
    <w:name w:val="Medium Shading 2 Accent 2"/>
    <w:basedOn w:val="Normaltabell"/>
    <w:uiPriority w:val="64"/>
    <w:rsid w:val="005D323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2-dekorfrg2">
    <w:name w:val="Medium Grid 2 Accent 2"/>
    <w:basedOn w:val="Normaltabell"/>
    <w:uiPriority w:val="68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lista2-dekorfrg2">
    <w:name w:val="Medium List 2 Accent 2"/>
    <w:basedOn w:val="Normaltabell"/>
    <w:uiPriority w:val="66"/>
    <w:rsid w:val="005D32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trutnt-dekorfrg2">
    <w:name w:val="Light Grid Accent 2"/>
    <w:basedOn w:val="Normaltabell"/>
    <w:uiPriority w:val="62"/>
    <w:rsid w:val="005D323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ellrutnt">
    <w:name w:val="Table Grid"/>
    <w:basedOn w:val="Normaltabell"/>
    <w:uiPriority w:val="59"/>
    <w:rsid w:val="005D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lista-dekorfrg11">
    <w:name w:val="Ljus lista - dekorfärg 11"/>
    <w:basedOn w:val="Normaltabell"/>
    <w:uiPriority w:val="61"/>
    <w:rsid w:val="0051239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jusskuggning1">
    <w:name w:val="Ljus skuggning1"/>
    <w:basedOn w:val="Normaltabell"/>
    <w:uiPriority w:val="60"/>
    <w:rsid w:val="0051239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llanmrklista11">
    <w:name w:val="Mellanmörk lista 11"/>
    <w:basedOn w:val="Normaltabell"/>
    <w:uiPriority w:val="65"/>
    <w:rsid w:val="0051239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Frgadlista-dekorfrg2">
    <w:name w:val="Colorful List Accent 2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Frgadlista1">
    <w:name w:val="Färgad lista1"/>
    <w:basedOn w:val="Normaltabell"/>
    <w:uiPriority w:val="72"/>
    <w:rsid w:val="0051239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r.jonsson@creditsaf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dra.andersson@creditsaf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21E6-AC5B-4EE9-A1AE-633F543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893</Words>
  <Characters>4823</Characters>
  <Application>Microsoft Office Word</Application>
  <DocSecurity>0</DocSecurity>
  <Lines>150</Lines>
  <Paragraphs>57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Grayling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Björneloo</dc:creator>
  <cp:lastModifiedBy>CSSESAAN</cp:lastModifiedBy>
  <cp:revision>2</cp:revision>
  <cp:lastPrinted>2013-10-23T09:10:00Z</cp:lastPrinted>
  <dcterms:created xsi:type="dcterms:W3CDTF">2013-10-23T09:13:00Z</dcterms:created>
  <dcterms:modified xsi:type="dcterms:W3CDTF">2013-10-23T09:13:00Z</dcterms:modified>
</cp:coreProperties>
</file>