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48D595C7" w14:textId="77777777" w:rsidR="00361672" w:rsidRDefault="00361672" w:rsidP="00361672">
      <w:pPr>
        <w:pStyle w:val="titel"/>
        <w:jc w:val="right"/>
        <w:rPr>
          <w:sz w:val="22"/>
          <w:szCs w:val="22"/>
        </w:rPr>
      </w:pPr>
      <w:r>
        <w:rPr>
          <w:sz w:val="22"/>
          <w:szCs w:val="22"/>
        </w:rPr>
        <w:tab/>
        <w:t>Goetheanum, Dornach, Suisse, le 12 juin 2026</w:t>
      </w:r>
    </w:p>
    <w:p w14:paraId="44DFC8F0" w14:textId="77777777" w:rsidR="00361672" w:rsidRDefault="00361672" w:rsidP="00361672">
      <w:pPr>
        <w:pStyle w:val="body"/>
      </w:pPr>
    </w:p>
    <w:p w14:paraId="582C6A44" w14:textId="77777777" w:rsidR="00361672" w:rsidRPr="00361672" w:rsidRDefault="00361672" w:rsidP="00361672">
      <w:pPr>
        <w:pStyle w:val="titel"/>
        <w:spacing w:before="57"/>
        <w:rPr>
          <w:b/>
          <w:bCs/>
          <w:sz w:val="28"/>
          <w:szCs w:val="28"/>
        </w:rPr>
      </w:pPr>
      <w:r w:rsidRPr="00361672">
        <w:rPr>
          <w:b/>
          <w:bCs/>
          <w:sz w:val="28"/>
          <w:szCs w:val="28"/>
        </w:rPr>
        <w:t>« L’innovation naît des échanges »</w:t>
      </w:r>
    </w:p>
    <w:p w14:paraId="3AF58CB1" w14:textId="77777777" w:rsidR="00361672" w:rsidRPr="00361672" w:rsidRDefault="00361672" w:rsidP="00361672">
      <w:pPr>
        <w:pStyle w:val="titel"/>
        <w:spacing w:before="57"/>
        <w:rPr>
          <w:b/>
          <w:bCs/>
          <w:sz w:val="24"/>
          <w:szCs w:val="24"/>
        </w:rPr>
      </w:pPr>
      <w:r w:rsidRPr="00361672">
        <w:rPr>
          <w:b/>
          <w:bCs/>
          <w:sz w:val="24"/>
          <w:szCs w:val="24"/>
        </w:rPr>
        <w:t>Nouvel épisode du podcast ‹ Living Farms › de la section d‘agriculture du Goetheanum</w:t>
      </w:r>
    </w:p>
    <w:p w14:paraId="792341E8" w14:textId="77777777" w:rsidR="00361672" w:rsidRPr="00361672" w:rsidRDefault="00361672" w:rsidP="00361672">
      <w:pPr>
        <w:pStyle w:val="body"/>
        <w:rPr>
          <w:b/>
          <w:bCs/>
        </w:rPr>
      </w:pPr>
    </w:p>
    <w:p w14:paraId="58A458CA" w14:textId="77777777" w:rsidR="00361672" w:rsidRPr="00361672" w:rsidRDefault="00361672" w:rsidP="00361672">
      <w:pPr>
        <w:pStyle w:val="body"/>
        <w:rPr>
          <w:rFonts w:ascii="Titillium" w:hAnsi="Titillium" w:cs="Titillium"/>
          <w:b/>
          <w:bCs/>
          <w:sz w:val="20"/>
          <w:szCs w:val="20"/>
        </w:rPr>
      </w:pPr>
      <w:r w:rsidRPr="00361672">
        <w:rPr>
          <w:rFonts w:ascii="Titillium" w:hAnsi="Titillium" w:cs="Titillium"/>
          <w:b/>
          <w:bCs/>
          <w:sz w:val="20"/>
          <w:szCs w:val="20"/>
        </w:rPr>
        <w:t>Coresponsable de la section d‘agriculture, Eduardo Rincón s‘entretient chaque mois avec des invités venus du monde entier. Au fil des échanges, ils remettent en question les paradigmes existants et explorent de nouvelles voies pour faire évoluer l‘agriculture, afin qu‘elle favorise la vie sous toutes ses formes.</w:t>
      </w:r>
    </w:p>
    <w:p w14:paraId="33EF32CC" w14:textId="77777777" w:rsidR="00361672" w:rsidRDefault="00361672" w:rsidP="00361672">
      <w:pPr>
        <w:pStyle w:val="body"/>
        <w:rPr>
          <w:rFonts w:ascii="Titillium" w:hAnsi="Titillium" w:cs="Titillium"/>
          <w:sz w:val="20"/>
          <w:szCs w:val="20"/>
        </w:rPr>
      </w:pPr>
    </w:p>
    <w:p w14:paraId="7A7C87C9" w14:textId="77777777" w:rsidR="00361672" w:rsidRDefault="00361672" w:rsidP="00361672">
      <w:pPr>
        <w:pStyle w:val="body"/>
        <w:rPr>
          <w:rFonts w:ascii="Titillium" w:hAnsi="Titillium" w:cs="Titillium"/>
          <w:sz w:val="20"/>
          <w:szCs w:val="20"/>
        </w:rPr>
      </w:pPr>
      <w:r>
        <w:rPr>
          <w:rFonts w:ascii="Titillium" w:hAnsi="Titillium" w:cs="Titillium"/>
          <w:sz w:val="20"/>
          <w:szCs w:val="20"/>
        </w:rPr>
        <w:t xml:space="preserve">Le dépérissement forestier et la déforestation à grande échelle dressent un sombre tableau de la situation des forêts. L’agronome brésilienne Natalia Muguet, invitée du premier épisode de la nouvelle saison ‹ Biodynamie et agroécologie holistique › du podcast ‹ Living Farms ›, régénère quant à elle les paysages dégradés et crée des systèmes productifs, diversifiés et stables. Elle travaille avec des plantations à plusieurs étages, des coupes ciblées et la production de biomasse. Cela permet de canaliser les flux d’énergie et de favoriser activement la fertilité des sols. </w:t>
      </w:r>
    </w:p>
    <w:p w14:paraId="16721565" w14:textId="77777777" w:rsidR="00361672" w:rsidRDefault="00361672" w:rsidP="00361672">
      <w:pPr>
        <w:pStyle w:val="body"/>
        <w:spacing w:before="113"/>
        <w:rPr>
          <w:rFonts w:ascii="Titillium" w:hAnsi="Titillium" w:cs="Titillium"/>
          <w:sz w:val="20"/>
          <w:szCs w:val="20"/>
        </w:rPr>
      </w:pPr>
      <w:r>
        <w:rPr>
          <w:rFonts w:ascii="Titillium" w:hAnsi="Titillium" w:cs="Titillium"/>
          <w:sz w:val="20"/>
          <w:szCs w:val="20"/>
        </w:rPr>
        <w:t xml:space="preserve">Grâce à ces coupes ciblées et au maintien de la matière organique dans le système, le sol est continuellement enrichi. Au lieu de puiser dans les ressources, on crée des cycles qui s’autoalimentent et gagnent à long terme en productivité. Les plantes utilitaires et médicinales jouent un rôle particulier. Les dernières favorisent la vie du sol, stabilisent les processus écologiques et contribuent à la régénération des surfaces endommagées. Les plantes ne sont donc pas seulement considérées comme un facteur de rendement, mais comme des contributrices actives à la création d’un système vivant. </w:t>
      </w:r>
    </w:p>
    <w:p w14:paraId="31AB8268" w14:textId="77777777" w:rsidR="00361672" w:rsidRDefault="00361672" w:rsidP="00361672">
      <w:pPr>
        <w:pStyle w:val="body"/>
        <w:spacing w:before="113"/>
        <w:rPr>
          <w:rFonts w:ascii="Titillium" w:hAnsi="Titillium" w:cs="Titillium"/>
          <w:sz w:val="20"/>
          <w:szCs w:val="20"/>
        </w:rPr>
      </w:pPr>
      <w:r>
        <w:rPr>
          <w:rFonts w:ascii="Titillium" w:hAnsi="Titillium" w:cs="Titillium"/>
          <w:sz w:val="20"/>
          <w:szCs w:val="20"/>
        </w:rPr>
        <w:t>Eduardo Rincón voit « un potentiel d’avenir considérable dans la combinaison de l’agriculture biodynamique avec d’autres approches holistiques comme l’agriculture biologique, la permaculture et l’agriculture syntropique ». À ses yeux, « l’innovation naît précisément des échanges, de la recherche commune, des essais pratiques et de la collaboration interdisciplinaire. Des approches différentes du sol, des plantes, des écosystèmes et de l’être humain ouvrent la voie à de nouvelles réponses aux défis urgents de notre époque, du changement climatique et de la perte de biodiversité aux pressions économiques ». Dans le deuxième épisode de la nouvelle saison, le maraîcher Tom Saat (Stadsboerderij d‘Almere, Pays-Bas), montre comment la biodynamie peut transformer les défis régionaux en opportunités.</w:t>
      </w:r>
    </w:p>
    <w:p w14:paraId="1BB6AAE6" w14:textId="77777777" w:rsidR="00361672" w:rsidRDefault="00361672" w:rsidP="00361672">
      <w:pPr>
        <w:pStyle w:val="body"/>
        <w:spacing w:before="113"/>
        <w:rPr>
          <w:rFonts w:ascii="Titillium" w:hAnsi="Titillium" w:cs="Titillium"/>
          <w:sz w:val="20"/>
          <w:szCs w:val="20"/>
        </w:rPr>
      </w:pPr>
      <w:r>
        <w:rPr>
          <w:rFonts w:ascii="Titillium" w:hAnsi="Titillium" w:cs="Titillium"/>
          <w:sz w:val="20"/>
          <w:szCs w:val="20"/>
        </w:rPr>
        <w:t>La série ‹ Biodynamie et agroécologie holistique › s’adresse aux professionnels et aux personnes qui s’intéressent à l’agroécologie holistique et aux systèmes alimentaires durables. Pour approfondir le sujet, on peut s’inscrire au ‹Biodynamic Network › afin de discuter des contenus avec d’autres et approfondir sa réflexion.</w:t>
      </w:r>
    </w:p>
    <w:p w14:paraId="49C6E83C" w14:textId="77777777" w:rsidR="00361672" w:rsidRDefault="00361672" w:rsidP="00361672">
      <w:pPr>
        <w:pStyle w:val="body"/>
        <w:jc w:val="right"/>
        <w:rPr>
          <w:rFonts w:ascii="Titillium" w:hAnsi="Titillium" w:cs="Titillium"/>
          <w:sz w:val="20"/>
          <w:szCs w:val="20"/>
        </w:rPr>
      </w:pPr>
      <w:r>
        <w:rPr>
          <w:rFonts w:ascii="Titillium" w:hAnsi="Titillium" w:cs="Titillium"/>
          <w:sz w:val="20"/>
          <w:szCs w:val="20"/>
        </w:rPr>
        <w:t>(2616 caractères/Sebastian Jüngel; traduction : Jean Pierre Ablard)</w:t>
      </w:r>
    </w:p>
    <w:p w14:paraId="6EC825DA" w14:textId="77777777" w:rsidR="00361672" w:rsidRDefault="00361672" w:rsidP="00361672">
      <w:pPr>
        <w:pStyle w:val="body"/>
        <w:spacing w:before="57"/>
        <w:rPr>
          <w:rFonts w:ascii="Titillium" w:hAnsi="Titillium" w:cs="Titillium"/>
          <w:sz w:val="20"/>
          <w:szCs w:val="20"/>
        </w:rPr>
      </w:pPr>
      <w:r>
        <w:rPr>
          <w:rFonts w:ascii="Titillium Bd" w:hAnsi="Titillium Bd" w:cs="Titillium Bd"/>
          <w:b/>
          <w:bCs/>
          <w:sz w:val="20"/>
          <w:szCs w:val="20"/>
        </w:rPr>
        <w:t xml:space="preserve">Podcast Living Farms (en anglais) </w:t>
      </w:r>
      <w:r>
        <w:rPr>
          <w:rFonts w:ascii="Titillium" w:hAnsi="Titillium" w:cs="Titillium"/>
          <w:sz w:val="20"/>
          <w:szCs w:val="20"/>
        </w:rPr>
        <w:t>www.sektion-landwirtschaft.org/en/living-farms/podcasts</w:t>
      </w:r>
    </w:p>
    <w:p w14:paraId="0F611728" w14:textId="77777777" w:rsidR="00361672" w:rsidRDefault="00361672" w:rsidP="00361672">
      <w:pPr>
        <w:pStyle w:val="body"/>
        <w:spacing w:before="57"/>
        <w:rPr>
          <w:rFonts w:ascii="Titillium" w:hAnsi="Titillium" w:cs="Titillium"/>
          <w:sz w:val="20"/>
          <w:szCs w:val="20"/>
        </w:rPr>
      </w:pPr>
      <w:r>
        <w:rPr>
          <w:rFonts w:ascii="Titillium Bd" w:hAnsi="Titillium Bd" w:cs="Titillium Bd"/>
          <w:b/>
          <w:bCs/>
          <w:sz w:val="20"/>
          <w:szCs w:val="20"/>
        </w:rPr>
        <w:t xml:space="preserve">Biodynamic Network pour les membres du mouvement biodynamique </w:t>
      </w:r>
      <w:r>
        <w:rPr>
          <w:rFonts w:ascii="Titillium" w:hAnsi="Titillium" w:cs="Titillium"/>
          <w:sz w:val="20"/>
          <w:szCs w:val="20"/>
        </w:rPr>
        <w:t>community.sektion-landwirtschaft.org</w:t>
      </w:r>
    </w:p>
    <w:p w14:paraId="17442226" w14:textId="1AC20FDB" w:rsidR="006E7E7B" w:rsidRDefault="00361672" w:rsidP="00361672">
      <w:r>
        <w:rPr>
          <w:rFonts w:ascii="Titillium Bd" w:hAnsi="Titillium Bd" w:cs="Titillium Bd"/>
          <w:b/>
          <w:bCs/>
          <w:sz w:val="20"/>
          <w:szCs w:val="20"/>
        </w:rPr>
        <w:t xml:space="preserve">Personne contact </w:t>
      </w:r>
      <w:r>
        <w:rPr>
          <w:rFonts w:ascii="Titillium" w:hAnsi="Titillium" w:cs="Titillium"/>
          <w:sz w:val="20"/>
          <w:szCs w:val="20"/>
        </w:rPr>
        <w:t>Anna Storchenegger :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361672"/>
    <w:rsid w:val="006E7E7B"/>
    <w:rsid w:val="006F57DB"/>
    <w:rsid w:val="007A3A2F"/>
    <w:rsid w:val="00B90BB3"/>
    <w:rsid w:val="00CF0D6D"/>
    <w:rsid w:val="00DD74B3"/>
    <w:rsid w:val="00E82B89"/>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2715</Characters>
  <Application>Microsoft Office Word</Application>
  <DocSecurity>0</DocSecurity>
  <Lines>22</Lines>
  <Paragraphs>6</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2026-06-12T15:15:00Z</dcterms:modified>
</cp:coreProperties>
</file>