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C0001A" w:rsidRDefault="007A3A2F" w:rsidP="007A3A2F">
      <w:pPr>
        <w:pStyle w:val="titel"/>
        <w:rPr>
          <w:sz w:val="22"/>
          <w:szCs w:val="22"/>
          <w:lang w:val="en-US"/>
        </w:rPr>
      </w:pPr>
      <w:r w:rsidRPr="00C0001A">
        <w:rPr>
          <w:sz w:val="22"/>
          <w:szCs w:val="22"/>
          <w:lang w:val="en-US"/>
        </w:rPr>
        <w:t>GOETHEANUM</w:t>
      </w:r>
      <w:r w:rsidRPr="00C0001A">
        <w:rPr>
          <w:sz w:val="22"/>
          <w:szCs w:val="22"/>
          <w:lang w:val="en-US"/>
        </w:rPr>
        <w:tab/>
      </w:r>
      <w:r w:rsidR="00B90BB3" w:rsidRPr="00C0001A">
        <w:rPr>
          <w:sz w:val="22"/>
          <w:szCs w:val="22"/>
          <w:lang w:val="en-US"/>
        </w:rPr>
        <w:t xml:space="preserve"> </w:t>
      </w:r>
      <w:r w:rsidR="0081275A" w:rsidRPr="00C0001A">
        <w:rPr>
          <w:sz w:val="22"/>
          <w:szCs w:val="22"/>
          <w:lang w:val="en-US"/>
        </w:rPr>
        <w:t>COMUNICACIÓN</w:t>
      </w:r>
    </w:p>
    <w:p w14:paraId="2CA980B4" w14:textId="77777777" w:rsidR="007A3A2F" w:rsidRPr="00C0001A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539B07FF" w14:textId="77777777" w:rsidR="00C0001A" w:rsidRPr="00C0001A" w:rsidRDefault="00C0001A" w:rsidP="00C0001A">
      <w:pPr>
        <w:autoSpaceDE w:val="0"/>
        <w:autoSpaceDN w:val="0"/>
        <w:adjustRightInd w:val="0"/>
        <w:spacing w:line="300" w:lineRule="atLeast"/>
        <w:jc w:val="right"/>
        <w:textAlignment w:val="center"/>
        <w:rPr>
          <w:rFonts w:ascii="Titillium Lt" w:hAnsi="Titillium Lt" w:cs="Titillium Lt"/>
          <w:color w:val="000000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z w:val="22"/>
          <w:szCs w:val="22"/>
          <w:lang w:val="en-US"/>
        </w:rPr>
        <w:tab/>
        <w:t xml:space="preserve">Goetheanum, Dornach, Suiza, </w:t>
      </w: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17 de junio de </w:t>
      </w:r>
      <w:r w:rsidRPr="00C0001A">
        <w:rPr>
          <w:rFonts w:ascii="Titillium" w:hAnsi="Titillium" w:cs="Titillium"/>
          <w:color w:val="000000"/>
          <w:sz w:val="22"/>
          <w:szCs w:val="22"/>
          <w:lang w:val="en-US"/>
        </w:rPr>
        <w:t>2022</w:t>
      </w:r>
    </w:p>
    <w:p w14:paraId="7D8EA896" w14:textId="77777777" w:rsidR="00C0001A" w:rsidRPr="00C0001A" w:rsidRDefault="00C0001A" w:rsidP="00C0001A">
      <w:pPr>
        <w:autoSpaceDE w:val="0"/>
        <w:autoSpaceDN w:val="0"/>
        <w:adjustRightInd w:val="0"/>
        <w:spacing w:line="300" w:lineRule="atLeast"/>
        <w:textAlignment w:val="center"/>
        <w:rPr>
          <w:rFonts w:ascii="Titillium" w:hAnsi="Titillium" w:cs="Titillium"/>
          <w:color w:val="000000"/>
          <w:sz w:val="28"/>
          <w:szCs w:val="28"/>
          <w:lang w:val="en-US"/>
        </w:rPr>
      </w:pPr>
    </w:p>
    <w:p w14:paraId="64E6725C" w14:textId="77777777" w:rsidR="00C0001A" w:rsidRPr="00C0001A" w:rsidRDefault="00C0001A" w:rsidP="00C0001A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</w:pPr>
      <w:r w:rsidRPr="00C0001A"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  <w:t>Payasos en el Goetheanum</w:t>
      </w:r>
    </w:p>
    <w:p w14:paraId="77BE149A" w14:textId="77777777" w:rsidR="00C0001A" w:rsidRPr="00C0001A" w:rsidRDefault="00C0001A" w:rsidP="00C0001A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lang w:val="en-US"/>
        </w:rPr>
      </w:pPr>
      <w:r w:rsidRPr="00C0001A">
        <w:rPr>
          <w:rFonts w:ascii="Titillium" w:hAnsi="Titillium" w:cs="Titillium"/>
          <w:b/>
          <w:bCs/>
          <w:color w:val="000000"/>
          <w:lang w:val="en-US"/>
        </w:rPr>
        <w:t>La Sección de Artes de la Palabra y de la Música abre un espacio para los payasos</w:t>
      </w:r>
    </w:p>
    <w:p w14:paraId="52294856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b/>
          <w:bCs/>
          <w:color w:val="000000"/>
          <w:sz w:val="22"/>
          <w:szCs w:val="22"/>
          <w:lang w:val="en-US"/>
        </w:rPr>
      </w:pPr>
    </w:p>
    <w:p w14:paraId="14C8F6C4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b/>
          <w:bCs/>
          <w:color w:val="000000"/>
          <w:sz w:val="22"/>
          <w:szCs w:val="22"/>
          <w:lang w:val="en-US"/>
        </w:rPr>
      </w:pPr>
      <w:r w:rsidRPr="00C0001A">
        <w:rPr>
          <w:rFonts w:ascii="Titillium" w:hAnsi="Titillium" w:cs="Titillium"/>
          <w:b/>
          <w:bCs/>
          <w:color w:val="000000"/>
          <w:spacing w:val="-1"/>
          <w:sz w:val="22"/>
          <w:szCs w:val="22"/>
          <w:lang w:val="en-US"/>
        </w:rPr>
        <w:t>Ha llegado al Goetheanum el payaso como persona en proceso de desarrollo. Este verano los payasos Vanilli y Topolino actuaron en el Goetheanum: con un curso para adultos en junio y ofertas para toda la familia en agosto.</w:t>
      </w:r>
    </w:p>
    <w:p w14:paraId="7CAF89C7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7545898E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La región de Dornach-Arlesheim cuenta con un número extraordinario de payasos de teatro. El particular humorismo del dúo Vanilli y Topolino demuestra que cuesta muy poco abrir la puerta que lleva de la sobriedad de la vida cotidiana a la alegría de vivir.</w:t>
      </w:r>
    </w:p>
    <w:p w14:paraId="07BB0CF1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2DEC32DF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«Apenas hay unos milímetros para entrar en el salir de lo cotidiano», afirma Sebastian Jüngel, alias Topolino. «El arte del clowning tiene un ritmo que se acerca a lo familiar, pero al mismo tiempo se aleja un poco de lo habitual.» Para Sebastian Jüngel, ser payaso significa, entre otras cosas, el manejo atento de los objetos que sorprende a los demás, así como el manejo del tiempo, alternando entre descanso y movimiento.</w:t>
      </w:r>
    </w:p>
    <w:p w14:paraId="59686D20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162F55D8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«La Sección de Artes de la Palabra y de la Música en el Goetheanum ve en el clowning un elemento realmente enriquecedor», dice el director de la Sección, Stefan Hasler, «porque el clown muestra a un ser humano que está en un camino de aprendizaje, que nunca se desanima por fracasos o derrotas. Todo lo contrario.» Stefan Hasler apoya al grupo de trabajo ‹Clown› afiliado a la Sección y a la revista ‹red nose›. La Sección abarca todas las ramas de las artes escénicas.</w:t>
      </w:r>
    </w:p>
    <w:p w14:paraId="30FD048E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75A48131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Vanilli y Topolino también participarán en el Festival Familiar del Goetheanum a principios de agosto.</w:t>
      </w:r>
    </w:p>
    <w:p w14:paraId="42FD2B30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C0001A">
        <w:rPr>
          <w:rFonts w:ascii="Titillium" w:hAnsi="Titillium" w:cs="Titillium"/>
          <w:color w:val="000000"/>
          <w:sz w:val="22"/>
          <w:szCs w:val="22"/>
          <w:lang w:val="en-US"/>
        </w:rPr>
        <w:t>(1471 caracteres/SJ; traducido por Michael Kranawetvogl)</w:t>
      </w:r>
    </w:p>
    <w:p w14:paraId="056EA9FB" w14:textId="77777777" w:rsidR="00C0001A" w:rsidRPr="00C0001A" w:rsidRDefault="00C0001A" w:rsidP="00C0001A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 xml:space="preserve">Festival familiar </w:t>
      </w: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Del 4 al 7 de agosto de 2022, Goetheanum </w:t>
      </w:r>
    </w:p>
    <w:p w14:paraId="017BB7FC" w14:textId="77777777" w:rsidR="00C0001A" w:rsidRPr="00C0001A" w:rsidRDefault="00C0001A" w:rsidP="00C0001A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Web (en alemán y en francés)</w:t>
      </w: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socialnew.goetheanum.org/event/familien-festival</w:t>
      </w:r>
    </w:p>
    <w:p w14:paraId="024E0210" w14:textId="77777777" w:rsidR="00C0001A" w:rsidRPr="00C0001A" w:rsidRDefault="00C0001A" w:rsidP="00C0001A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C0001A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 xml:space="preserve">Revista ‹red nose› (en alemán y en inglés) </w:t>
      </w:r>
      <w:r w:rsidRPr="00C0001A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br/>
      </w: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srmk.goetheanum.org/projekte/arbeitskreis-clown</w:t>
      </w:r>
    </w:p>
    <w:p w14:paraId="7DBB424B" w14:textId="5851BA74" w:rsidR="006E7E7B" w:rsidRPr="00C0001A" w:rsidRDefault="00C0001A" w:rsidP="00C0001A">
      <w:pPr>
        <w:autoSpaceDE w:val="0"/>
        <w:autoSpaceDN w:val="0"/>
        <w:adjustRightInd w:val="0"/>
        <w:spacing w:before="340" w:line="288" w:lineRule="auto"/>
        <w:textAlignment w:val="center"/>
        <w:rPr>
          <w:lang w:val="en-US"/>
        </w:rPr>
      </w:pPr>
      <w:r w:rsidRPr="00C0001A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Contacto</w:t>
      </w:r>
      <w:r w:rsidRPr="00C0001A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Hanna Koskinen, srmk@goetheanum.ch</w:t>
      </w:r>
    </w:p>
    <w:sectPr w:rsidR="006E7E7B" w:rsidRPr="00C0001A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ourier New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Courier New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6E7E7B"/>
    <w:rsid w:val="006F57DB"/>
    <w:rsid w:val="007A3A2F"/>
    <w:rsid w:val="0081275A"/>
    <w:rsid w:val="00B90BB3"/>
    <w:rsid w:val="00C0001A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5</cp:revision>
  <dcterms:created xsi:type="dcterms:W3CDTF">2020-10-31T17:28:00Z</dcterms:created>
  <dcterms:modified xsi:type="dcterms:W3CDTF">2022-06-17T08:16:00Z</dcterms:modified>
</cp:coreProperties>
</file>