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06" w:rsidRPr="00C14495" w:rsidRDefault="00ED3706" w:rsidP="00C14495">
      <w:pPr>
        <w:jc w:val="center"/>
        <w:rPr>
          <w:b/>
          <w:sz w:val="32"/>
        </w:rPr>
      </w:pPr>
      <w:r w:rsidRPr="00ED3706">
        <w:rPr>
          <w:b/>
          <w:sz w:val="32"/>
        </w:rPr>
        <w:t>Statistik 201</w:t>
      </w:r>
      <w:r w:rsidR="00BD6498">
        <w:rPr>
          <w:b/>
          <w:sz w:val="32"/>
        </w:rPr>
        <w:t>3</w:t>
      </w:r>
      <w:r w:rsidRPr="00ED3706">
        <w:rPr>
          <w:b/>
          <w:sz w:val="32"/>
        </w:rPr>
        <w:t xml:space="preserve"> </w:t>
      </w:r>
      <w:r w:rsidR="001B7F99">
        <w:rPr>
          <w:b/>
          <w:sz w:val="32"/>
        </w:rPr>
        <w:t>maj</w:t>
      </w:r>
    </w:p>
    <w:p w:rsidR="00ED3706" w:rsidRDefault="00ED3706"/>
    <w:p w:rsidR="00710241" w:rsidRDefault="00DF0CA9">
      <w:r w:rsidRPr="00DF0CA9">
        <w:rPr>
          <w:noProof/>
          <w:lang w:eastAsia="sv-SE"/>
        </w:rPr>
        <w:drawing>
          <wp:inline distT="0" distB="0" distL="0" distR="0">
            <wp:extent cx="5760720" cy="2327929"/>
            <wp:effectExtent l="19050" t="0" r="11430" b="0"/>
            <wp:docPr id="10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10241" w:rsidRDefault="00710241"/>
    <w:p w:rsidR="003427EF" w:rsidRDefault="00CB38DB">
      <w:r w:rsidRPr="00CB38DB">
        <w:rPr>
          <w:noProof/>
          <w:lang w:eastAsia="sv-SE"/>
        </w:rPr>
        <w:drawing>
          <wp:inline distT="0" distB="0" distL="0" distR="0">
            <wp:extent cx="5760720" cy="2349364"/>
            <wp:effectExtent l="19050" t="0" r="11430" b="0"/>
            <wp:docPr id="4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A3A47" w:rsidRDefault="002A3A47"/>
    <w:p w:rsidR="00BD6498" w:rsidRDefault="00CB38DB">
      <w:r w:rsidRPr="00CB38DB">
        <w:rPr>
          <w:noProof/>
          <w:lang w:eastAsia="sv-SE"/>
        </w:rPr>
        <w:drawing>
          <wp:inline distT="0" distB="0" distL="0" distR="0">
            <wp:extent cx="5760720" cy="2350589"/>
            <wp:effectExtent l="19050" t="0" r="11430" b="0"/>
            <wp:docPr id="5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427EF" w:rsidRDefault="003427EF"/>
    <w:p w:rsidR="00BD6498" w:rsidRDefault="00BD6498"/>
    <w:p w:rsidR="00BD6498" w:rsidRDefault="00BD6498"/>
    <w:p w:rsidR="00BD6498" w:rsidRDefault="00BD6498"/>
    <w:p w:rsidR="00BD6498" w:rsidRDefault="00BD6498"/>
    <w:p w:rsidR="00BD6498" w:rsidRDefault="006946EC">
      <w:r w:rsidRPr="006946EC">
        <w:lastRenderedPageBreak/>
        <w:drawing>
          <wp:inline distT="0" distB="0" distL="0" distR="0">
            <wp:extent cx="5760720" cy="2407547"/>
            <wp:effectExtent l="19050" t="0" r="1143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D6498" w:rsidSect="00820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3427EF"/>
    <w:rsid w:val="00043B56"/>
    <w:rsid w:val="000528B6"/>
    <w:rsid w:val="0005398F"/>
    <w:rsid w:val="0009798E"/>
    <w:rsid w:val="001509E3"/>
    <w:rsid w:val="00193719"/>
    <w:rsid w:val="001A3AE1"/>
    <w:rsid w:val="001B7F99"/>
    <w:rsid w:val="001C70DA"/>
    <w:rsid w:val="00295C37"/>
    <w:rsid w:val="002962A8"/>
    <w:rsid w:val="002A3A47"/>
    <w:rsid w:val="002B1909"/>
    <w:rsid w:val="002E259D"/>
    <w:rsid w:val="002E6D24"/>
    <w:rsid w:val="002F2B81"/>
    <w:rsid w:val="002F5F54"/>
    <w:rsid w:val="00300D91"/>
    <w:rsid w:val="003427EF"/>
    <w:rsid w:val="00346E57"/>
    <w:rsid w:val="00375652"/>
    <w:rsid w:val="00390CE7"/>
    <w:rsid w:val="003A6EFF"/>
    <w:rsid w:val="003B06B3"/>
    <w:rsid w:val="003B3BF2"/>
    <w:rsid w:val="003D166C"/>
    <w:rsid w:val="00453E72"/>
    <w:rsid w:val="0046054F"/>
    <w:rsid w:val="00460943"/>
    <w:rsid w:val="0047480E"/>
    <w:rsid w:val="004A2FBC"/>
    <w:rsid w:val="004B069A"/>
    <w:rsid w:val="00522CBC"/>
    <w:rsid w:val="00566BFB"/>
    <w:rsid w:val="00577117"/>
    <w:rsid w:val="0059015C"/>
    <w:rsid w:val="005C385E"/>
    <w:rsid w:val="006241FA"/>
    <w:rsid w:val="006347A6"/>
    <w:rsid w:val="0064223C"/>
    <w:rsid w:val="006469DF"/>
    <w:rsid w:val="006946EC"/>
    <w:rsid w:val="00710241"/>
    <w:rsid w:val="00734CC6"/>
    <w:rsid w:val="007D01EE"/>
    <w:rsid w:val="007E6B9D"/>
    <w:rsid w:val="00820E71"/>
    <w:rsid w:val="00856D58"/>
    <w:rsid w:val="00870855"/>
    <w:rsid w:val="008C1D11"/>
    <w:rsid w:val="008C739A"/>
    <w:rsid w:val="008E69EA"/>
    <w:rsid w:val="00934010"/>
    <w:rsid w:val="0099065F"/>
    <w:rsid w:val="00992F97"/>
    <w:rsid w:val="009943AD"/>
    <w:rsid w:val="0099671A"/>
    <w:rsid w:val="009D1ACF"/>
    <w:rsid w:val="00A84A72"/>
    <w:rsid w:val="00A84B7C"/>
    <w:rsid w:val="00AB2C65"/>
    <w:rsid w:val="00AB5BE3"/>
    <w:rsid w:val="00B14363"/>
    <w:rsid w:val="00B364C8"/>
    <w:rsid w:val="00B421FB"/>
    <w:rsid w:val="00B5251A"/>
    <w:rsid w:val="00B907F4"/>
    <w:rsid w:val="00BD6498"/>
    <w:rsid w:val="00BE041C"/>
    <w:rsid w:val="00C14495"/>
    <w:rsid w:val="00CA65D7"/>
    <w:rsid w:val="00CB38DB"/>
    <w:rsid w:val="00CF509A"/>
    <w:rsid w:val="00D36C81"/>
    <w:rsid w:val="00D40B09"/>
    <w:rsid w:val="00D44373"/>
    <w:rsid w:val="00D519B1"/>
    <w:rsid w:val="00DC025D"/>
    <w:rsid w:val="00DC096A"/>
    <w:rsid w:val="00DD2AB4"/>
    <w:rsid w:val="00DF0CA9"/>
    <w:rsid w:val="00E1653F"/>
    <w:rsid w:val="00E24FE1"/>
    <w:rsid w:val="00E45F44"/>
    <w:rsid w:val="00EC6EEA"/>
    <w:rsid w:val="00ED3706"/>
    <w:rsid w:val="00EF42A3"/>
    <w:rsid w:val="00F339B4"/>
    <w:rsid w:val="00F35E98"/>
    <w:rsid w:val="00FB7770"/>
    <w:rsid w:val="00FC1FBA"/>
    <w:rsid w:val="00FF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sz w:val="26"/>
        <w:szCs w:val="26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7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427E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2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bcafp01\users$\jonram\My%20Documents\BCA\F&#246;rs&#228;ljning\Marknadsf&#246;ring\PR\2013\2013%20Diagram%20och%20statistik%20till%20Pressreal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bcafp01\users$\jonram\My%20Documents\BCA\F&#246;rs&#228;ljning\Marknadsf&#246;ring\PR\2013\2013%20Diagram%20och%20statistik%20till%20Pressreale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bcafp01\users$\jonram\My%20Documents\BCA\F&#246;rs&#228;ljning\Marknadsf&#246;ring\PR\2013\2013%20Diagram%20och%20statistik%20till%20Pressreal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bcafp01\users$\jonram\My%20Documents\BCA\F&#246;rs&#228;ljning\Marknadsf&#246;ring\PR\2013\1301%20Privatmarknaden%20statistik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v-SE"/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Sålda begagnade Personbilar i Sverige - Totalt</a:t>
            </a:r>
            <a:endParaRPr lang="sv-SE" sz="1600"/>
          </a:p>
        </c:rich>
      </c:tx>
      <c:layout/>
    </c:title>
    <c:plotArea>
      <c:layout>
        <c:manualLayout>
          <c:layoutTarget val="inner"/>
          <c:xMode val="edge"/>
          <c:yMode val="edge"/>
          <c:x val="0.14908501020705742"/>
          <c:y val="0.19846954095249494"/>
          <c:w val="0.87189934539541025"/>
          <c:h val="0.46350339722560291"/>
        </c:manualLayout>
      </c:layout>
      <c:lineChart>
        <c:grouping val="standard"/>
        <c:ser>
          <c:idx val="0"/>
          <c:order val="0"/>
          <c:tx>
            <c:strRef>
              <c:f>Blad1!$A$7</c:f>
              <c:strCache>
                <c:ptCount val="1"/>
                <c:pt idx="0">
                  <c:v>År 2011</c:v>
                </c:pt>
              </c:strCache>
            </c:strRef>
          </c:tx>
          <c:marker>
            <c:symbol val="none"/>
          </c:marker>
          <c:cat>
            <c:strRef>
              <c:f>Blad1!$B$4:$M$4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Blad1!$B$7:$M$7</c:f>
              <c:numCache>
                <c:formatCode>General</c:formatCode>
                <c:ptCount val="12"/>
                <c:pt idx="0">
                  <c:v>66086</c:v>
                </c:pt>
                <c:pt idx="1">
                  <c:v>66568</c:v>
                </c:pt>
                <c:pt idx="2">
                  <c:v>80305</c:v>
                </c:pt>
                <c:pt idx="3">
                  <c:v>85052</c:v>
                </c:pt>
                <c:pt idx="4">
                  <c:v>94139</c:v>
                </c:pt>
                <c:pt idx="5">
                  <c:v>86508</c:v>
                </c:pt>
                <c:pt idx="6">
                  <c:v>89727</c:v>
                </c:pt>
                <c:pt idx="7">
                  <c:v>91122</c:v>
                </c:pt>
                <c:pt idx="8">
                  <c:v>92332</c:v>
                </c:pt>
                <c:pt idx="9">
                  <c:v>90233</c:v>
                </c:pt>
                <c:pt idx="10">
                  <c:v>83548</c:v>
                </c:pt>
                <c:pt idx="11">
                  <c:v>71411</c:v>
                </c:pt>
              </c:numCache>
            </c:numRef>
          </c:val>
        </c:ser>
        <c:ser>
          <c:idx val="2"/>
          <c:order val="1"/>
          <c:tx>
            <c:strRef>
              <c:f>Blad1!$A$6</c:f>
              <c:strCache>
                <c:ptCount val="1"/>
                <c:pt idx="0">
                  <c:v>År 2012</c:v>
                </c:pt>
              </c:strCache>
            </c:strRef>
          </c:tx>
          <c:marker>
            <c:symbol val="none"/>
          </c:marker>
          <c:val>
            <c:numRef>
              <c:f>Blad1!$B$6:$M$6</c:f>
              <c:numCache>
                <c:formatCode>0</c:formatCode>
                <c:ptCount val="12"/>
                <c:pt idx="0" formatCode="General">
                  <c:v>71367</c:v>
                </c:pt>
                <c:pt idx="1">
                  <c:v>71837</c:v>
                </c:pt>
                <c:pt idx="2">
                  <c:v>84844</c:v>
                </c:pt>
                <c:pt idx="3">
                  <c:v>78948</c:v>
                </c:pt>
                <c:pt idx="4">
                  <c:v>88881</c:v>
                </c:pt>
                <c:pt idx="5">
                  <c:v>89086</c:v>
                </c:pt>
                <c:pt idx="6">
                  <c:v>88333</c:v>
                </c:pt>
                <c:pt idx="7">
                  <c:v>90488</c:v>
                </c:pt>
                <c:pt idx="8">
                  <c:v>88283</c:v>
                </c:pt>
                <c:pt idx="9">
                  <c:v>94108</c:v>
                </c:pt>
                <c:pt idx="10">
                  <c:v>83987</c:v>
                </c:pt>
                <c:pt idx="11">
                  <c:v>61103</c:v>
                </c:pt>
              </c:numCache>
            </c:numRef>
          </c:val>
        </c:ser>
        <c:ser>
          <c:idx val="1"/>
          <c:order val="2"/>
          <c:tx>
            <c:strRef>
              <c:f>Blad1!$A$5</c:f>
              <c:strCache>
                <c:ptCount val="1"/>
                <c:pt idx="0">
                  <c:v>År 2013</c:v>
                </c:pt>
              </c:strCache>
            </c:strRef>
          </c:tx>
          <c:marker>
            <c:symbol val="none"/>
          </c:marker>
          <c:val>
            <c:numRef>
              <c:f>Blad1!$B$5:$M$5</c:f>
              <c:numCache>
                <c:formatCode>General</c:formatCode>
                <c:ptCount val="12"/>
                <c:pt idx="0">
                  <c:v>75152</c:v>
                </c:pt>
                <c:pt idx="1">
                  <c:v>69393</c:v>
                </c:pt>
                <c:pt idx="2">
                  <c:v>77465</c:v>
                </c:pt>
                <c:pt idx="3">
                  <c:v>87803</c:v>
                </c:pt>
                <c:pt idx="4">
                  <c:v>91257</c:v>
                </c:pt>
              </c:numCache>
            </c:numRef>
          </c:val>
        </c:ser>
        <c:marker val="1"/>
        <c:axId val="43543168"/>
        <c:axId val="43577728"/>
      </c:lineChart>
      <c:catAx>
        <c:axId val="43543168"/>
        <c:scaling>
          <c:orientation val="minMax"/>
        </c:scaling>
        <c:axPos val="b"/>
        <c:numFmt formatCode="mmm/yy" sourceLinked="1"/>
        <c:majorTickMark val="none"/>
        <c:tickLblPos val="nextTo"/>
        <c:crossAx val="43577728"/>
        <c:crosses val="autoZero"/>
        <c:auto val="1"/>
        <c:lblAlgn val="ctr"/>
        <c:lblOffset val="100"/>
      </c:catAx>
      <c:valAx>
        <c:axId val="4357772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 b="1" i="0" baseline="0"/>
                  <a:t>Antal fordon</a:t>
                </a:r>
                <a:endParaRPr lang="sv-SE" sz="1200"/>
              </a:p>
            </c:rich>
          </c:tx>
          <c:layout/>
        </c:title>
        <c:numFmt formatCode="General" sourceLinked="1"/>
        <c:majorTickMark val="none"/>
        <c:tickLblPos val="nextTo"/>
        <c:crossAx val="4354316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sv-SE"/>
          </a:p>
        </c:txPr>
      </c:dTable>
    </c:plotArea>
    <c:plotVisOnly val="1"/>
  </c:chart>
  <c:spPr>
    <a:ln w="12700">
      <a:solidFill>
        <a:schemeClr val="accent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v-SE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 b="1" i="0" baseline="0"/>
              <a:t>Sålda begagnade Personbilar i Sverige - Bilhandel</a:t>
            </a:r>
            <a:endParaRPr lang="sv-SE" sz="1600"/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Blad1!$A$40</c:f>
              <c:strCache>
                <c:ptCount val="1"/>
                <c:pt idx="0">
                  <c:v>År 2011</c:v>
                </c:pt>
              </c:strCache>
            </c:strRef>
          </c:tx>
          <c:marker>
            <c:symbol val="none"/>
          </c:marker>
          <c:cat>
            <c:strRef>
              <c:f>Blad1!$B$37:$M$37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Blad1!$B$40:$M$40</c:f>
              <c:numCache>
                <c:formatCode>General</c:formatCode>
                <c:ptCount val="12"/>
                <c:pt idx="0">
                  <c:v>27014</c:v>
                </c:pt>
                <c:pt idx="1">
                  <c:v>28024</c:v>
                </c:pt>
                <c:pt idx="2">
                  <c:v>32081</c:v>
                </c:pt>
                <c:pt idx="3">
                  <c:v>31309</c:v>
                </c:pt>
                <c:pt idx="4">
                  <c:v>34036</c:v>
                </c:pt>
                <c:pt idx="5">
                  <c:v>31548</c:v>
                </c:pt>
                <c:pt idx="6">
                  <c:v>34463</c:v>
                </c:pt>
                <c:pt idx="7">
                  <c:v>32485</c:v>
                </c:pt>
                <c:pt idx="8">
                  <c:v>33167</c:v>
                </c:pt>
                <c:pt idx="9">
                  <c:v>31575</c:v>
                </c:pt>
                <c:pt idx="10">
                  <c:v>29264</c:v>
                </c:pt>
                <c:pt idx="11">
                  <c:v>26884</c:v>
                </c:pt>
              </c:numCache>
            </c:numRef>
          </c:val>
        </c:ser>
        <c:ser>
          <c:idx val="2"/>
          <c:order val="1"/>
          <c:tx>
            <c:strRef>
              <c:f>Blad1!$A$39</c:f>
              <c:strCache>
                <c:ptCount val="1"/>
                <c:pt idx="0">
                  <c:v>År 2012</c:v>
                </c:pt>
              </c:strCache>
            </c:strRef>
          </c:tx>
          <c:marker>
            <c:symbol val="none"/>
          </c:marker>
          <c:val>
            <c:numRef>
              <c:f>Blad1!$B$39:$M$39</c:f>
              <c:numCache>
                <c:formatCode>0</c:formatCode>
                <c:ptCount val="12"/>
                <c:pt idx="0">
                  <c:v>29209</c:v>
                </c:pt>
                <c:pt idx="1">
                  <c:v>30397</c:v>
                </c:pt>
                <c:pt idx="2">
                  <c:v>34618</c:v>
                </c:pt>
                <c:pt idx="3">
                  <c:v>30976</c:v>
                </c:pt>
                <c:pt idx="4">
                  <c:v>33827</c:v>
                </c:pt>
                <c:pt idx="5">
                  <c:v>33205</c:v>
                </c:pt>
                <c:pt idx="6">
                  <c:v>34904</c:v>
                </c:pt>
                <c:pt idx="7">
                  <c:v>34035</c:v>
                </c:pt>
                <c:pt idx="8">
                  <c:v>31087</c:v>
                </c:pt>
                <c:pt idx="9">
                  <c:v>34197</c:v>
                </c:pt>
                <c:pt idx="10">
                  <c:v>31210</c:v>
                </c:pt>
                <c:pt idx="11">
                  <c:v>23895</c:v>
                </c:pt>
              </c:numCache>
            </c:numRef>
          </c:val>
        </c:ser>
        <c:ser>
          <c:idx val="1"/>
          <c:order val="2"/>
          <c:tx>
            <c:strRef>
              <c:f>Blad1!$A$38</c:f>
              <c:strCache>
                <c:ptCount val="1"/>
                <c:pt idx="0">
                  <c:v>År 2013</c:v>
                </c:pt>
              </c:strCache>
            </c:strRef>
          </c:tx>
          <c:marker>
            <c:symbol val="none"/>
          </c:marker>
          <c:val>
            <c:numRef>
              <c:f>Blad1!$B$38:$M$38</c:f>
              <c:numCache>
                <c:formatCode>General</c:formatCode>
                <c:ptCount val="12"/>
                <c:pt idx="0">
                  <c:v>31570</c:v>
                </c:pt>
                <c:pt idx="1">
                  <c:v>30190</c:v>
                </c:pt>
                <c:pt idx="2">
                  <c:v>32719</c:v>
                </c:pt>
                <c:pt idx="3">
                  <c:v>37412</c:v>
                </c:pt>
                <c:pt idx="4">
                  <c:v>34873</c:v>
                </c:pt>
              </c:numCache>
            </c:numRef>
          </c:val>
        </c:ser>
        <c:marker val="1"/>
        <c:axId val="77737984"/>
        <c:axId val="77739520"/>
      </c:lineChart>
      <c:catAx>
        <c:axId val="77737984"/>
        <c:scaling>
          <c:orientation val="minMax"/>
        </c:scaling>
        <c:axPos val="b"/>
        <c:numFmt formatCode="General" sourceLinked="1"/>
        <c:majorTickMark val="none"/>
        <c:tickLblPos val="nextTo"/>
        <c:crossAx val="77739520"/>
        <c:crosses val="autoZero"/>
        <c:auto val="1"/>
        <c:lblAlgn val="ctr"/>
        <c:lblOffset val="100"/>
      </c:catAx>
      <c:valAx>
        <c:axId val="7773952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 b="1" i="0" baseline="0"/>
                  <a:t>Antal fordon</a:t>
                </a:r>
                <a:endParaRPr lang="sv-SE" sz="1200"/>
              </a:p>
            </c:rich>
          </c:tx>
          <c:layout/>
        </c:title>
        <c:numFmt formatCode="General" sourceLinked="1"/>
        <c:majorTickMark val="none"/>
        <c:tickLblPos val="nextTo"/>
        <c:crossAx val="777379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sv-SE"/>
          </a:p>
        </c:txPr>
      </c:dTable>
    </c:plotArea>
    <c:plotVisOnly val="1"/>
  </c:chart>
  <c:spPr>
    <a:ln w="12700">
      <a:solidFill>
        <a:schemeClr val="accent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v-SE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/>
              <a:t>Sålda begagnade Personbilar i Sverige - Privatpersoner</a:t>
            </a:r>
            <a:endParaRPr lang="sv-SE" sz="1400" b="1" i="0" baseline="0"/>
          </a:p>
        </c:rich>
      </c:tx>
      <c:layout/>
    </c:title>
    <c:plotArea>
      <c:layout>
        <c:manualLayout>
          <c:layoutTarget val="inner"/>
          <c:xMode val="edge"/>
          <c:yMode val="edge"/>
          <c:x val="0.16010793789665181"/>
          <c:y val="0.17393300147324786"/>
          <c:w val="0.81564162118624062"/>
          <c:h val="0.4627861357302363"/>
        </c:manualLayout>
      </c:layout>
      <c:lineChart>
        <c:grouping val="standard"/>
        <c:ser>
          <c:idx val="0"/>
          <c:order val="0"/>
          <c:tx>
            <c:strRef>
              <c:f>Blad1!$A$71</c:f>
              <c:strCache>
                <c:ptCount val="1"/>
                <c:pt idx="0">
                  <c:v>År 2011</c:v>
                </c:pt>
              </c:strCache>
            </c:strRef>
          </c:tx>
          <c:marker>
            <c:symbol val="none"/>
          </c:marker>
          <c:cat>
            <c:strRef>
              <c:f>Blad1!$B$68:$M$68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Blad1!$B$71:$M$71</c:f>
              <c:numCache>
                <c:formatCode>General</c:formatCode>
                <c:ptCount val="12"/>
                <c:pt idx="0">
                  <c:v>36209</c:v>
                </c:pt>
                <c:pt idx="1">
                  <c:v>35594</c:v>
                </c:pt>
                <c:pt idx="2">
                  <c:v>44863</c:v>
                </c:pt>
                <c:pt idx="3">
                  <c:v>50603</c:v>
                </c:pt>
                <c:pt idx="4">
                  <c:v>56427</c:v>
                </c:pt>
                <c:pt idx="5">
                  <c:v>51624</c:v>
                </c:pt>
                <c:pt idx="6">
                  <c:v>52352</c:v>
                </c:pt>
                <c:pt idx="7">
                  <c:v>55707</c:v>
                </c:pt>
                <c:pt idx="8">
                  <c:v>55923</c:v>
                </c:pt>
                <c:pt idx="9">
                  <c:v>55427</c:v>
                </c:pt>
                <c:pt idx="10">
                  <c:v>50974</c:v>
                </c:pt>
                <c:pt idx="11">
                  <c:v>41210</c:v>
                </c:pt>
              </c:numCache>
            </c:numRef>
          </c:val>
        </c:ser>
        <c:ser>
          <c:idx val="2"/>
          <c:order val="1"/>
          <c:tx>
            <c:strRef>
              <c:f>Blad1!$A$70</c:f>
              <c:strCache>
                <c:ptCount val="1"/>
                <c:pt idx="0">
                  <c:v>År 2012</c:v>
                </c:pt>
              </c:strCache>
            </c:strRef>
          </c:tx>
          <c:marker>
            <c:symbol val="none"/>
          </c:marker>
          <c:val>
            <c:numRef>
              <c:f>Blad1!$B$70:$M$70</c:f>
              <c:numCache>
                <c:formatCode>0</c:formatCode>
                <c:ptCount val="12"/>
                <c:pt idx="0">
                  <c:v>39082</c:v>
                </c:pt>
                <c:pt idx="1">
                  <c:v>38476</c:v>
                </c:pt>
                <c:pt idx="2">
                  <c:v>46818</c:v>
                </c:pt>
                <c:pt idx="3">
                  <c:v>44906</c:v>
                </c:pt>
                <c:pt idx="4">
                  <c:v>51897</c:v>
                </c:pt>
                <c:pt idx="5">
                  <c:v>52591</c:v>
                </c:pt>
                <c:pt idx="6">
                  <c:v>50549</c:v>
                </c:pt>
                <c:pt idx="7">
                  <c:v>53631</c:v>
                </c:pt>
                <c:pt idx="8">
                  <c:v>54108</c:v>
                </c:pt>
                <c:pt idx="9">
                  <c:v>56482</c:v>
                </c:pt>
                <c:pt idx="10">
                  <c:v>49690</c:v>
                </c:pt>
                <c:pt idx="11">
                  <c:v>34586</c:v>
                </c:pt>
              </c:numCache>
            </c:numRef>
          </c:val>
        </c:ser>
        <c:ser>
          <c:idx val="1"/>
          <c:order val="2"/>
          <c:tx>
            <c:strRef>
              <c:f>Blad1!$A$69</c:f>
              <c:strCache>
                <c:ptCount val="1"/>
                <c:pt idx="0">
                  <c:v>År 2013</c:v>
                </c:pt>
              </c:strCache>
            </c:strRef>
          </c:tx>
          <c:marker>
            <c:symbol val="none"/>
          </c:marker>
          <c:cat>
            <c:strRef>
              <c:f>Blad1!$B$68:$M$68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Blad1!$B$69:$M$69</c:f>
              <c:numCache>
                <c:formatCode>General</c:formatCode>
                <c:ptCount val="12"/>
                <c:pt idx="0">
                  <c:v>40545</c:v>
                </c:pt>
                <c:pt idx="1">
                  <c:v>36410</c:v>
                </c:pt>
                <c:pt idx="2">
                  <c:v>41649</c:v>
                </c:pt>
                <c:pt idx="3">
                  <c:v>49572</c:v>
                </c:pt>
                <c:pt idx="4">
                  <c:v>52891</c:v>
                </c:pt>
              </c:numCache>
            </c:numRef>
          </c:val>
        </c:ser>
        <c:marker val="1"/>
        <c:axId val="78397824"/>
        <c:axId val="78399360"/>
      </c:lineChart>
      <c:catAx>
        <c:axId val="78397824"/>
        <c:scaling>
          <c:orientation val="minMax"/>
        </c:scaling>
        <c:axPos val="b"/>
        <c:numFmt formatCode="mmm/yy" sourceLinked="1"/>
        <c:majorTickMark val="none"/>
        <c:tickLblPos val="nextTo"/>
        <c:crossAx val="78399360"/>
        <c:crosses val="autoZero"/>
        <c:auto val="1"/>
        <c:lblAlgn val="ctr"/>
        <c:lblOffset val="100"/>
      </c:catAx>
      <c:valAx>
        <c:axId val="7839936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 i="0" baseline="0"/>
                  <a:t>Antal fordon</a:t>
                </a:r>
                <a:endParaRPr lang="sv-SE" sz="700"/>
              </a:p>
            </c:rich>
          </c:tx>
          <c:layout/>
        </c:title>
        <c:numFmt formatCode="General" sourceLinked="1"/>
        <c:majorTickMark val="none"/>
        <c:tickLblPos val="nextTo"/>
        <c:crossAx val="7839782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sv-SE"/>
          </a:p>
        </c:txPr>
      </c:dTable>
    </c:plotArea>
    <c:plotVisOnly val="1"/>
  </c:chart>
  <c:spPr>
    <a:ln w="12700">
      <a:solidFill>
        <a:srgbClr val="4F81BD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v-SE"/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Andel av försäljning till Privatpersoner</a:t>
            </a:r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UTV!$A$4</c:f>
              <c:strCache>
                <c:ptCount val="1"/>
                <c:pt idx="0">
                  <c:v>Privat</c:v>
                </c:pt>
              </c:strCache>
            </c:strRef>
          </c:tx>
          <c:marker>
            <c:symbol val="none"/>
          </c:marker>
          <c:cat>
            <c:numRef>
              <c:f>(UTV!$B$2;UTV!$D$2;UTV!$F$2;UTV!$H$2;UTV!$J$2;UTV!$L$2;UTV!$N$2;UTV!$P$2;UTV!$R$2;UTV!$T$2;UTV!$V$2;UTV!$X$2;UTV!$Z$2;UTV!$AB$2)</c:f>
              <c:numCache>
                <c:formatCode>0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(UTV!$C$4;UTV!$E$4;UTV!$G$4;UTV!$I$4;UTV!$K$4;UTV!$M$4;UTV!$O$4;UTV!$Q$4;UTV!$S$4;UTV!$U$4;UTV!$W$4;UTV!$Y$4;UTV!$AA$4;UTV!$AC$4)</c:f>
              <c:numCache>
                <c:formatCode>0.0%</c:formatCode>
                <c:ptCount val="14"/>
                <c:pt idx="0">
                  <c:v>0.62985926092733568</c:v>
                </c:pt>
                <c:pt idx="1">
                  <c:v>0.61898731748498625</c:v>
                </c:pt>
                <c:pt idx="2">
                  <c:v>0.61909497811811831</c:v>
                </c:pt>
                <c:pt idx="3">
                  <c:v>0.61878965838286903</c:v>
                </c:pt>
                <c:pt idx="4">
                  <c:v>0.61909233470744551</c:v>
                </c:pt>
                <c:pt idx="5">
                  <c:v>0.6149577845577574</c:v>
                </c:pt>
                <c:pt idx="6">
                  <c:v>0.617877417674771</c:v>
                </c:pt>
                <c:pt idx="7">
                  <c:v>0.62349336385434218</c:v>
                </c:pt>
                <c:pt idx="8">
                  <c:v>0.61548958311910007</c:v>
                </c:pt>
                <c:pt idx="9">
                  <c:v>0.60194131029541764</c:v>
                </c:pt>
                <c:pt idx="10">
                  <c:v>0.59938503997861725</c:v>
                </c:pt>
                <c:pt idx="11">
                  <c:v>0.59033277901715653</c:v>
                </c:pt>
                <c:pt idx="12">
                  <c:v>0.57786305593049692</c:v>
                </c:pt>
                <c:pt idx="13">
                  <c:v>0.55119305856832967</c:v>
                </c:pt>
              </c:numCache>
            </c:numRef>
          </c:val>
        </c:ser>
        <c:ser>
          <c:idx val="1"/>
          <c:order val="1"/>
          <c:tx>
            <c:strRef>
              <c:f>UTV!$A$5</c:f>
              <c:strCache>
                <c:ptCount val="1"/>
                <c:pt idx="0">
                  <c:v>Bilhandel</c:v>
                </c:pt>
              </c:strCache>
            </c:strRef>
          </c:tx>
          <c:marker>
            <c:symbol val="none"/>
          </c:marker>
          <c:cat>
            <c:numRef>
              <c:f>(UTV!$B$2;UTV!$D$2;UTV!$F$2;UTV!$H$2;UTV!$J$2;UTV!$L$2;UTV!$N$2;UTV!$P$2;UTV!$R$2;UTV!$T$2;UTV!$V$2;UTV!$X$2;UTV!$Z$2;UTV!$AB$2)</c:f>
              <c:numCache>
                <c:formatCode>0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(UTV!$C$5;UTV!$E$5;UTV!$G$5;UTV!$I$5;UTV!$K$5;UTV!$M$5;UTV!$O$5;UTV!$Q$5;UTV!$S$5;UTV!$U$5;UTV!$W$5;UTV!$Y$5;UTV!$AA$5;UTV!$AC$5)</c:f>
              <c:numCache>
                <c:formatCode>0.0%</c:formatCode>
                <c:ptCount val="14"/>
                <c:pt idx="0">
                  <c:v>0.26456742500236402</c:v>
                </c:pt>
                <c:pt idx="1">
                  <c:v>0.28499456203970469</c:v>
                </c:pt>
                <c:pt idx="2">
                  <c:v>0.2949773216895441</c:v>
                </c:pt>
                <c:pt idx="3">
                  <c:v>0.30196567117859102</c:v>
                </c:pt>
                <c:pt idx="4">
                  <c:v>0.30632342031870641</c:v>
                </c:pt>
                <c:pt idx="5">
                  <c:v>0.31814225622281295</c:v>
                </c:pt>
                <c:pt idx="6">
                  <c:v>0.32480102270306099</c:v>
                </c:pt>
                <c:pt idx="7">
                  <c:v>0.33341776386984212</c:v>
                </c:pt>
                <c:pt idx="8">
                  <c:v>0.34738806737552186</c:v>
                </c:pt>
                <c:pt idx="9">
                  <c:v>0.35753354924396363</c:v>
                </c:pt>
                <c:pt idx="10">
                  <c:v>0.36014735834474643</c:v>
                </c:pt>
                <c:pt idx="11">
                  <c:v>0.37138253894079443</c:v>
                </c:pt>
                <c:pt idx="12">
                  <c:v>0.38492190794398273</c:v>
                </c:pt>
                <c:pt idx="13">
                  <c:v>0.40906574912110105</c:v>
                </c:pt>
              </c:numCache>
            </c:numRef>
          </c:val>
        </c:ser>
        <c:ser>
          <c:idx val="2"/>
          <c:order val="2"/>
          <c:tx>
            <c:strRef>
              <c:f>UTV!$A$6</c:f>
              <c:strCache>
                <c:ptCount val="1"/>
                <c:pt idx="0">
                  <c:v>Företag</c:v>
                </c:pt>
              </c:strCache>
            </c:strRef>
          </c:tx>
          <c:marker>
            <c:symbol val="none"/>
          </c:marker>
          <c:cat>
            <c:numRef>
              <c:f>(UTV!$B$2;UTV!$D$2;UTV!$F$2;UTV!$H$2;UTV!$J$2;UTV!$L$2;UTV!$N$2;UTV!$P$2;UTV!$R$2;UTV!$T$2;UTV!$V$2;UTV!$X$2;UTV!$Z$2;UTV!$AB$2)</c:f>
              <c:numCache>
                <c:formatCode>0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(UTV!$C$6;UTV!$E$6;UTV!$G$6;UTV!$I$6;UTV!$K$6;UTV!$M$6;UTV!$O$6;UTV!$Q$6;UTV!$S$6;UTV!$U$6;UTV!$W$6;UTV!$Y$6;UTV!$AA$6;UTV!$AC$6)</c:f>
              <c:numCache>
                <c:formatCode>0.0%</c:formatCode>
                <c:ptCount val="14"/>
                <c:pt idx="0">
                  <c:v>0.10557331407030032</c:v>
                </c:pt>
                <c:pt idx="1">
                  <c:v>9.6018120475309041E-2</c:v>
                </c:pt>
                <c:pt idx="2">
                  <c:v>8.5927700192337558E-2</c:v>
                </c:pt>
                <c:pt idx="3">
                  <c:v>7.9244670438539958E-2</c:v>
                </c:pt>
                <c:pt idx="4">
                  <c:v>7.4584244973848052E-2</c:v>
                </c:pt>
                <c:pt idx="5">
                  <c:v>6.6899959219429678E-2</c:v>
                </c:pt>
                <c:pt idx="6">
                  <c:v>5.7321559622168033E-2</c:v>
                </c:pt>
                <c:pt idx="7">
                  <c:v>4.3088872275815662E-2</c:v>
                </c:pt>
                <c:pt idx="8">
                  <c:v>3.7122349505378113E-2</c:v>
                </c:pt>
                <c:pt idx="9">
                  <c:v>4.0525140460618655E-2</c:v>
                </c:pt>
                <c:pt idx="10">
                  <c:v>4.0467601676636288E-2</c:v>
                </c:pt>
                <c:pt idx="11">
                  <c:v>3.8284682042048983E-2</c:v>
                </c:pt>
                <c:pt idx="12">
                  <c:v>3.7215036125520295E-2</c:v>
                </c:pt>
                <c:pt idx="13">
                  <c:v>3.9741192310569225E-2</c:v>
                </c:pt>
              </c:numCache>
            </c:numRef>
          </c:val>
        </c:ser>
        <c:marker val="1"/>
        <c:axId val="92891008"/>
        <c:axId val="93356800"/>
      </c:lineChart>
      <c:catAx>
        <c:axId val="92891008"/>
        <c:scaling>
          <c:orientation val="minMax"/>
        </c:scaling>
        <c:axPos val="b"/>
        <c:numFmt formatCode="0" sourceLinked="1"/>
        <c:majorTickMark val="none"/>
        <c:tickLblPos val="nextTo"/>
        <c:crossAx val="93356800"/>
        <c:crosses val="autoZero"/>
        <c:auto val="1"/>
        <c:lblAlgn val="ctr"/>
        <c:lblOffset val="100"/>
      </c:catAx>
      <c:valAx>
        <c:axId val="93356800"/>
        <c:scaling>
          <c:orientation val="minMax"/>
        </c:scaling>
        <c:axPos val="l"/>
        <c:majorGridlines/>
        <c:numFmt formatCode="0.0%" sourceLinked="1"/>
        <c:majorTickMark val="none"/>
        <c:tickLblPos val="nextTo"/>
        <c:crossAx val="928910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sv-SE"/>
          </a:p>
        </c:txPr>
      </c:dTable>
    </c:plotArea>
    <c:plotVisOnly val="1"/>
  </c:chart>
  <c:spPr>
    <a:ln w="12700">
      <a:solidFill>
        <a:schemeClr val="accent1"/>
      </a:solidFill>
    </a:ln>
  </c:spPr>
  <c:externalData r:id="rId1"/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BCA Sverige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Ramnek</dc:creator>
  <cp:lastModifiedBy>jonram</cp:lastModifiedBy>
  <cp:revision>3</cp:revision>
  <cp:lastPrinted>2012-02-06T13:11:00Z</cp:lastPrinted>
  <dcterms:created xsi:type="dcterms:W3CDTF">2013-06-04T12:54:00Z</dcterms:created>
  <dcterms:modified xsi:type="dcterms:W3CDTF">2013-06-04T13:44:00Z</dcterms:modified>
</cp:coreProperties>
</file>