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41C7" w14:textId="77777777" w:rsidR="00AF2D63" w:rsidRDefault="00AF2D63" w:rsidP="00974942">
      <w:pPr>
        <w:pStyle w:val="Brdtext1"/>
        <w:spacing w:after="0" w:line="240" w:lineRule="auto"/>
        <w:jc w:val="both"/>
        <w:rPr>
          <w:rFonts w:ascii="Arial" w:hAnsi="Arial" w:cs="Arial"/>
          <w:b/>
          <w:bCs/>
          <w:sz w:val="28"/>
          <w:szCs w:val="28"/>
        </w:rPr>
      </w:pPr>
    </w:p>
    <w:p w14:paraId="22F33FE4" w14:textId="395310AA" w:rsidR="00974942" w:rsidRPr="00AF2D63" w:rsidRDefault="00385D79" w:rsidP="00974942">
      <w:pPr>
        <w:pStyle w:val="Brdtext1"/>
        <w:spacing w:after="0" w:line="240" w:lineRule="auto"/>
        <w:jc w:val="both"/>
        <w:rPr>
          <w:rFonts w:ascii="Arial" w:hAnsi="Arial" w:cs="Arial"/>
          <w:b/>
          <w:bCs/>
          <w:sz w:val="28"/>
          <w:szCs w:val="28"/>
        </w:rPr>
      </w:pPr>
      <w:r w:rsidRPr="00AF2D63">
        <w:rPr>
          <w:rFonts w:ascii="Arial" w:hAnsi="Arial" w:cs="Arial"/>
          <w:b/>
          <w:bCs/>
          <w:sz w:val="28"/>
          <w:szCs w:val="28"/>
        </w:rPr>
        <w:t xml:space="preserve">GWS </w:t>
      </w:r>
      <w:r w:rsidR="00270104" w:rsidRPr="00AF2D63">
        <w:rPr>
          <w:rFonts w:ascii="Arial" w:hAnsi="Arial" w:cs="Arial"/>
          <w:b/>
          <w:bCs/>
          <w:sz w:val="28"/>
          <w:szCs w:val="28"/>
        </w:rPr>
        <w:t>Production AB (publ) publish</w:t>
      </w:r>
      <w:r w:rsidR="00C4407C" w:rsidRPr="00AF2D63">
        <w:rPr>
          <w:rFonts w:ascii="Arial" w:hAnsi="Arial" w:cs="Arial"/>
          <w:b/>
          <w:bCs/>
          <w:sz w:val="28"/>
          <w:szCs w:val="28"/>
        </w:rPr>
        <w:t>es</w:t>
      </w:r>
      <w:r w:rsidR="00270104" w:rsidRPr="00AF2D63">
        <w:rPr>
          <w:rFonts w:ascii="Arial" w:hAnsi="Arial" w:cs="Arial"/>
          <w:b/>
          <w:bCs/>
          <w:sz w:val="28"/>
          <w:szCs w:val="28"/>
        </w:rPr>
        <w:t xml:space="preserve"> annual report for 2016</w:t>
      </w:r>
    </w:p>
    <w:p w14:paraId="68E6DFA6" w14:textId="77777777" w:rsidR="00974942" w:rsidRPr="00AF2D63" w:rsidRDefault="00974942" w:rsidP="00974942">
      <w:pPr>
        <w:pStyle w:val="Brdtext1"/>
        <w:spacing w:after="0" w:line="240" w:lineRule="auto"/>
        <w:jc w:val="both"/>
        <w:rPr>
          <w:rFonts w:ascii="Arial" w:hAnsi="Arial" w:cs="Arial"/>
          <w:b/>
          <w:bCs/>
          <w:sz w:val="24"/>
          <w:szCs w:val="24"/>
        </w:rPr>
      </w:pPr>
    </w:p>
    <w:p w14:paraId="2D8B1321" w14:textId="42B30BD8" w:rsidR="00ED60E3" w:rsidRPr="00AF2D63" w:rsidRDefault="00374005" w:rsidP="00974942">
      <w:pPr>
        <w:pStyle w:val="Brdtext1"/>
        <w:spacing w:after="0" w:line="240" w:lineRule="auto"/>
        <w:jc w:val="both"/>
        <w:rPr>
          <w:rFonts w:ascii="Arial" w:hAnsi="Arial" w:cs="Arial"/>
          <w:b/>
          <w:bCs/>
          <w:sz w:val="24"/>
          <w:szCs w:val="24"/>
        </w:rPr>
      </w:pPr>
      <w:r w:rsidRPr="00AF2D63">
        <w:rPr>
          <w:rFonts w:ascii="Arial" w:hAnsi="Arial" w:cs="Arial"/>
          <w:b/>
          <w:bCs/>
          <w:sz w:val="24"/>
          <w:szCs w:val="24"/>
        </w:rPr>
        <w:t xml:space="preserve">GWS </w:t>
      </w:r>
      <w:r w:rsidR="00270104" w:rsidRPr="00AF2D63">
        <w:rPr>
          <w:rFonts w:ascii="Arial" w:hAnsi="Arial" w:cs="Arial"/>
          <w:b/>
          <w:bCs/>
          <w:sz w:val="24"/>
          <w:szCs w:val="24"/>
        </w:rPr>
        <w:t>Production AB (publ) (GWS) publish</w:t>
      </w:r>
      <w:r w:rsidR="00C4407C" w:rsidRPr="00AF2D63">
        <w:rPr>
          <w:rFonts w:ascii="Arial" w:hAnsi="Arial" w:cs="Arial"/>
          <w:b/>
          <w:bCs/>
          <w:sz w:val="24"/>
          <w:szCs w:val="24"/>
        </w:rPr>
        <w:t>es</w:t>
      </w:r>
      <w:r w:rsidR="00270104" w:rsidRPr="00AF2D63">
        <w:rPr>
          <w:rFonts w:ascii="Arial" w:hAnsi="Arial" w:cs="Arial"/>
          <w:b/>
          <w:bCs/>
          <w:sz w:val="24"/>
          <w:szCs w:val="24"/>
        </w:rPr>
        <w:t xml:space="preserve"> annual report for </w:t>
      </w:r>
      <w:r w:rsidR="00306C25" w:rsidRPr="00AF2D63">
        <w:rPr>
          <w:rFonts w:ascii="Arial" w:hAnsi="Arial" w:cs="Arial"/>
          <w:b/>
          <w:bCs/>
          <w:sz w:val="24"/>
          <w:szCs w:val="24"/>
        </w:rPr>
        <w:t xml:space="preserve">the </w:t>
      </w:r>
      <w:r w:rsidR="00270104" w:rsidRPr="00AF2D63">
        <w:rPr>
          <w:rFonts w:ascii="Arial" w:hAnsi="Arial" w:cs="Arial"/>
          <w:b/>
          <w:bCs/>
          <w:sz w:val="24"/>
          <w:szCs w:val="24"/>
        </w:rPr>
        <w:t xml:space="preserve">period </w:t>
      </w:r>
      <w:r w:rsidR="00306C25" w:rsidRPr="00AF2D63">
        <w:rPr>
          <w:rFonts w:ascii="Arial" w:hAnsi="Arial" w:cs="Arial"/>
          <w:b/>
          <w:bCs/>
          <w:sz w:val="24"/>
          <w:szCs w:val="24"/>
        </w:rPr>
        <w:t>between January</w:t>
      </w:r>
      <w:r w:rsidR="00306C25" w:rsidRPr="00AF2D63">
        <w:rPr>
          <w:rFonts w:ascii="Arial" w:hAnsi="Arial" w:cs="Arial"/>
          <w:b/>
          <w:bCs/>
          <w:sz w:val="24"/>
          <w:szCs w:val="24"/>
          <w:lang w:val="en-GB"/>
        </w:rPr>
        <w:t>-</w:t>
      </w:r>
      <w:r w:rsidR="00270104" w:rsidRPr="00AF2D63">
        <w:rPr>
          <w:rFonts w:ascii="Arial" w:hAnsi="Arial" w:cs="Arial"/>
          <w:b/>
          <w:bCs/>
          <w:sz w:val="24"/>
          <w:szCs w:val="24"/>
        </w:rPr>
        <w:t xml:space="preserve"> December 2016.</w:t>
      </w:r>
    </w:p>
    <w:p w14:paraId="4B69B41A" w14:textId="77777777" w:rsidR="00ED60E3" w:rsidRPr="00AF2D63" w:rsidRDefault="00ED60E3" w:rsidP="00974942">
      <w:pPr>
        <w:pStyle w:val="Brdtext1"/>
        <w:spacing w:after="0" w:line="240" w:lineRule="auto"/>
        <w:jc w:val="both"/>
        <w:rPr>
          <w:rFonts w:ascii="Arial" w:hAnsi="Arial" w:cs="Arial"/>
          <w:b/>
          <w:bCs/>
          <w:sz w:val="24"/>
          <w:szCs w:val="24"/>
        </w:rPr>
      </w:pPr>
    </w:p>
    <w:p w14:paraId="7BA0FDC2" w14:textId="77777777" w:rsidR="00481478" w:rsidRPr="00AF2D63" w:rsidRDefault="00481478" w:rsidP="00481478">
      <w:pPr>
        <w:pStyle w:val="Brdtext1"/>
        <w:spacing w:after="0" w:line="240" w:lineRule="auto"/>
        <w:jc w:val="both"/>
        <w:rPr>
          <w:rFonts w:ascii="Arial" w:hAnsi="Arial" w:cs="Arial"/>
          <w:b/>
          <w:bCs/>
          <w:i/>
          <w:sz w:val="20"/>
          <w:szCs w:val="20"/>
          <w:lang w:val="en-GB"/>
        </w:rPr>
      </w:pPr>
      <w:r w:rsidRPr="00AF2D63">
        <w:rPr>
          <w:rFonts w:ascii="Arial" w:hAnsi="Arial" w:cs="Arial"/>
          <w:b/>
          <w:bCs/>
          <w:i/>
          <w:sz w:val="20"/>
          <w:szCs w:val="20"/>
          <w:lang w:val="en-GB"/>
        </w:rPr>
        <w:t>Summary of annual report</w:t>
      </w:r>
    </w:p>
    <w:p w14:paraId="6A33FED3" w14:textId="77777777" w:rsidR="00481478" w:rsidRPr="00AF2D63" w:rsidRDefault="00481478" w:rsidP="00481478">
      <w:pPr>
        <w:pStyle w:val="Brdtext1"/>
        <w:spacing w:after="0" w:line="240" w:lineRule="auto"/>
        <w:jc w:val="both"/>
        <w:rPr>
          <w:rFonts w:ascii="Arial" w:hAnsi="Arial" w:cs="Arial"/>
          <w:bCs/>
          <w:i/>
          <w:sz w:val="20"/>
          <w:szCs w:val="20"/>
          <w:lang w:val="en-GB"/>
        </w:rPr>
      </w:pPr>
      <w:r w:rsidRPr="00AF2D63">
        <w:rPr>
          <w:rFonts w:ascii="Arial" w:hAnsi="Arial" w:cs="Arial"/>
          <w:bCs/>
          <w:i/>
          <w:sz w:val="20"/>
          <w:szCs w:val="20"/>
          <w:lang w:val="en-GB"/>
        </w:rPr>
        <w:t>“Mother company” or “GWS”, comprises of GWS Production AB: company number 556776-4674, without subsidiaries. “The Group” comprises the Mother company, including subsidiaries. On December 31st, 2016, the Mother company owned 51% shares in Travelogix Ltd, 100% shares in EQHO AB (under name change to Carefindy AB), and 100% shares in GWS Production (Singapore) Pte Ltd.</w:t>
      </w:r>
    </w:p>
    <w:p w14:paraId="67C3CE86" w14:textId="77777777" w:rsidR="00481478" w:rsidRPr="00AF2D63" w:rsidRDefault="00481478" w:rsidP="00481478">
      <w:pPr>
        <w:pStyle w:val="Brdtext1"/>
        <w:spacing w:after="0" w:line="240" w:lineRule="auto"/>
        <w:jc w:val="both"/>
        <w:rPr>
          <w:rFonts w:ascii="Arial" w:hAnsi="Arial" w:cs="Arial"/>
          <w:b/>
          <w:bCs/>
          <w:i/>
          <w:sz w:val="20"/>
          <w:szCs w:val="20"/>
          <w:lang w:val="en-GB"/>
        </w:rPr>
      </w:pPr>
    </w:p>
    <w:p w14:paraId="5DD6DDC5" w14:textId="77777777" w:rsidR="00481478" w:rsidRPr="00AF2D63" w:rsidRDefault="00481478" w:rsidP="00481478">
      <w:pPr>
        <w:pStyle w:val="Brdtext1"/>
        <w:spacing w:after="0" w:line="240" w:lineRule="auto"/>
        <w:jc w:val="both"/>
        <w:rPr>
          <w:rFonts w:ascii="Arial" w:hAnsi="Arial" w:cs="Arial"/>
          <w:b/>
          <w:bCs/>
          <w:i/>
          <w:sz w:val="20"/>
          <w:szCs w:val="20"/>
          <w:lang w:val="en-GB"/>
        </w:rPr>
      </w:pPr>
      <w:r w:rsidRPr="00AF2D63">
        <w:rPr>
          <w:rFonts w:ascii="Arial" w:hAnsi="Arial" w:cs="Arial"/>
          <w:b/>
          <w:bCs/>
          <w:i/>
          <w:sz w:val="20"/>
          <w:szCs w:val="20"/>
          <w:lang w:val="en-GB"/>
        </w:rPr>
        <w:t>THE GROUP (No comparative figures exist because the Group did not exist in 2015.)</w:t>
      </w:r>
    </w:p>
    <w:p w14:paraId="75776F73" w14:textId="24617B4C" w:rsidR="00481478" w:rsidRPr="00AF2D63" w:rsidRDefault="00481478" w:rsidP="00481478">
      <w:pPr>
        <w:pStyle w:val="Brdtext1"/>
        <w:jc w:val="both"/>
        <w:rPr>
          <w:rFonts w:ascii="Arial" w:hAnsi="Arial" w:cs="Arial"/>
          <w:b/>
          <w:bCs/>
          <w:i/>
          <w:sz w:val="20"/>
          <w:szCs w:val="20"/>
          <w:lang w:val="en-GB"/>
        </w:rPr>
      </w:pPr>
      <w:r w:rsidRPr="00AF2D63">
        <w:rPr>
          <w:rFonts w:ascii="Arial" w:hAnsi="Arial" w:cs="Arial"/>
          <w:b/>
          <w:bCs/>
          <w:i/>
          <w:sz w:val="20"/>
          <w:szCs w:val="20"/>
          <w:lang w:val="en-GB"/>
        </w:rPr>
        <w:t>Twelve months (2016-01-01 to 2016-12-31)</w:t>
      </w:r>
    </w:p>
    <w:p w14:paraId="01FB8E89"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Net turnover amounted to 8 988 TSEK.</w:t>
      </w:r>
    </w:p>
    <w:p w14:paraId="2A97C5B5"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Result after financials and minority share amounted to -17 592 TSEK.</w:t>
      </w:r>
    </w:p>
    <w:p w14:paraId="1B88837B"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Result per share* amounted to -1,23 SEK.</w:t>
      </w:r>
    </w:p>
    <w:p w14:paraId="3914C2E7" w14:textId="03F9810F"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The solidity** amounted to 85.5 % on December 31</w:t>
      </w:r>
      <w:r w:rsidRPr="00AF2D63">
        <w:rPr>
          <w:rFonts w:ascii="Arial" w:hAnsi="Arial" w:cs="Arial"/>
          <w:bCs/>
          <w:i/>
          <w:sz w:val="20"/>
          <w:szCs w:val="20"/>
          <w:vertAlign w:val="superscript"/>
          <w:lang w:val="en-GB"/>
        </w:rPr>
        <w:t>st</w:t>
      </w:r>
      <w:r w:rsidRPr="00AF2D63">
        <w:rPr>
          <w:rFonts w:ascii="Arial" w:hAnsi="Arial" w:cs="Arial"/>
          <w:bCs/>
          <w:i/>
          <w:sz w:val="20"/>
          <w:szCs w:val="20"/>
          <w:lang w:val="en-GB"/>
        </w:rPr>
        <w:t>, 2016.</w:t>
      </w:r>
    </w:p>
    <w:p w14:paraId="0DDCF0DE" w14:textId="77777777" w:rsidR="0027314C" w:rsidRDefault="0027314C" w:rsidP="00481478">
      <w:pPr>
        <w:pStyle w:val="Brdtext1"/>
        <w:spacing w:after="0" w:line="240" w:lineRule="auto"/>
        <w:jc w:val="both"/>
        <w:rPr>
          <w:rFonts w:ascii="Arial" w:hAnsi="Arial" w:cs="Arial"/>
          <w:b/>
          <w:bCs/>
          <w:i/>
          <w:sz w:val="20"/>
          <w:szCs w:val="20"/>
          <w:lang w:val="en-GB"/>
        </w:rPr>
      </w:pPr>
    </w:p>
    <w:p w14:paraId="6C85E9BD" w14:textId="77777777" w:rsidR="00481478" w:rsidRDefault="00481478" w:rsidP="00481478">
      <w:pPr>
        <w:pStyle w:val="Brdtext1"/>
        <w:spacing w:after="0" w:line="240" w:lineRule="auto"/>
        <w:jc w:val="both"/>
        <w:rPr>
          <w:rFonts w:ascii="Arial" w:hAnsi="Arial" w:cs="Arial"/>
          <w:b/>
          <w:bCs/>
          <w:i/>
          <w:sz w:val="20"/>
          <w:szCs w:val="20"/>
          <w:lang w:val="en-GB"/>
        </w:rPr>
      </w:pPr>
      <w:r w:rsidRPr="00AF2D63">
        <w:rPr>
          <w:rFonts w:ascii="Arial" w:hAnsi="Arial" w:cs="Arial"/>
          <w:b/>
          <w:bCs/>
          <w:i/>
          <w:sz w:val="20"/>
          <w:szCs w:val="20"/>
          <w:lang w:val="en-GB"/>
        </w:rPr>
        <w:t>Fourth quarter (2016-10-01 to 2016-12-31)</w:t>
      </w:r>
    </w:p>
    <w:p w14:paraId="7C1317F6" w14:textId="77777777" w:rsidR="0027314C" w:rsidRPr="00AF2D63" w:rsidRDefault="0027314C" w:rsidP="00481478">
      <w:pPr>
        <w:pStyle w:val="Brdtext1"/>
        <w:spacing w:after="0" w:line="240" w:lineRule="auto"/>
        <w:jc w:val="both"/>
        <w:rPr>
          <w:rFonts w:ascii="Arial" w:hAnsi="Arial" w:cs="Arial"/>
          <w:b/>
          <w:bCs/>
          <w:i/>
          <w:sz w:val="20"/>
          <w:szCs w:val="20"/>
          <w:lang w:val="en-GB"/>
        </w:rPr>
      </w:pPr>
    </w:p>
    <w:p w14:paraId="6864DEFC"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Net turnover amounted to 1 900 TSEK.</w:t>
      </w:r>
    </w:p>
    <w:p w14:paraId="00CB55F9"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Result after financials and minority share amounted to -4 526 TSEK.</w:t>
      </w:r>
    </w:p>
    <w:p w14:paraId="13ADDE91"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Result per share* amounted to -0.31 SEK.</w:t>
      </w:r>
    </w:p>
    <w:p w14:paraId="1040217E" w14:textId="77777777" w:rsidR="00481478" w:rsidRPr="00AF2D63" w:rsidRDefault="00481478" w:rsidP="00481478">
      <w:pPr>
        <w:pStyle w:val="Brdtext1"/>
        <w:spacing w:after="0" w:line="240" w:lineRule="auto"/>
        <w:jc w:val="both"/>
        <w:rPr>
          <w:rFonts w:ascii="Arial" w:hAnsi="Arial" w:cs="Arial"/>
          <w:bCs/>
          <w:i/>
          <w:sz w:val="20"/>
          <w:szCs w:val="20"/>
          <w:lang w:val="en-GB"/>
        </w:rPr>
      </w:pPr>
    </w:p>
    <w:p w14:paraId="15D8DEEA" w14:textId="77777777" w:rsidR="00481478" w:rsidRPr="00AF2D63" w:rsidRDefault="00481478" w:rsidP="00481478">
      <w:pPr>
        <w:pStyle w:val="Brdtext1"/>
        <w:spacing w:after="0" w:line="240" w:lineRule="auto"/>
        <w:jc w:val="both"/>
        <w:rPr>
          <w:rFonts w:ascii="Arial" w:hAnsi="Arial" w:cs="Arial"/>
          <w:b/>
          <w:bCs/>
          <w:i/>
          <w:sz w:val="20"/>
          <w:szCs w:val="20"/>
          <w:lang w:val="en-GB"/>
        </w:rPr>
      </w:pPr>
    </w:p>
    <w:p w14:paraId="0751A253" w14:textId="77777777" w:rsidR="00481478" w:rsidRPr="00AF2D63" w:rsidRDefault="00481478" w:rsidP="00481478">
      <w:pPr>
        <w:pStyle w:val="Brdtext1"/>
        <w:spacing w:after="0" w:line="240" w:lineRule="auto"/>
        <w:jc w:val="both"/>
        <w:rPr>
          <w:rFonts w:ascii="Arial" w:hAnsi="Arial" w:cs="Arial"/>
          <w:b/>
          <w:bCs/>
          <w:i/>
          <w:sz w:val="20"/>
          <w:szCs w:val="20"/>
          <w:lang w:val="en-GB"/>
        </w:rPr>
      </w:pPr>
      <w:r w:rsidRPr="00AF2D63">
        <w:rPr>
          <w:rFonts w:ascii="Arial" w:hAnsi="Arial" w:cs="Arial"/>
          <w:b/>
          <w:bCs/>
          <w:i/>
          <w:sz w:val="20"/>
          <w:szCs w:val="20"/>
          <w:lang w:val="en-GB"/>
        </w:rPr>
        <w:t>THE MOTHER COMPANY</w:t>
      </w:r>
    </w:p>
    <w:p w14:paraId="61CD072E" w14:textId="77777777" w:rsidR="00481478" w:rsidRDefault="00481478" w:rsidP="00481478">
      <w:pPr>
        <w:pStyle w:val="Brdtext1"/>
        <w:spacing w:after="0" w:line="240" w:lineRule="auto"/>
        <w:jc w:val="both"/>
        <w:rPr>
          <w:rFonts w:ascii="Arial" w:hAnsi="Arial" w:cs="Arial"/>
          <w:b/>
          <w:bCs/>
          <w:i/>
          <w:sz w:val="20"/>
          <w:szCs w:val="20"/>
          <w:lang w:val="en-GB"/>
        </w:rPr>
      </w:pPr>
      <w:r w:rsidRPr="00AF2D63">
        <w:rPr>
          <w:rFonts w:ascii="Arial" w:hAnsi="Arial" w:cs="Arial"/>
          <w:b/>
          <w:bCs/>
          <w:i/>
          <w:sz w:val="20"/>
          <w:szCs w:val="20"/>
          <w:lang w:val="en-GB"/>
        </w:rPr>
        <w:t>Twelve months (2016-01-01 to 2016-12-31)</w:t>
      </w:r>
    </w:p>
    <w:p w14:paraId="70112832" w14:textId="77777777" w:rsidR="0027314C" w:rsidRPr="00AF2D63" w:rsidRDefault="0027314C" w:rsidP="00481478">
      <w:pPr>
        <w:pStyle w:val="Brdtext1"/>
        <w:spacing w:after="0" w:line="240" w:lineRule="auto"/>
        <w:jc w:val="both"/>
        <w:rPr>
          <w:rFonts w:ascii="Arial" w:hAnsi="Arial" w:cs="Arial"/>
          <w:b/>
          <w:bCs/>
          <w:i/>
          <w:sz w:val="20"/>
          <w:szCs w:val="20"/>
          <w:lang w:val="en-GB"/>
        </w:rPr>
      </w:pPr>
    </w:p>
    <w:p w14:paraId="11995AAD"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Net turnover amounted to 6 713 (2 483) TSEK.</w:t>
      </w:r>
    </w:p>
    <w:p w14:paraId="43384A4E"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Result after financials amounted to -16 511 (-17 380) TSEK.</w:t>
      </w:r>
    </w:p>
    <w:p w14:paraId="618779A9"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Result per share* amounted to -1.15 (-1.61) SEK.</w:t>
      </w:r>
    </w:p>
    <w:p w14:paraId="255334BE"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The solidity** amounted to 88.2 (89.1) %.</w:t>
      </w:r>
    </w:p>
    <w:p w14:paraId="5D40052B" w14:textId="77777777" w:rsidR="0027314C" w:rsidRDefault="0027314C" w:rsidP="00481478">
      <w:pPr>
        <w:pStyle w:val="Brdtext1"/>
        <w:spacing w:after="0" w:line="240" w:lineRule="auto"/>
        <w:jc w:val="both"/>
        <w:rPr>
          <w:rFonts w:ascii="Arial" w:hAnsi="Arial" w:cs="Arial"/>
          <w:b/>
          <w:bCs/>
          <w:i/>
          <w:sz w:val="20"/>
          <w:szCs w:val="20"/>
          <w:lang w:val="en-GB"/>
        </w:rPr>
      </w:pPr>
    </w:p>
    <w:p w14:paraId="041B2987" w14:textId="77777777" w:rsidR="00481478" w:rsidRDefault="00481478" w:rsidP="00481478">
      <w:pPr>
        <w:pStyle w:val="Brdtext1"/>
        <w:spacing w:after="0" w:line="240" w:lineRule="auto"/>
        <w:jc w:val="both"/>
        <w:rPr>
          <w:rFonts w:ascii="Arial" w:hAnsi="Arial" w:cs="Arial"/>
          <w:b/>
          <w:bCs/>
          <w:i/>
          <w:sz w:val="20"/>
          <w:szCs w:val="20"/>
          <w:lang w:val="en-GB"/>
        </w:rPr>
      </w:pPr>
      <w:r w:rsidRPr="00AF2D63">
        <w:rPr>
          <w:rFonts w:ascii="Arial" w:hAnsi="Arial" w:cs="Arial"/>
          <w:b/>
          <w:bCs/>
          <w:i/>
          <w:sz w:val="20"/>
          <w:szCs w:val="20"/>
          <w:lang w:val="en-GB"/>
        </w:rPr>
        <w:t>Fourth quarter (2016-10-01 to 2016-12-31)</w:t>
      </w:r>
    </w:p>
    <w:p w14:paraId="038B344D" w14:textId="77777777" w:rsidR="0027314C" w:rsidRPr="00AF2D63" w:rsidRDefault="0027314C" w:rsidP="00481478">
      <w:pPr>
        <w:pStyle w:val="Brdtext1"/>
        <w:spacing w:after="0" w:line="240" w:lineRule="auto"/>
        <w:jc w:val="both"/>
        <w:rPr>
          <w:rFonts w:ascii="Arial" w:hAnsi="Arial" w:cs="Arial"/>
          <w:b/>
          <w:bCs/>
          <w:i/>
          <w:sz w:val="20"/>
          <w:szCs w:val="20"/>
          <w:lang w:val="en-GB"/>
        </w:rPr>
      </w:pPr>
      <w:bookmarkStart w:id="0" w:name="_GoBack"/>
      <w:bookmarkEnd w:id="0"/>
    </w:p>
    <w:p w14:paraId="2114E4FB"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Net turnover amounted to 1 480 (1 157) TSEK.</w:t>
      </w:r>
    </w:p>
    <w:p w14:paraId="39A128DB"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 xml:space="preserve">Result after financials amounted to -4 207 (-6 481) TSEK. </w:t>
      </w:r>
    </w:p>
    <w:p w14:paraId="76A931D2" w14:textId="77777777" w:rsidR="00481478" w:rsidRPr="00AF2D63" w:rsidRDefault="00481478" w:rsidP="00481478">
      <w:pPr>
        <w:pStyle w:val="Brdtext1"/>
        <w:numPr>
          <w:ilvl w:val="0"/>
          <w:numId w:val="23"/>
        </w:numPr>
        <w:spacing w:after="0" w:line="240" w:lineRule="auto"/>
        <w:jc w:val="both"/>
        <w:rPr>
          <w:rFonts w:ascii="Arial" w:hAnsi="Arial" w:cs="Arial"/>
          <w:bCs/>
          <w:i/>
          <w:sz w:val="20"/>
          <w:szCs w:val="20"/>
          <w:lang w:val="en-GB"/>
        </w:rPr>
      </w:pPr>
      <w:r w:rsidRPr="00AF2D63">
        <w:rPr>
          <w:rFonts w:ascii="Arial" w:hAnsi="Arial" w:cs="Arial"/>
          <w:bCs/>
          <w:i/>
          <w:sz w:val="20"/>
          <w:szCs w:val="20"/>
          <w:lang w:val="en-GB"/>
        </w:rPr>
        <w:t>Result per share* amounted to -0,29 (-0,57) SEK.</w:t>
      </w:r>
    </w:p>
    <w:p w14:paraId="36F38655" w14:textId="77777777" w:rsidR="00481478" w:rsidRPr="00AF2D63" w:rsidRDefault="00481478" w:rsidP="00481478">
      <w:pPr>
        <w:pStyle w:val="Brdtext1"/>
        <w:spacing w:after="0" w:line="240" w:lineRule="auto"/>
        <w:jc w:val="both"/>
        <w:rPr>
          <w:rFonts w:ascii="Arial" w:hAnsi="Arial" w:cs="Arial"/>
          <w:bCs/>
          <w:i/>
          <w:sz w:val="20"/>
          <w:szCs w:val="20"/>
          <w:lang w:val="en-GB"/>
        </w:rPr>
      </w:pPr>
    </w:p>
    <w:p w14:paraId="26FA0E1D" w14:textId="1209FDFD" w:rsidR="00481478" w:rsidRPr="00AF2D63" w:rsidRDefault="00481478" w:rsidP="00481478">
      <w:pPr>
        <w:pStyle w:val="Brdtext1"/>
        <w:spacing w:line="240" w:lineRule="auto"/>
        <w:rPr>
          <w:rFonts w:ascii="Arial" w:hAnsi="Arial" w:cs="Arial"/>
          <w:bCs/>
          <w:i/>
          <w:sz w:val="20"/>
          <w:szCs w:val="20"/>
          <w:lang w:val="en-GB"/>
        </w:rPr>
      </w:pPr>
      <w:r w:rsidRPr="00AF2D63">
        <w:rPr>
          <w:rFonts w:ascii="Arial" w:hAnsi="Arial" w:cs="Arial"/>
          <w:bCs/>
          <w:i/>
          <w:sz w:val="20"/>
          <w:szCs w:val="20"/>
          <w:lang w:val="en-GB"/>
        </w:rPr>
        <w:t>Amounts within brackets regard comparative period last year.</w:t>
      </w:r>
    </w:p>
    <w:p w14:paraId="61FC459A" w14:textId="77777777" w:rsidR="00481478" w:rsidRPr="00AF2D63" w:rsidRDefault="00481478" w:rsidP="00481478">
      <w:pPr>
        <w:pStyle w:val="Brdtext1"/>
        <w:spacing w:line="240" w:lineRule="auto"/>
        <w:rPr>
          <w:rFonts w:ascii="Arial" w:hAnsi="Arial" w:cs="Arial"/>
          <w:bCs/>
          <w:i/>
          <w:sz w:val="20"/>
          <w:szCs w:val="20"/>
          <w:vertAlign w:val="superscript"/>
          <w:lang w:val="en-GB"/>
        </w:rPr>
      </w:pPr>
      <w:r w:rsidRPr="00AF2D63">
        <w:rPr>
          <w:rFonts w:ascii="Arial" w:hAnsi="Arial" w:cs="Arial"/>
          <w:bCs/>
          <w:i/>
          <w:sz w:val="20"/>
          <w:szCs w:val="20"/>
          <w:lang w:val="en-GB"/>
        </w:rPr>
        <w:t>*Results per share: results are divided by an average number of shares. An average number of shares for twelve months 2016: 14 357 256 (10 779 009) shares. An average number of shares for the fourth quarter 2016: 14 365 407 (11 423 695) shares. Total number of shares in GWS on December 31</w:t>
      </w:r>
      <w:r w:rsidRPr="00AF2D63">
        <w:rPr>
          <w:rFonts w:ascii="Arial" w:hAnsi="Arial" w:cs="Arial"/>
          <w:bCs/>
          <w:i/>
          <w:sz w:val="20"/>
          <w:szCs w:val="20"/>
          <w:vertAlign w:val="superscript"/>
          <w:lang w:val="en-GB"/>
        </w:rPr>
        <w:t>st</w:t>
      </w:r>
      <w:r w:rsidRPr="00AF2D63">
        <w:rPr>
          <w:rFonts w:ascii="Arial" w:hAnsi="Arial" w:cs="Arial"/>
          <w:bCs/>
          <w:i/>
          <w:sz w:val="20"/>
          <w:szCs w:val="20"/>
          <w:lang w:val="en-GB"/>
        </w:rPr>
        <w:t>, 2016: 14 365 407 (14 248 033) shares.  The Company has issued 650 000 share options (2015/2019), of which, 427 885 have been signed for that can be converted to the same number of shares in the Company during March 2019. The Company has also issued 40 000 share options (2015/2019), all signed for, which can be converted into the same number of shares from July 8</w:t>
      </w:r>
      <w:r w:rsidRPr="00AF2D63">
        <w:rPr>
          <w:rFonts w:ascii="Arial" w:hAnsi="Arial" w:cs="Arial"/>
          <w:bCs/>
          <w:i/>
          <w:sz w:val="20"/>
          <w:szCs w:val="20"/>
          <w:vertAlign w:val="superscript"/>
          <w:lang w:val="en-GB"/>
        </w:rPr>
        <w:t>th</w:t>
      </w:r>
      <w:r w:rsidRPr="00AF2D63">
        <w:rPr>
          <w:rFonts w:ascii="Arial" w:hAnsi="Arial" w:cs="Arial"/>
          <w:bCs/>
          <w:i/>
          <w:sz w:val="20"/>
          <w:szCs w:val="20"/>
          <w:lang w:val="en-GB"/>
        </w:rPr>
        <w:t>, 2019 to July 24</w:t>
      </w:r>
      <w:r w:rsidRPr="00AF2D63">
        <w:rPr>
          <w:rFonts w:ascii="Arial" w:hAnsi="Arial" w:cs="Arial"/>
          <w:bCs/>
          <w:i/>
          <w:sz w:val="20"/>
          <w:szCs w:val="20"/>
          <w:vertAlign w:val="superscript"/>
          <w:lang w:val="en-GB"/>
        </w:rPr>
        <w:t>th</w:t>
      </w:r>
      <w:r w:rsidRPr="00AF2D63">
        <w:rPr>
          <w:rFonts w:ascii="Arial" w:hAnsi="Arial" w:cs="Arial"/>
          <w:bCs/>
          <w:i/>
          <w:sz w:val="20"/>
          <w:szCs w:val="20"/>
          <w:lang w:val="en-GB"/>
        </w:rPr>
        <w:t xml:space="preserve">, 2019. </w:t>
      </w:r>
    </w:p>
    <w:p w14:paraId="75CAF24B" w14:textId="25192478" w:rsidR="00481478" w:rsidRPr="00AF2D63" w:rsidRDefault="00481478" w:rsidP="00481478">
      <w:pPr>
        <w:pStyle w:val="Brdtext1"/>
        <w:spacing w:line="240" w:lineRule="auto"/>
        <w:rPr>
          <w:rFonts w:ascii="Arial" w:hAnsi="Arial" w:cs="Arial"/>
          <w:bCs/>
          <w:i/>
          <w:sz w:val="20"/>
          <w:szCs w:val="20"/>
          <w:lang w:val="en-GB"/>
        </w:rPr>
      </w:pPr>
      <w:r w:rsidRPr="00AF2D63">
        <w:rPr>
          <w:rFonts w:ascii="Arial" w:hAnsi="Arial" w:cs="Arial"/>
          <w:bCs/>
          <w:i/>
          <w:sz w:val="20"/>
          <w:szCs w:val="20"/>
          <w:lang w:val="en-GB"/>
        </w:rPr>
        <w:lastRenderedPageBreak/>
        <w:t xml:space="preserve">The Company has also issued 670 000 share options (2016/2020), of which, 670 000 has been signed for, which can be converted into the same number of shares in the Company during April 2020. </w:t>
      </w:r>
    </w:p>
    <w:p w14:paraId="0B0C67FB" w14:textId="34B1D3DA" w:rsidR="00C01EE0" w:rsidRPr="00AF2D63" w:rsidRDefault="00481478" w:rsidP="00481478">
      <w:pPr>
        <w:pStyle w:val="Brdtext1"/>
        <w:spacing w:line="240" w:lineRule="auto"/>
        <w:rPr>
          <w:rFonts w:ascii="Arial" w:hAnsi="Arial" w:cs="Arial"/>
          <w:bCs/>
          <w:i/>
          <w:sz w:val="20"/>
          <w:szCs w:val="20"/>
          <w:lang w:val="en-GB"/>
        </w:rPr>
      </w:pPr>
      <w:r w:rsidRPr="00AF2D63">
        <w:rPr>
          <w:rFonts w:ascii="Arial" w:hAnsi="Arial" w:cs="Arial"/>
          <w:bCs/>
          <w:i/>
          <w:sz w:val="20"/>
          <w:szCs w:val="20"/>
          <w:lang w:val="en-GB"/>
        </w:rPr>
        <w:t>**Solidity: Equity divided by total assets.</w:t>
      </w:r>
    </w:p>
    <w:p w14:paraId="16D1DE76" w14:textId="77777777" w:rsidR="00C01EE0" w:rsidRPr="00AF2D63" w:rsidRDefault="00C01EE0" w:rsidP="00C01EE0">
      <w:pPr>
        <w:pStyle w:val="Brdtext1"/>
        <w:spacing w:after="0" w:line="240" w:lineRule="auto"/>
        <w:jc w:val="both"/>
        <w:rPr>
          <w:rFonts w:ascii="Arial" w:hAnsi="Arial" w:cs="Arial"/>
          <w:b/>
          <w:bCs/>
          <w:sz w:val="20"/>
          <w:szCs w:val="20"/>
          <w:lang w:val="en-GB"/>
        </w:rPr>
      </w:pPr>
      <w:r w:rsidRPr="00AF2D63">
        <w:rPr>
          <w:rFonts w:ascii="Arial" w:hAnsi="Arial" w:cs="Arial"/>
          <w:b/>
          <w:bCs/>
          <w:sz w:val="20"/>
          <w:szCs w:val="20"/>
          <w:lang w:val="en-GB"/>
        </w:rPr>
        <w:t>Significant events during the fourth quarter, 2016.</w:t>
      </w:r>
    </w:p>
    <w:p w14:paraId="2A9F1325" w14:textId="77777777" w:rsidR="000341A5" w:rsidRPr="00AF2D63" w:rsidRDefault="000341A5" w:rsidP="00C01EE0">
      <w:pPr>
        <w:pStyle w:val="Brdtext1"/>
        <w:spacing w:after="0" w:line="240" w:lineRule="auto"/>
        <w:jc w:val="both"/>
        <w:rPr>
          <w:rFonts w:ascii="Arial" w:hAnsi="Arial" w:cs="Arial"/>
          <w:b/>
          <w:bCs/>
          <w:sz w:val="20"/>
          <w:szCs w:val="20"/>
          <w:lang w:val="en-GB"/>
        </w:rPr>
      </w:pPr>
    </w:p>
    <w:p w14:paraId="0C501409" w14:textId="77777777" w:rsidR="00C01EE0" w:rsidRPr="00AF2D63" w:rsidRDefault="00C01EE0" w:rsidP="00C01EE0">
      <w:pPr>
        <w:pStyle w:val="Brdtext1"/>
        <w:numPr>
          <w:ilvl w:val="0"/>
          <w:numId w:val="24"/>
        </w:numPr>
        <w:spacing w:line="240" w:lineRule="auto"/>
        <w:rPr>
          <w:rFonts w:ascii="Arial" w:hAnsi="Arial" w:cs="Arial"/>
          <w:b/>
          <w:bCs/>
          <w:sz w:val="20"/>
          <w:szCs w:val="20"/>
          <w:lang w:val="en-GB"/>
        </w:rPr>
      </w:pPr>
      <w:r w:rsidRPr="00AF2D63">
        <w:rPr>
          <w:rFonts w:ascii="Arial" w:hAnsi="Arial" w:cs="Arial"/>
          <w:bCs/>
          <w:sz w:val="20"/>
          <w:szCs w:val="20"/>
          <w:lang w:val="en-GB"/>
        </w:rPr>
        <w:t>GWS reported on status and future direction. For more information refer to the press release published on October 27</w:t>
      </w:r>
      <w:r w:rsidRPr="00AF2D63">
        <w:rPr>
          <w:rFonts w:ascii="Arial" w:hAnsi="Arial" w:cs="Arial"/>
          <w:bCs/>
          <w:sz w:val="20"/>
          <w:szCs w:val="20"/>
          <w:vertAlign w:val="superscript"/>
          <w:lang w:val="en-GB"/>
        </w:rPr>
        <w:t>th</w:t>
      </w:r>
      <w:r w:rsidRPr="00AF2D63">
        <w:rPr>
          <w:rFonts w:ascii="Arial" w:hAnsi="Arial" w:cs="Arial"/>
          <w:bCs/>
          <w:sz w:val="20"/>
          <w:szCs w:val="20"/>
          <w:lang w:val="en-GB"/>
        </w:rPr>
        <w:t xml:space="preserve">, 2016. </w:t>
      </w:r>
    </w:p>
    <w:p w14:paraId="771D5576" w14:textId="77777777" w:rsidR="00C01EE0" w:rsidRPr="00AF2D63" w:rsidRDefault="00C01EE0" w:rsidP="00C01EE0">
      <w:pPr>
        <w:pStyle w:val="Brdtext1"/>
        <w:numPr>
          <w:ilvl w:val="0"/>
          <w:numId w:val="24"/>
        </w:numPr>
        <w:spacing w:line="240" w:lineRule="auto"/>
        <w:rPr>
          <w:rFonts w:ascii="Arial" w:hAnsi="Arial" w:cs="Arial"/>
          <w:b/>
          <w:bCs/>
          <w:sz w:val="20"/>
          <w:szCs w:val="20"/>
          <w:lang w:val="en-GB"/>
        </w:rPr>
      </w:pPr>
      <w:r w:rsidRPr="00AF2D63">
        <w:rPr>
          <w:rFonts w:ascii="Arial" w:hAnsi="Arial" w:cs="Arial"/>
          <w:bCs/>
          <w:sz w:val="20"/>
          <w:szCs w:val="20"/>
          <w:lang w:val="en-GB"/>
        </w:rPr>
        <w:t>GWS published interim report for the period January – September 2016.</w:t>
      </w:r>
    </w:p>
    <w:p w14:paraId="1D4B0507" w14:textId="0A38DB6A" w:rsidR="00C01EE0" w:rsidRPr="00AF2D63" w:rsidRDefault="00C01EE0" w:rsidP="00C01EE0">
      <w:pPr>
        <w:pStyle w:val="Brdtext1"/>
        <w:numPr>
          <w:ilvl w:val="0"/>
          <w:numId w:val="24"/>
        </w:numPr>
        <w:spacing w:line="240" w:lineRule="auto"/>
        <w:rPr>
          <w:rFonts w:ascii="Arial" w:hAnsi="Arial" w:cs="Arial"/>
          <w:b/>
          <w:bCs/>
          <w:sz w:val="20"/>
          <w:szCs w:val="20"/>
          <w:lang w:val="en-GB"/>
        </w:rPr>
      </w:pPr>
      <w:r w:rsidRPr="00AF2D63">
        <w:rPr>
          <w:rFonts w:ascii="Arial" w:hAnsi="Arial" w:cs="Arial"/>
          <w:bCs/>
          <w:sz w:val="20"/>
          <w:szCs w:val="20"/>
          <w:lang w:val="en-GB"/>
        </w:rPr>
        <w:t>GWS signs a partnership agreement with a major security provider in the USA.</w:t>
      </w:r>
    </w:p>
    <w:p w14:paraId="19FB7DC5" w14:textId="42462206" w:rsidR="00C01EE0" w:rsidRPr="00AF2D63" w:rsidRDefault="00C01EE0" w:rsidP="00C01EE0">
      <w:pPr>
        <w:pStyle w:val="Brdtext1"/>
        <w:spacing w:line="240" w:lineRule="auto"/>
        <w:rPr>
          <w:rFonts w:ascii="Arial" w:hAnsi="Arial" w:cs="Arial"/>
          <w:b/>
          <w:bCs/>
          <w:sz w:val="20"/>
          <w:szCs w:val="20"/>
          <w:lang w:val="en-GB"/>
        </w:rPr>
      </w:pPr>
      <w:r w:rsidRPr="00AF2D63">
        <w:rPr>
          <w:rFonts w:ascii="Arial" w:hAnsi="Arial" w:cs="Arial"/>
          <w:b/>
          <w:bCs/>
          <w:sz w:val="20"/>
          <w:szCs w:val="20"/>
          <w:lang w:val="en-GB"/>
        </w:rPr>
        <w:t>Significant events after year-end.</w:t>
      </w:r>
    </w:p>
    <w:p w14:paraId="6014C123" w14:textId="77777777" w:rsidR="00C01EE0" w:rsidRPr="00AF2D63" w:rsidRDefault="00C01EE0" w:rsidP="00C01EE0">
      <w:pPr>
        <w:pStyle w:val="Brdtext1"/>
        <w:numPr>
          <w:ilvl w:val="0"/>
          <w:numId w:val="24"/>
        </w:numPr>
        <w:spacing w:line="240" w:lineRule="auto"/>
        <w:rPr>
          <w:rFonts w:ascii="Arial" w:hAnsi="Arial" w:cs="Arial"/>
          <w:b/>
          <w:bCs/>
          <w:sz w:val="20"/>
          <w:szCs w:val="20"/>
          <w:lang w:val="en-GB"/>
        </w:rPr>
      </w:pPr>
      <w:r w:rsidRPr="00AF2D63">
        <w:rPr>
          <w:rFonts w:ascii="Arial" w:hAnsi="Arial" w:cs="Arial"/>
          <w:bCs/>
          <w:sz w:val="20"/>
          <w:szCs w:val="20"/>
          <w:lang w:val="en-GB"/>
        </w:rPr>
        <w:t>GWS transferred 65% of the shares in EQHO map AB (changing to Carefindy AB) to Rethinking Care Sweden AB. For more information refer to the see press release published on January 19</w:t>
      </w:r>
      <w:r w:rsidRPr="00AF2D63">
        <w:rPr>
          <w:rFonts w:ascii="Arial" w:hAnsi="Arial" w:cs="Arial"/>
          <w:bCs/>
          <w:sz w:val="20"/>
          <w:szCs w:val="20"/>
          <w:vertAlign w:val="superscript"/>
          <w:lang w:val="en-GB"/>
        </w:rPr>
        <w:t>th</w:t>
      </w:r>
      <w:r w:rsidRPr="00AF2D63">
        <w:rPr>
          <w:rFonts w:ascii="Arial" w:hAnsi="Arial" w:cs="Arial"/>
          <w:bCs/>
          <w:sz w:val="20"/>
          <w:szCs w:val="20"/>
          <w:lang w:val="en-GB"/>
        </w:rPr>
        <w:t>, 2017.</w:t>
      </w:r>
    </w:p>
    <w:p w14:paraId="00E7B7FE" w14:textId="77777777" w:rsidR="00141C5E" w:rsidRPr="00AF2D63" w:rsidRDefault="00141C5E" w:rsidP="00C01EE0">
      <w:pPr>
        <w:pStyle w:val="Brdtext1"/>
        <w:spacing w:after="0" w:line="240" w:lineRule="auto"/>
        <w:jc w:val="both"/>
        <w:rPr>
          <w:rFonts w:ascii="Arial" w:hAnsi="Arial" w:cs="Arial"/>
          <w:b/>
          <w:bCs/>
          <w:sz w:val="20"/>
          <w:szCs w:val="20"/>
        </w:rPr>
      </w:pPr>
    </w:p>
    <w:p w14:paraId="75FDC0E7" w14:textId="6449288D" w:rsidR="00C01EE0" w:rsidRPr="00AF2D63" w:rsidRDefault="009E39C7" w:rsidP="00C01EE0">
      <w:pPr>
        <w:pStyle w:val="Brdtext1"/>
        <w:spacing w:after="0" w:line="240" w:lineRule="auto"/>
        <w:jc w:val="both"/>
        <w:rPr>
          <w:rFonts w:ascii="Arial" w:hAnsi="Arial" w:cs="Arial"/>
          <w:b/>
          <w:bCs/>
          <w:sz w:val="20"/>
          <w:szCs w:val="20"/>
          <w:lang w:val="en-GB"/>
        </w:rPr>
      </w:pPr>
      <w:r w:rsidRPr="00AF2D63">
        <w:rPr>
          <w:rFonts w:ascii="Arial" w:hAnsi="Arial" w:cs="Arial"/>
          <w:b/>
          <w:bCs/>
          <w:sz w:val="20"/>
          <w:szCs w:val="20"/>
          <w:lang w:val="en-GB"/>
        </w:rPr>
        <w:t xml:space="preserve">Certified Adviser </w:t>
      </w:r>
    </w:p>
    <w:p w14:paraId="129ABA24" w14:textId="1AE3C001" w:rsidR="00E61525" w:rsidRPr="00AF2D63" w:rsidRDefault="00E61525" w:rsidP="001A527C">
      <w:pPr>
        <w:pStyle w:val="Brdtext1"/>
        <w:spacing w:after="0" w:line="240" w:lineRule="auto"/>
        <w:jc w:val="both"/>
        <w:outlineLvl w:val="0"/>
        <w:rPr>
          <w:rFonts w:ascii="Arial" w:hAnsi="Arial" w:cs="Arial"/>
          <w:bCs/>
          <w:i/>
          <w:sz w:val="20"/>
          <w:szCs w:val="20"/>
        </w:rPr>
      </w:pPr>
      <w:r w:rsidRPr="00AF2D63">
        <w:rPr>
          <w:rFonts w:ascii="Arial" w:hAnsi="Arial" w:cs="Arial"/>
          <w:bCs/>
          <w:i/>
          <w:sz w:val="20"/>
          <w:szCs w:val="20"/>
        </w:rPr>
        <w:t>Sedermera Fondko</w:t>
      </w:r>
      <w:r w:rsidR="00F252B1" w:rsidRPr="00AF2D63">
        <w:rPr>
          <w:rFonts w:ascii="Arial" w:hAnsi="Arial" w:cs="Arial"/>
          <w:bCs/>
          <w:i/>
          <w:sz w:val="20"/>
          <w:szCs w:val="20"/>
        </w:rPr>
        <w:t>mmission is the Certified Adviso</w:t>
      </w:r>
      <w:r w:rsidRPr="00AF2D63">
        <w:rPr>
          <w:rFonts w:ascii="Arial" w:hAnsi="Arial" w:cs="Arial"/>
          <w:bCs/>
          <w:i/>
          <w:sz w:val="20"/>
          <w:szCs w:val="20"/>
        </w:rPr>
        <w:t>r.</w:t>
      </w:r>
    </w:p>
    <w:p w14:paraId="351F52E8" w14:textId="77777777" w:rsidR="008E7229" w:rsidRPr="00AF2D63" w:rsidRDefault="008E7229" w:rsidP="00A674C7">
      <w:pPr>
        <w:pStyle w:val="Brdtext1"/>
        <w:spacing w:after="0" w:line="240" w:lineRule="auto"/>
        <w:jc w:val="both"/>
        <w:rPr>
          <w:rFonts w:ascii="Arial" w:hAnsi="Arial" w:cs="Arial"/>
          <w:b/>
          <w:bCs/>
          <w:sz w:val="20"/>
          <w:szCs w:val="20"/>
        </w:rPr>
      </w:pPr>
    </w:p>
    <w:p w14:paraId="6EB9DE75" w14:textId="77777777" w:rsidR="0044648F" w:rsidRPr="00AF2D63" w:rsidRDefault="00444093" w:rsidP="0044648F">
      <w:pPr>
        <w:pStyle w:val="Brdtext1"/>
        <w:spacing w:after="0" w:line="240" w:lineRule="auto"/>
        <w:jc w:val="both"/>
        <w:rPr>
          <w:rFonts w:ascii="Arial" w:hAnsi="Arial" w:cs="Arial"/>
          <w:b/>
          <w:bCs/>
          <w:sz w:val="20"/>
          <w:szCs w:val="20"/>
        </w:rPr>
      </w:pPr>
      <w:r w:rsidRPr="00AF2D63">
        <w:rPr>
          <w:rFonts w:ascii="Arial" w:hAnsi="Arial" w:cs="Arial"/>
          <w:b/>
          <w:bCs/>
          <w:sz w:val="20"/>
          <w:szCs w:val="20"/>
        </w:rPr>
        <w:t xml:space="preserve">For additional information, visit </w:t>
      </w:r>
      <w:hyperlink r:id="rId8" w:history="1">
        <w:r w:rsidRPr="00AF2D63">
          <w:rPr>
            <w:rStyle w:val="Hyperlink"/>
            <w:rFonts w:ascii="Arial" w:hAnsi="Arial" w:cs="Arial"/>
            <w:b/>
            <w:sz w:val="20"/>
            <w:szCs w:val="20"/>
          </w:rPr>
          <w:t>www.globalwarningsystem.com</w:t>
        </w:r>
      </w:hyperlink>
      <w:r w:rsidRPr="00AF2D63">
        <w:rPr>
          <w:rFonts w:ascii="Arial" w:hAnsi="Arial" w:cs="Arial"/>
        </w:rPr>
        <w:t xml:space="preserve"> </w:t>
      </w:r>
      <w:r w:rsidRPr="00AF2D63">
        <w:rPr>
          <w:rFonts w:ascii="Arial" w:hAnsi="Arial" w:cs="Arial"/>
          <w:b/>
          <w:bCs/>
          <w:sz w:val="20"/>
          <w:szCs w:val="20"/>
        </w:rPr>
        <w:t xml:space="preserve">or contact </w:t>
      </w:r>
      <w:r w:rsidR="0082118C" w:rsidRPr="00AF2D63">
        <w:rPr>
          <w:rFonts w:ascii="Arial" w:hAnsi="Arial" w:cs="Arial"/>
          <w:b/>
          <w:bCs/>
          <w:sz w:val="20"/>
          <w:szCs w:val="20"/>
        </w:rPr>
        <w:t>GWS</w:t>
      </w:r>
      <w:r w:rsidRPr="00AF2D63">
        <w:rPr>
          <w:rFonts w:ascii="Arial" w:hAnsi="Arial" w:cs="Arial"/>
          <w:b/>
          <w:bCs/>
          <w:sz w:val="20"/>
          <w:szCs w:val="20"/>
        </w:rPr>
        <w:t xml:space="preserve"> </w:t>
      </w:r>
      <w:r w:rsidR="0082118C" w:rsidRPr="00AF2D63">
        <w:rPr>
          <w:rFonts w:ascii="Arial" w:hAnsi="Arial" w:cs="Arial"/>
          <w:b/>
          <w:bCs/>
          <w:sz w:val="20"/>
          <w:szCs w:val="20"/>
        </w:rPr>
        <w:t>CEO Andreas Rodman:</w:t>
      </w:r>
      <w:r w:rsidRPr="00AF2D63">
        <w:rPr>
          <w:rFonts w:ascii="Arial" w:hAnsi="Arial" w:cs="Arial"/>
          <w:b/>
          <w:bCs/>
          <w:sz w:val="20"/>
          <w:szCs w:val="20"/>
        </w:rPr>
        <w:t xml:space="preserve"> +46 (0) 708 - 10 13 16</w:t>
      </w:r>
      <w:r w:rsidR="0082118C" w:rsidRPr="00AF2D63">
        <w:rPr>
          <w:rFonts w:ascii="Arial" w:hAnsi="Arial" w:cs="Arial"/>
          <w:b/>
          <w:bCs/>
          <w:sz w:val="20"/>
          <w:szCs w:val="20"/>
        </w:rPr>
        <w:t xml:space="preserve"> or via</w:t>
      </w:r>
      <w:r w:rsidRPr="00AF2D63">
        <w:rPr>
          <w:rFonts w:ascii="Arial" w:hAnsi="Arial" w:cs="Arial"/>
          <w:b/>
          <w:bCs/>
          <w:sz w:val="20"/>
          <w:szCs w:val="20"/>
        </w:rPr>
        <w:t xml:space="preserve"> andreas.rodman@globalwarningsystem.com </w:t>
      </w:r>
    </w:p>
    <w:p w14:paraId="0A341AFD" w14:textId="77777777" w:rsidR="00687BDC" w:rsidRPr="00AF2D63" w:rsidRDefault="00687BDC" w:rsidP="0044648F">
      <w:pPr>
        <w:pStyle w:val="Brdtext1"/>
        <w:spacing w:after="0" w:line="240" w:lineRule="auto"/>
        <w:jc w:val="both"/>
        <w:rPr>
          <w:rFonts w:ascii="Arial" w:hAnsi="Arial" w:cs="Arial"/>
          <w:b/>
          <w:bCs/>
          <w:sz w:val="20"/>
          <w:szCs w:val="20"/>
        </w:rPr>
      </w:pPr>
    </w:p>
    <w:p w14:paraId="0BFC1B74" w14:textId="6B816122" w:rsidR="00687BDC" w:rsidRPr="00AF2D63" w:rsidRDefault="00687BDC" w:rsidP="00687BDC">
      <w:pPr>
        <w:pStyle w:val="Brdtext1"/>
        <w:spacing w:after="0" w:line="240" w:lineRule="auto"/>
        <w:jc w:val="both"/>
        <w:outlineLvl w:val="0"/>
        <w:rPr>
          <w:rFonts w:ascii="Arial" w:hAnsi="Arial" w:cs="Arial"/>
          <w:bCs/>
          <w:i/>
          <w:sz w:val="20"/>
          <w:szCs w:val="20"/>
        </w:rPr>
      </w:pPr>
      <w:r w:rsidRPr="00AF2D63">
        <w:rPr>
          <w:rFonts w:ascii="Arial" w:hAnsi="Arial" w:cs="Arial"/>
          <w:bCs/>
          <w:i/>
          <w:sz w:val="20"/>
          <w:szCs w:val="20"/>
        </w:rPr>
        <w:t>This information is information that GWS Production AB is obliged to make public pursuant to the EU Market Abuse Regulation. The information was submitted for publication, through the agency of the con</w:t>
      </w:r>
      <w:r w:rsidR="0045135E" w:rsidRPr="00AF2D63">
        <w:rPr>
          <w:rFonts w:ascii="Arial" w:hAnsi="Arial" w:cs="Arial"/>
          <w:bCs/>
          <w:i/>
          <w:sz w:val="20"/>
          <w:szCs w:val="20"/>
        </w:rPr>
        <w:t>tact person set out above, at 15</w:t>
      </w:r>
      <w:r w:rsidRPr="00AF2D63">
        <w:rPr>
          <w:rFonts w:ascii="Arial" w:hAnsi="Arial" w:cs="Arial"/>
          <w:bCs/>
          <w:i/>
          <w:sz w:val="20"/>
          <w:szCs w:val="20"/>
        </w:rPr>
        <w:t>.00 CET</w:t>
      </w:r>
      <w:r w:rsidR="00F82496" w:rsidRPr="00AF2D63">
        <w:rPr>
          <w:rFonts w:ascii="Arial" w:hAnsi="Arial" w:cs="Arial"/>
          <w:bCs/>
          <w:i/>
          <w:sz w:val="20"/>
          <w:szCs w:val="20"/>
        </w:rPr>
        <w:t xml:space="preserve"> on </w:t>
      </w:r>
      <w:r w:rsidR="00270104" w:rsidRPr="00AF2D63">
        <w:rPr>
          <w:rFonts w:ascii="Arial" w:hAnsi="Arial" w:cs="Arial"/>
          <w:bCs/>
          <w:i/>
          <w:sz w:val="20"/>
          <w:szCs w:val="20"/>
        </w:rPr>
        <w:t>February</w:t>
      </w:r>
      <w:r w:rsidR="00F33D14" w:rsidRPr="00AF2D63">
        <w:rPr>
          <w:rFonts w:ascii="Arial" w:hAnsi="Arial" w:cs="Arial"/>
          <w:bCs/>
          <w:i/>
          <w:sz w:val="20"/>
          <w:szCs w:val="20"/>
        </w:rPr>
        <w:t xml:space="preserve"> 2</w:t>
      </w:r>
      <w:r w:rsidR="00270104" w:rsidRPr="00AF2D63">
        <w:rPr>
          <w:rFonts w:ascii="Arial" w:hAnsi="Arial" w:cs="Arial"/>
          <w:bCs/>
          <w:i/>
          <w:sz w:val="20"/>
          <w:szCs w:val="20"/>
        </w:rPr>
        <w:t>4</w:t>
      </w:r>
      <w:r w:rsidR="00270104" w:rsidRPr="00AF2D63">
        <w:rPr>
          <w:rFonts w:ascii="Arial" w:hAnsi="Arial" w:cs="Arial"/>
          <w:bCs/>
          <w:i/>
          <w:sz w:val="20"/>
          <w:szCs w:val="20"/>
          <w:vertAlign w:val="superscript"/>
        </w:rPr>
        <w:t>th</w:t>
      </w:r>
      <w:r w:rsidR="00270104" w:rsidRPr="00AF2D63">
        <w:rPr>
          <w:rFonts w:ascii="Arial" w:hAnsi="Arial" w:cs="Arial"/>
          <w:bCs/>
          <w:i/>
          <w:sz w:val="20"/>
          <w:szCs w:val="20"/>
        </w:rPr>
        <w:t>, 2017</w:t>
      </w:r>
      <w:r w:rsidRPr="00AF2D63">
        <w:rPr>
          <w:rFonts w:ascii="Arial" w:hAnsi="Arial" w:cs="Arial"/>
          <w:bCs/>
          <w:i/>
          <w:sz w:val="20"/>
          <w:szCs w:val="20"/>
        </w:rPr>
        <w:t>.</w:t>
      </w:r>
    </w:p>
    <w:p w14:paraId="5253BAE3" w14:textId="77777777" w:rsidR="0042602F" w:rsidRPr="00AF2D63" w:rsidRDefault="0042602F" w:rsidP="00A674C7">
      <w:pPr>
        <w:pStyle w:val="Brdtext1"/>
        <w:spacing w:after="0" w:line="240" w:lineRule="auto"/>
        <w:jc w:val="both"/>
        <w:rPr>
          <w:rFonts w:ascii="Arial" w:hAnsi="Arial" w:cs="Arial"/>
          <w:b/>
          <w:bCs/>
          <w:sz w:val="20"/>
          <w:szCs w:val="20"/>
        </w:rPr>
      </w:pPr>
    </w:p>
    <w:p w14:paraId="5EC49395" w14:textId="365EA35B" w:rsidR="00225782" w:rsidRPr="00AF2D63" w:rsidRDefault="00225782" w:rsidP="00225782">
      <w:pPr>
        <w:pStyle w:val="Brdtext1"/>
        <w:spacing w:after="0" w:line="240" w:lineRule="auto"/>
        <w:jc w:val="both"/>
        <w:rPr>
          <w:rFonts w:ascii="Arial" w:hAnsi="Arial" w:cs="Arial"/>
          <w:b/>
          <w:bCs/>
          <w:i/>
          <w:sz w:val="20"/>
          <w:szCs w:val="20"/>
        </w:rPr>
      </w:pPr>
      <w:r w:rsidRPr="00AF2D63">
        <w:rPr>
          <w:rFonts w:ascii="Arial" w:hAnsi="Arial" w:cs="Arial"/>
          <w:b/>
          <w:bCs/>
          <w:i/>
          <w:sz w:val="20"/>
          <w:szCs w:val="20"/>
        </w:rPr>
        <w:t>This is an English version of a press release communicated by GWS Production AB. In any case of doubt or possible differences regarding the different versions it is the Swedish version that shall apply.</w:t>
      </w:r>
    </w:p>
    <w:p w14:paraId="7E9EF4A6" w14:textId="77777777" w:rsidR="009E79F6" w:rsidRPr="00AF2D63" w:rsidRDefault="009E79F6" w:rsidP="00A674C7">
      <w:pPr>
        <w:pStyle w:val="Brdtext1"/>
        <w:spacing w:after="0" w:line="240" w:lineRule="auto"/>
        <w:jc w:val="both"/>
        <w:rPr>
          <w:rFonts w:ascii="Arial" w:hAnsi="Arial" w:cs="Arial"/>
          <w:bCs/>
          <w:sz w:val="16"/>
          <w:szCs w:val="16"/>
        </w:rPr>
      </w:pPr>
    </w:p>
    <w:p w14:paraId="31F64E8B" w14:textId="512FFF64" w:rsidR="009E79F6" w:rsidRPr="00AF2D63" w:rsidRDefault="00820769" w:rsidP="00A674C7">
      <w:pPr>
        <w:pStyle w:val="Brdtext1"/>
        <w:spacing w:after="0" w:line="240" w:lineRule="auto"/>
        <w:jc w:val="both"/>
        <w:rPr>
          <w:rFonts w:ascii="Arial" w:hAnsi="Arial" w:cs="Arial"/>
          <w:bCs/>
          <w:sz w:val="16"/>
          <w:szCs w:val="16"/>
        </w:rPr>
      </w:pPr>
      <w:r>
        <w:rPr>
          <w:rFonts w:ascii="Arial" w:hAnsi="Arial" w:cs="Arial"/>
          <w:bCs/>
          <w:sz w:val="16"/>
          <w:szCs w:val="16"/>
        </w:rPr>
        <w:pict w14:anchorId="39657173">
          <v:rect id="_x0000_i1025" style="width:0;height:1.5pt" o:hralign="center" o:hrstd="t" o:hr="t" fillcolor="#aaa" stroked="f"/>
        </w:pict>
      </w:r>
    </w:p>
    <w:p w14:paraId="64EC8563" w14:textId="77777777" w:rsidR="009E79F6" w:rsidRPr="00AF2D63" w:rsidRDefault="009E79F6" w:rsidP="009E79F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AF2D63">
        <w:rPr>
          <w:rFonts w:ascii="Arial" w:eastAsia="Times New Roman" w:hAnsi="Arial" w:cs="Arial"/>
          <w:b/>
          <w:sz w:val="20"/>
          <w:szCs w:val="20"/>
          <w:bdr w:val="none" w:sz="0" w:space="0" w:color="auto"/>
        </w:rPr>
        <w:t>About GWS Production AB and Safeture</w:t>
      </w:r>
    </w:p>
    <w:p w14:paraId="60C61568" w14:textId="77777777" w:rsidR="009E79F6" w:rsidRPr="00AF2D63" w:rsidRDefault="009E79F6" w:rsidP="009E79F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AF2D63">
        <w:rPr>
          <w:rFonts w:ascii="Arial" w:eastAsia="Times New Roman" w:hAnsi="Arial" w:cs="Arial"/>
          <w:sz w:val="20"/>
          <w:szCs w:val="20"/>
          <w:bdr w:val="none" w:sz="0" w:space="0" w:color="auto"/>
        </w:rPr>
        <w:t>GWS, (Global Warning System) was founded in 2009, triggered by the experience of the global SARS epidemic, the 2004 Indian Ocean tsunami and the Mumbai terror attacks. The company offers a personal security mobile app, Safeture. The app protects travelers through real-time tracking and provides valuable real-time information about disasters, and other threats that could impact you while you’re abroad. The system consists of a range of services that are delivered via the traveler’s mobile phone, and is suitable for both businesses (Safeture Pro), and for private individuals (Safeture).</w:t>
      </w:r>
    </w:p>
    <w:p w14:paraId="331C6F74" w14:textId="77777777" w:rsidR="009E79F6" w:rsidRPr="00AF2D63" w:rsidRDefault="009E79F6" w:rsidP="00A674C7">
      <w:pPr>
        <w:pStyle w:val="Brdtext1"/>
        <w:spacing w:after="0" w:line="240" w:lineRule="auto"/>
        <w:jc w:val="both"/>
        <w:rPr>
          <w:rFonts w:ascii="Arial" w:hAnsi="Arial" w:cs="Arial"/>
          <w:bCs/>
          <w:sz w:val="16"/>
          <w:szCs w:val="16"/>
        </w:rPr>
      </w:pPr>
    </w:p>
    <w:p w14:paraId="74BD5550" w14:textId="77777777" w:rsidR="009C4E07" w:rsidRPr="00AF2D63" w:rsidRDefault="009C4E07" w:rsidP="009C4E07">
      <w:pPr>
        <w:pStyle w:val="Brdtext1"/>
        <w:spacing w:after="0" w:line="240" w:lineRule="auto"/>
        <w:jc w:val="both"/>
        <w:outlineLvl w:val="0"/>
        <w:rPr>
          <w:rFonts w:ascii="Arial" w:hAnsi="Arial" w:cs="Arial"/>
          <w:bCs/>
          <w:i/>
          <w:sz w:val="20"/>
          <w:szCs w:val="20"/>
        </w:rPr>
      </w:pPr>
      <w:r w:rsidRPr="00AF2D63">
        <w:rPr>
          <w:rFonts w:ascii="Arial" w:hAnsi="Arial" w:cs="Arial"/>
          <w:bCs/>
          <w:i/>
          <w:sz w:val="20"/>
          <w:szCs w:val="20"/>
        </w:rPr>
        <w:t>The GWS share is listed on NASDAQ First North Stockholm.</w:t>
      </w:r>
    </w:p>
    <w:p w14:paraId="5CAD059E" w14:textId="77777777" w:rsidR="009C4E07" w:rsidRPr="00AF2D63" w:rsidRDefault="009C4E07" w:rsidP="00A674C7">
      <w:pPr>
        <w:pStyle w:val="Brdtext1"/>
        <w:spacing w:after="0" w:line="240" w:lineRule="auto"/>
        <w:jc w:val="both"/>
        <w:rPr>
          <w:rFonts w:ascii="Arial" w:hAnsi="Arial" w:cs="Arial"/>
          <w:bCs/>
          <w:sz w:val="16"/>
          <w:szCs w:val="16"/>
        </w:rPr>
      </w:pPr>
    </w:p>
    <w:sectPr w:rsidR="009C4E07" w:rsidRPr="00AF2D63" w:rsidSect="001A2051">
      <w:headerReference w:type="default" r:id="rId9"/>
      <w:footerReference w:type="default" r:id="rId10"/>
      <w:pgSz w:w="11900" w:h="16840"/>
      <w:pgMar w:top="1560" w:right="1417" w:bottom="1985" w:left="1417" w:header="708" w:footer="4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90D61" w14:textId="77777777" w:rsidR="00820769" w:rsidRDefault="00820769">
      <w:r>
        <w:separator/>
      </w:r>
    </w:p>
  </w:endnote>
  <w:endnote w:type="continuationSeparator" w:id="0">
    <w:p w14:paraId="18AD2670" w14:textId="77777777" w:rsidR="00820769" w:rsidRDefault="008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225130"/>
      <w:docPartObj>
        <w:docPartGallery w:val="Page Numbers (Bottom of Page)"/>
        <w:docPartUnique/>
      </w:docPartObj>
    </w:sdtPr>
    <w:sdtEndPr/>
    <w:sdtContent>
      <w:p w14:paraId="21EC62E6" w14:textId="20B8485E" w:rsidR="00EC5E3C" w:rsidRDefault="00EC5E3C">
        <w:pPr>
          <w:pStyle w:val="Footer"/>
          <w:jc w:val="center"/>
        </w:pPr>
        <w:r>
          <w:rPr>
            <w:noProof/>
            <w:lang w:val="en-US"/>
          </w:rPr>
          <mc:AlternateContent>
            <mc:Choice Requires="wps">
              <w:drawing>
                <wp:anchor distT="152400" distB="152400" distL="152400" distR="152400" simplePos="0" relativeHeight="251659264" behindDoc="1" locked="0" layoutInCell="1" allowOverlap="1" wp14:anchorId="5AA2E28D" wp14:editId="35DA2D6A">
                  <wp:simplePos x="0" y="0"/>
                  <wp:positionH relativeFrom="page">
                    <wp:posOffset>-965</wp:posOffset>
                  </wp:positionH>
                  <wp:positionV relativeFrom="page">
                    <wp:posOffset>10198100</wp:posOffset>
                  </wp:positionV>
                  <wp:extent cx="7561580" cy="492760"/>
                  <wp:effectExtent l="0" t="0" r="127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492760"/>
                          </a:xfrm>
                          <a:prstGeom prst="rect">
                            <a:avLst/>
                          </a:prstGeom>
                          <a:solidFill>
                            <a:srgbClr val="97D64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75F8FF7" id="Rectangle 2" o:spid="_x0000_s1026" style="position:absolute;margin-left:-.1pt;margin-top:803pt;width:595.4pt;height:38.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" fillcolor="#97d645" stroked="f">
                  <w10:wrap anchorx="page" anchory="page"/>
                </v:rect>
              </w:pict>
            </mc:Fallback>
          </mc:AlternateContent>
        </w:r>
        <w:r>
          <w:fldChar w:fldCharType="begin"/>
        </w:r>
        <w:r>
          <w:instrText>PAGE   \* MERGEFORMAT</w:instrText>
        </w:r>
        <w:r>
          <w:fldChar w:fldCharType="separate"/>
        </w:r>
        <w:r w:rsidR="0027314C">
          <w:rPr>
            <w:noProof/>
          </w:rPr>
          <w:t>2</w:t>
        </w:r>
        <w:r>
          <w:fldChar w:fldCharType="end"/>
        </w:r>
      </w:p>
    </w:sdtContent>
  </w:sdt>
  <w:p w14:paraId="049AD824" w14:textId="77777777" w:rsidR="00EC5E3C" w:rsidRDefault="00EC5E3C">
    <w:pPr>
      <w:pStyle w:val="Footer"/>
      <w:tabs>
        <w:tab w:val="clear" w:pos="9072"/>
        <w:tab w:val="right" w:pos="9046"/>
      </w:tabs>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CDF14" w14:textId="77777777" w:rsidR="00820769" w:rsidRDefault="00820769">
      <w:r>
        <w:separator/>
      </w:r>
    </w:p>
  </w:footnote>
  <w:footnote w:type="continuationSeparator" w:id="0">
    <w:p w14:paraId="253EE877" w14:textId="77777777" w:rsidR="00820769" w:rsidRDefault="008207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2403" w14:textId="77777777" w:rsidR="00EC5E3C" w:rsidRDefault="00EC5E3C">
    <w:pPr>
      <w:pStyle w:val="Header"/>
      <w:tabs>
        <w:tab w:val="clear" w:pos="9072"/>
        <w:tab w:val="right" w:pos="9046"/>
      </w:tabs>
    </w:pPr>
    <w:r>
      <w:rPr>
        <w:noProof/>
        <w:lang w:val="en-US"/>
      </w:rPr>
      <w:drawing>
        <wp:anchor distT="152400" distB="152400" distL="152400" distR="152400" simplePos="0" relativeHeight="251657216" behindDoc="1" locked="0" layoutInCell="1" allowOverlap="1" wp14:anchorId="65BD3876" wp14:editId="272BE953">
          <wp:simplePos x="0" y="0"/>
          <wp:positionH relativeFrom="page">
            <wp:posOffset>5233637</wp:posOffset>
          </wp:positionH>
          <wp:positionV relativeFrom="page">
            <wp:posOffset>453484</wp:posOffset>
          </wp:positionV>
          <wp:extent cx="1419458" cy="580522"/>
          <wp:effectExtent l="0" t="0" r="0" b="0"/>
          <wp:wrapNone/>
          <wp:docPr id="6" name="officeArt object" descr="GWS-logo-RGB.png"/>
          <wp:cNvGraphicFramePr/>
          <a:graphic xmlns:a="http://schemas.openxmlformats.org/drawingml/2006/main">
            <a:graphicData uri="http://schemas.openxmlformats.org/drawingml/2006/picture">
              <pic:pic xmlns:pic="http://schemas.openxmlformats.org/drawingml/2006/picture">
                <pic:nvPicPr>
                  <pic:cNvPr id="1073741825" name="image1.png" descr="GWS-logo-RGB.png"/>
                  <pic:cNvPicPr/>
                </pic:nvPicPr>
                <pic:blipFill>
                  <a:blip r:embed="rId1">
                    <a:extLst/>
                  </a:blip>
                  <a:stretch>
                    <a:fillRect/>
                  </a:stretch>
                </pic:blipFill>
                <pic:spPr>
                  <a:xfrm>
                    <a:off x="0" y="0"/>
                    <a:ext cx="1419458" cy="580522"/>
                  </a:xfrm>
                  <a:prstGeom prst="rect">
                    <a:avLst/>
                  </a:prstGeom>
                  <a:ln w="12700" cap="flat">
                    <a:noFill/>
                    <a:miter lim="400000"/>
                  </a:ln>
                  <a:effectLst/>
                </pic:spPr>
              </pic:pic>
            </a:graphicData>
          </a:graphic>
        </wp:anchor>
      </w:drawing>
    </w:r>
  </w:p>
  <w:p w14:paraId="286E444F" w14:textId="77777777" w:rsidR="00EC5E3C" w:rsidRDefault="00EC5E3C">
    <w:pPr>
      <w:pStyle w:val="Header"/>
      <w:tabs>
        <w:tab w:val="clear" w:pos="4536"/>
        <w:tab w:val="clear" w:pos="9072"/>
        <w:tab w:val="left" w:pos="8113"/>
      </w:tabs>
      <w:jc w:val="right"/>
      <w:rPr>
        <w:sz w:val="16"/>
        <w:szCs w:val="16"/>
      </w:rPr>
    </w:pPr>
  </w:p>
  <w:p w14:paraId="293F4D89" w14:textId="77777777" w:rsidR="00EC5E3C" w:rsidRDefault="00EC5E3C">
    <w:pPr>
      <w:pStyle w:val="Header"/>
      <w:tabs>
        <w:tab w:val="clear" w:pos="4536"/>
        <w:tab w:val="clear" w:pos="9072"/>
        <w:tab w:val="left" w:pos="8113"/>
      </w:tabs>
      <w:spacing w:after="0"/>
      <w:jc w:val="right"/>
      <w:rPr>
        <w:sz w:val="16"/>
        <w:szCs w:val="16"/>
      </w:rPr>
    </w:pPr>
  </w:p>
  <w:p w14:paraId="7C8E5B81" w14:textId="77777777" w:rsidR="00EC5E3C" w:rsidRDefault="00EC5E3C">
    <w:pPr>
      <w:pStyle w:val="Header"/>
      <w:tabs>
        <w:tab w:val="clear" w:pos="9072"/>
        <w:tab w:val="right" w:pos="9046"/>
      </w:tabs>
      <w:spacing w:after="0"/>
      <w:jc w:val="right"/>
      <w:rPr>
        <w:sz w:val="20"/>
        <w:szCs w:val="20"/>
      </w:rPr>
    </w:pPr>
  </w:p>
  <w:p w14:paraId="7C5962CA" w14:textId="0B1865D3" w:rsidR="00EC5E3C" w:rsidRDefault="00C01EE0">
    <w:pPr>
      <w:pStyle w:val="Header"/>
      <w:tabs>
        <w:tab w:val="clear" w:pos="9072"/>
        <w:tab w:val="right" w:pos="9046"/>
      </w:tabs>
      <w:spacing w:after="0"/>
      <w:jc w:val="right"/>
    </w:pPr>
    <w:r>
      <w:rPr>
        <w:rFonts w:ascii="Trebuchet MS"/>
        <w:sz w:val="20"/>
        <w:szCs w:val="20"/>
        <w:lang w:val="en-US"/>
      </w:rPr>
      <w:t>PRESS RELEASE 2017</w:t>
    </w:r>
    <w:r w:rsidR="00EC5E3C">
      <w:rPr>
        <w:rFonts w:ascii="Trebuchet MS"/>
        <w:sz w:val="20"/>
        <w:szCs w:val="20"/>
        <w:lang w:val="en-US"/>
      </w:rPr>
      <w:t>-</w:t>
    </w:r>
    <w:r>
      <w:rPr>
        <w:rFonts w:ascii="Trebuchet MS"/>
        <w:sz w:val="20"/>
        <w:szCs w:val="20"/>
        <w:lang w:val="en-US"/>
      </w:rPr>
      <w:t>02</w:t>
    </w:r>
    <w:r w:rsidR="00EC5E3C" w:rsidRPr="00F33D14">
      <w:rPr>
        <w:rFonts w:ascii="Trebuchet MS"/>
        <w:sz w:val="20"/>
        <w:szCs w:val="20"/>
        <w:lang w:val="en-US"/>
      </w:rPr>
      <w:t>-</w:t>
    </w:r>
    <w:r>
      <w:rPr>
        <w:rFonts w:ascii="Trebuchet MS"/>
        <w:sz w:val="20"/>
        <w:szCs w:val="20"/>
        <w:lang w:val="en-US"/>
      </w:rPr>
      <w:t>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5EE332D"/>
    <w:multiLevelType w:val="multilevel"/>
    <w:tmpl w:val="E954D8FA"/>
    <w:lvl w:ilvl="0">
      <w:start w:val="1"/>
      <w:numFmt w:val="bullet"/>
      <w:lvlText w:val="•"/>
      <w:lvlJc w:val="left"/>
      <w:pPr>
        <w:tabs>
          <w:tab w:val="num" w:pos="180"/>
        </w:tabs>
        <w:ind w:left="180" w:hanging="180"/>
      </w:pPr>
      <w:rPr>
        <w:rFonts w:ascii="Calibri" w:eastAsia="Calibri" w:hAnsi="Calibri" w:cs="Calibri"/>
        <w:b/>
        <w:bCs/>
        <w:color w:val="000000"/>
        <w:position w:val="0"/>
        <w:sz w:val="18"/>
        <w:szCs w:val="18"/>
        <w:u w:color="000000"/>
      </w:rPr>
    </w:lvl>
    <w:lvl w:ilvl="1">
      <w:start w:val="1"/>
      <w:numFmt w:val="bullet"/>
      <w:lvlText w:val="•"/>
      <w:lvlJc w:val="left"/>
      <w:pPr>
        <w:tabs>
          <w:tab w:val="num" w:pos="540"/>
        </w:tabs>
        <w:ind w:left="360" w:hanging="180"/>
      </w:pPr>
      <w:rPr>
        <w:rFonts w:ascii="Calibri" w:eastAsia="Calibri" w:hAnsi="Calibri" w:cs="Calibri"/>
        <w:b/>
        <w:bCs/>
        <w:color w:val="000000"/>
        <w:position w:val="0"/>
        <w:sz w:val="18"/>
        <w:szCs w:val="18"/>
        <w:u w:color="000000"/>
      </w:rPr>
    </w:lvl>
    <w:lvl w:ilvl="2">
      <w:start w:val="1"/>
      <w:numFmt w:val="bullet"/>
      <w:lvlText w:val="•"/>
      <w:lvlJc w:val="left"/>
      <w:pPr>
        <w:tabs>
          <w:tab w:val="num" w:pos="900"/>
        </w:tabs>
        <w:ind w:left="540" w:hanging="180"/>
      </w:pPr>
      <w:rPr>
        <w:rFonts w:ascii="Calibri" w:eastAsia="Calibri" w:hAnsi="Calibri" w:cs="Calibri"/>
        <w:b/>
        <w:bCs/>
        <w:color w:val="000000"/>
        <w:position w:val="0"/>
        <w:sz w:val="18"/>
        <w:szCs w:val="18"/>
        <w:u w:color="000000"/>
      </w:rPr>
    </w:lvl>
    <w:lvl w:ilvl="3">
      <w:start w:val="1"/>
      <w:numFmt w:val="bullet"/>
      <w:lvlText w:val="•"/>
      <w:lvlJc w:val="left"/>
      <w:pPr>
        <w:tabs>
          <w:tab w:val="num" w:pos="1260"/>
        </w:tabs>
        <w:ind w:left="720" w:hanging="180"/>
      </w:pPr>
      <w:rPr>
        <w:rFonts w:ascii="Calibri" w:eastAsia="Calibri" w:hAnsi="Calibri" w:cs="Calibri"/>
        <w:b/>
        <w:bCs/>
        <w:color w:val="000000"/>
        <w:position w:val="0"/>
        <w:sz w:val="18"/>
        <w:szCs w:val="18"/>
        <w:u w:color="000000"/>
      </w:rPr>
    </w:lvl>
    <w:lvl w:ilvl="4">
      <w:start w:val="1"/>
      <w:numFmt w:val="bullet"/>
      <w:lvlText w:val="•"/>
      <w:lvlJc w:val="left"/>
      <w:pPr>
        <w:tabs>
          <w:tab w:val="num" w:pos="1620"/>
        </w:tabs>
        <w:ind w:left="900" w:hanging="180"/>
      </w:pPr>
      <w:rPr>
        <w:rFonts w:ascii="Calibri" w:eastAsia="Calibri" w:hAnsi="Calibri" w:cs="Calibri"/>
        <w:b/>
        <w:bCs/>
        <w:color w:val="000000"/>
        <w:position w:val="0"/>
        <w:sz w:val="18"/>
        <w:szCs w:val="18"/>
        <w:u w:color="000000"/>
      </w:rPr>
    </w:lvl>
    <w:lvl w:ilvl="5">
      <w:start w:val="1"/>
      <w:numFmt w:val="bullet"/>
      <w:lvlText w:val="•"/>
      <w:lvlJc w:val="left"/>
      <w:pPr>
        <w:tabs>
          <w:tab w:val="num" w:pos="1980"/>
        </w:tabs>
        <w:ind w:left="1080" w:hanging="180"/>
      </w:pPr>
      <w:rPr>
        <w:rFonts w:ascii="Calibri" w:eastAsia="Calibri" w:hAnsi="Calibri" w:cs="Calibri"/>
        <w:b/>
        <w:bCs/>
        <w:color w:val="000000"/>
        <w:position w:val="0"/>
        <w:sz w:val="18"/>
        <w:szCs w:val="18"/>
        <w:u w:color="000000"/>
      </w:rPr>
    </w:lvl>
    <w:lvl w:ilvl="6">
      <w:start w:val="1"/>
      <w:numFmt w:val="bullet"/>
      <w:lvlText w:val="•"/>
      <w:lvlJc w:val="left"/>
      <w:pPr>
        <w:tabs>
          <w:tab w:val="num" w:pos="2340"/>
        </w:tabs>
        <w:ind w:left="1260" w:hanging="180"/>
      </w:pPr>
      <w:rPr>
        <w:rFonts w:ascii="Calibri" w:eastAsia="Calibri" w:hAnsi="Calibri" w:cs="Calibri"/>
        <w:b/>
        <w:bCs/>
        <w:color w:val="000000"/>
        <w:position w:val="0"/>
        <w:sz w:val="18"/>
        <w:szCs w:val="18"/>
        <w:u w:color="000000"/>
      </w:rPr>
    </w:lvl>
    <w:lvl w:ilvl="7">
      <w:start w:val="1"/>
      <w:numFmt w:val="bullet"/>
      <w:lvlText w:val="•"/>
      <w:lvlJc w:val="left"/>
      <w:pPr>
        <w:tabs>
          <w:tab w:val="num" w:pos="2700"/>
        </w:tabs>
        <w:ind w:left="1440" w:hanging="180"/>
      </w:pPr>
      <w:rPr>
        <w:rFonts w:ascii="Calibri" w:eastAsia="Calibri" w:hAnsi="Calibri" w:cs="Calibri"/>
        <w:b/>
        <w:bCs/>
        <w:color w:val="000000"/>
        <w:position w:val="0"/>
        <w:sz w:val="18"/>
        <w:szCs w:val="18"/>
        <w:u w:color="000000"/>
      </w:rPr>
    </w:lvl>
    <w:lvl w:ilvl="8">
      <w:start w:val="1"/>
      <w:numFmt w:val="bullet"/>
      <w:lvlText w:val="•"/>
      <w:lvlJc w:val="left"/>
      <w:pPr>
        <w:tabs>
          <w:tab w:val="num" w:pos="3060"/>
        </w:tabs>
        <w:ind w:left="1620" w:hanging="180"/>
      </w:pPr>
      <w:rPr>
        <w:rFonts w:ascii="Calibri" w:eastAsia="Calibri" w:hAnsi="Calibri" w:cs="Calibri"/>
        <w:b/>
        <w:bCs/>
        <w:color w:val="000000"/>
        <w:position w:val="0"/>
        <w:sz w:val="18"/>
        <w:szCs w:val="18"/>
        <w:u w:color="000000"/>
      </w:rPr>
    </w:lvl>
  </w:abstractNum>
  <w:abstractNum w:abstractNumId="2">
    <w:nsid w:val="07805740"/>
    <w:multiLevelType w:val="hybridMultilevel"/>
    <w:tmpl w:val="01C8C5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924D7D"/>
    <w:multiLevelType w:val="hybridMultilevel"/>
    <w:tmpl w:val="899A84EC"/>
    <w:lvl w:ilvl="0" w:tplc="B38A6316">
      <w:start w:val="1"/>
      <w:numFmt w:val="decimal"/>
      <w:lvlText w:val="%1."/>
      <w:lvlJc w:val="left"/>
      <w:pPr>
        <w:ind w:left="360" w:hanging="360"/>
      </w:pPr>
      <w:rPr>
        <w:b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19075616"/>
    <w:multiLevelType w:val="hybridMultilevel"/>
    <w:tmpl w:val="411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23061"/>
    <w:multiLevelType w:val="hybridMultilevel"/>
    <w:tmpl w:val="5B00767A"/>
    <w:lvl w:ilvl="0" w:tplc="AD3AFA10">
      <w:start w:val="1"/>
      <w:numFmt w:val="bullet"/>
      <w:lvlText w:val="•"/>
      <w:lvlJc w:val="left"/>
      <w:pPr>
        <w:tabs>
          <w:tab w:val="num" w:pos="720"/>
        </w:tabs>
        <w:ind w:left="720" w:hanging="360"/>
      </w:pPr>
      <w:rPr>
        <w:rFonts w:ascii="Arial" w:hAnsi="Arial" w:hint="default"/>
      </w:rPr>
    </w:lvl>
    <w:lvl w:ilvl="1" w:tplc="CB32B778" w:tentative="1">
      <w:start w:val="1"/>
      <w:numFmt w:val="bullet"/>
      <w:lvlText w:val="•"/>
      <w:lvlJc w:val="left"/>
      <w:pPr>
        <w:tabs>
          <w:tab w:val="num" w:pos="1440"/>
        </w:tabs>
        <w:ind w:left="1440" w:hanging="360"/>
      </w:pPr>
      <w:rPr>
        <w:rFonts w:ascii="Arial" w:hAnsi="Arial" w:hint="default"/>
      </w:rPr>
    </w:lvl>
    <w:lvl w:ilvl="2" w:tplc="11F6852E" w:tentative="1">
      <w:start w:val="1"/>
      <w:numFmt w:val="bullet"/>
      <w:lvlText w:val="•"/>
      <w:lvlJc w:val="left"/>
      <w:pPr>
        <w:tabs>
          <w:tab w:val="num" w:pos="2160"/>
        </w:tabs>
        <w:ind w:left="2160" w:hanging="360"/>
      </w:pPr>
      <w:rPr>
        <w:rFonts w:ascii="Arial" w:hAnsi="Arial" w:hint="default"/>
      </w:rPr>
    </w:lvl>
    <w:lvl w:ilvl="3" w:tplc="AC501198" w:tentative="1">
      <w:start w:val="1"/>
      <w:numFmt w:val="bullet"/>
      <w:lvlText w:val="•"/>
      <w:lvlJc w:val="left"/>
      <w:pPr>
        <w:tabs>
          <w:tab w:val="num" w:pos="2880"/>
        </w:tabs>
        <w:ind w:left="2880" w:hanging="360"/>
      </w:pPr>
      <w:rPr>
        <w:rFonts w:ascii="Arial" w:hAnsi="Arial" w:hint="default"/>
      </w:rPr>
    </w:lvl>
    <w:lvl w:ilvl="4" w:tplc="4D52C668" w:tentative="1">
      <w:start w:val="1"/>
      <w:numFmt w:val="bullet"/>
      <w:lvlText w:val="•"/>
      <w:lvlJc w:val="left"/>
      <w:pPr>
        <w:tabs>
          <w:tab w:val="num" w:pos="3600"/>
        </w:tabs>
        <w:ind w:left="3600" w:hanging="360"/>
      </w:pPr>
      <w:rPr>
        <w:rFonts w:ascii="Arial" w:hAnsi="Arial" w:hint="default"/>
      </w:rPr>
    </w:lvl>
    <w:lvl w:ilvl="5" w:tplc="094AA53C" w:tentative="1">
      <w:start w:val="1"/>
      <w:numFmt w:val="bullet"/>
      <w:lvlText w:val="•"/>
      <w:lvlJc w:val="left"/>
      <w:pPr>
        <w:tabs>
          <w:tab w:val="num" w:pos="4320"/>
        </w:tabs>
        <w:ind w:left="4320" w:hanging="360"/>
      </w:pPr>
      <w:rPr>
        <w:rFonts w:ascii="Arial" w:hAnsi="Arial" w:hint="default"/>
      </w:rPr>
    </w:lvl>
    <w:lvl w:ilvl="6" w:tplc="9AEA6790" w:tentative="1">
      <w:start w:val="1"/>
      <w:numFmt w:val="bullet"/>
      <w:lvlText w:val="•"/>
      <w:lvlJc w:val="left"/>
      <w:pPr>
        <w:tabs>
          <w:tab w:val="num" w:pos="5040"/>
        </w:tabs>
        <w:ind w:left="5040" w:hanging="360"/>
      </w:pPr>
      <w:rPr>
        <w:rFonts w:ascii="Arial" w:hAnsi="Arial" w:hint="default"/>
      </w:rPr>
    </w:lvl>
    <w:lvl w:ilvl="7" w:tplc="735E4906" w:tentative="1">
      <w:start w:val="1"/>
      <w:numFmt w:val="bullet"/>
      <w:lvlText w:val="•"/>
      <w:lvlJc w:val="left"/>
      <w:pPr>
        <w:tabs>
          <w:tab w:val="num" w:pos="5760"/>
        </w:tabs>
        <w:ind w:left="5760" w:hanging="360"/>
      </w:pPr>
      <w:rPr>
        <w:rFonts w:ascii="Arial" w:hAnsi="Arial" w:hint="default"/>
      </w:rPr>
    </w:lvl>
    <w:lvl w:ilvl="8" w:tplc="F85EE122" w:tentative="1">
      <w:start w:val="1"/>
      <w:numFmt w:val="bullet"/>
      <w:lvlText w:val="•"/>
      <w:lvlJc w:val="left"/>
      <w:pPr>
        <w:tabs>
          <w:tab w:val="num" w:pos="6480"/>
        </w:tabs>
        <w:ind w:left="6480" w:hanging="360"/>
      </w:pPr>
      <w:rPr>
        <w:rFonts w:ascii="Arial" w:hAnsi="Arial" w:hint="default"/>
      </w:rPr>
    </w:lvl>
  </w:abstractNum>
  <w:abstractNum w:abstractNumId="6">
    <w:nsid w:val="2C380F4E"/>
    <w:multiLevelType w:val="hybridMultilevel"/>
    <w:tmpl w:val="B720C1EC"/>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7">
    <w:nsid w:val="3D494843"/>
    <w:multiLevelType w:val="multilevel"/>
    <w:tmpl w:val="D62E1E90"/>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8">
    <w:nsid w:val="41F50FAA"/>
    <w:multiLevelType w:val="hybridMultilevel"/>
    <w:tmpl w:val="0EDE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A20EA"/>
    <w:multiLevelType w:val="multilevel"/>
    <w:tmpl w:val="D3504774"/>
    <w:styleLink w:val="List1"/>
    <w:lvl w:ilvl="0">
      <w:numFmt w:val="bullet"/>
      <w:lvlText w:val="•"/>
      <w:lvlJc w:val="left"/>
      <w:pPr>
        <w:tabs>
          <w:tab w:val="num" w:pos="180"/>
        </w:tabs>
        <w:ind w:left="180" w:hanging="180"/>
      </w:pPr>
      <w:rPr>
        <w:rFonts w:ascii="Symbol" w:eastAsia="Symbol" w:hAnsi="Symbol" w:cs="Symbol"/>
        <w:b/>
        <w:bCs/>
        <w:color w:val="000000"/>
        <w:position w:val="0"/>
        <w:sz w:val="22"/>
        <w:szCs w:val="22"/>
        <w:u w:color="000000"/>
      </w:rPr>
    </w:lvl>
    <w:lvl w:ilvl="1">
      <w:start w:val="1"/>
      <w:numFmt w:val="bullet"/>
      <w:lvlText w:val="•"/>
      <w:lvlJc w:val="left"/>
      <w:pPr>
        <w:tabs>
          <w:tab w:val="num" w:pos="540"/>
        </w:tabs>
        <w:ind w:left="360" w:hanging="180"/>
      </w:pPr>
      <w:rPr>
        <w:rFonts w:ascii="Calibri" w:eastAsia="Calibri" w:hAnsi="Calibri" w:cs="Calibri"/>
        <w:b/>
        <w:bCs/>
        <w:color w:val="000000"/>
        <w:position w:val="0"/>
        <w:sz w:val="18"/>
        <w:szCs w:val="18"/>
        <w:u w:color="000000"/>
      </w:rPr>
    </w:lvl>
    <w:lvl w:ilvl="2">
      <w:start w:val="1"/>
      <w:numFmt w:val="bullet"/>
      <w:lvlText w:val="•"/>
      <w:lvlJc w:val="left"/>
      <w:pPr>
        <w:tabs>
          <w:tab w:val="num" w:pos="900"/>
        </w:tabs>
        <w:ind w:left="540" w:hanging="180"/>
      </w:pPr>
      <w:rPr>
        <w:rFonts w:ascii="Calibri" w:eastAsia="Calibri" w:hAnsi="Calibri" w:cs="Calibri"/>
        <w:b/>
        <w:bCs/>
        <w:color w:val="000000"/>
        <w:position w:val="0"/>
        <w:sz w:val="18"/>
        <w:szCs w:val="18"/>
        <w:u w:color="000000"/>
      </w:rPr>
    </w:lvl>
    <w:lvl w:ilvl="3">
      <w:start w:val="1"/>
      <w:numFmt w:val="bullet"/>
      <w:lvlText w:val="•"/>
      <w:lvlJc w:val="left"/>
      <w:pPr>
        <w:tabs>
          <w:tab w:val="num" w:pos="1260"/>
        </w:tabs>
        <w:ind w:left="720" w:hanging="180"/>
      </w:pPr>
      <w:rPr>
        <w:rFonts w:ascii="Calibri" w:eastAsia="Calibri" w:hAnsi="Calibri" w:cs="Calibri"/>
        <w:b/>
        <w:bCs/>
        <w:color w:val="000000"/>
        <w:position w:val="0"/>
        <w:sz w:val="18"/>
        <w:szCs w:val="18"/>
        <w:u w:color="000000"/>
      </w:rPr>
    </w:lvl>
    <w:lvl w:ilvl="4">
      <w:start w:val="1"/>
      <w:numFmt w:val="bullet"/>
      <w:lvlText w:val="•"/>
      <w:lvlJc w:val="left"/>
      <w:pPr>
        <w:tabs>
          <w:tab w:val="num" w:pos="1620"/>
        </w:tabs>
        <w:ind w:left="900" w:hanging="180"/>
      </w:pPr>
      <w:rPr>
        <w:rFonts w:ascii="Calibri" w:eastAsia="Calibri" w:hAnsi="Calibri" w:cs="Calibri"/>
        <w:b/>
        <w:bCs/>
        <w:color w:val="000000"/>
        <w:position w:val="0"/>
        <w:sz w:val="18"/>
        <w:szCs w:val="18"/>
        <w:u w:color="000000"/>
      </w:rPr>
    </w:lvl>
    <w:lvl w:ilvl="5">
      <w:start w:val="1"/>
      <w:numFmt w:val="bullet"/>
      <w:lvlText w:val="•"/>
      <w:lvlJc w:val="left"/>
      <w:pPr>
        <w:tabs>
          <w:tab w:val="num" w:pos="1980"/>
        </w:tabs>
        <w:ind w:left="1080" w:hanging="180"/>
      </w:pPr>
      <w:rPr>
        <w:rFonts w:ascii="Calibri" w:eastAsia="Calibri" w:hAnsi="Calibri" w:cs="Calibri"/>
        <w:b/>
        <w:bCs/>
        <w:color w:val="000000"/>
        <w:position w:val="0"/>
        <w:sz w:val="18"/>
        <w:szCs w:val="18"/>
        <w:u w:color="000000"/>
      </w:rPr>
    </w:lvl>
    <w:lvl w:ilvl="6">
      <w:start w:val="1"/>
      <w:numFmt w:val="bullet"/>
      <w:lvlText w:val="•"/>
      <w:lvlJc w:val="left"/>
      <w:pPr>
        <w:tabs>
          <w:tab w:val="num" w:pos="2340"/>
        </w:tabs>
        <w:ind w:left="1260" w:hanging="180"/>
      </w:pPr>
      <w:rPr>
        <w:rFonts w:ascii="Calibri" w:eastAsia="Calibri" w:hAnsi="Calibri" w:cs="Calibri"/>
        <w:b/>
        <w:bCs/>
        <w:color w:val="000000"/>
        <w:position w:val="0"/>
        <w:sz w:val="18"/>
        <w:szCs w:val="18"/>
        <w:u w:color="000000"/>
      </w:rPr>
    </w:lvl>
    <w:lvl w:ilvl="7">
      <w:start w:val="1"/>
      <w:numFmt w:val="bullet"/>
      <w:lvlText w:val="•"/>
      <w:lvlJc w:val="left"/>
      <w:pPr>
        <w:tabs>
          <w:tab w:val="num" w:pos="2700"/>
        </w:tabs>
        <w:ind w:left="1440" w:hanging="180"/>
      </w:pPr>
      <w:rPr>
        <w:rFonts w:ascii="Calibri" w:eastAsia="Calibri" w:hAnsi="Calibri" w:cs="Calibri"/>
        <w:b/>
        <w:bCs/>
        <w:color w:val="000000"/>
        <w:position w:val="0"/>
        <w:sz w:val="18"/>
        <w:szCs w:val="18"/>
        <w:u w:color="000000"/>
      </w:rPr>
    </w:lvl>
    <w:lvl w:ilvl="8">
      <w:start w:val="1"/>
      <w:numFmt w:val="bullet"/>
      <w:lvlText w:val="•"/>
      <w:lvlJc w:val="left"/>
      <w:pPr>
        <w:tabs>
          <w:tab w:val="num" w:pos="3060"/>
        </w:tabs>
        <w:ind w:left="1620" w:hanging="180"/>
      </w:pPr>
      <w:rPr>
        <w:rFonts w:ascii="Calibri" w:eastAsia="Calibri" w:hAnsi="Calibri" w:cs="Calibri"/>
        <w:b/>
        <w:bCs/>
        <w:color w:val="000000"/>
        <w:position w:val="0"/>
        <w:sz w:val="18"/>
        <w:szCs w:val="18"/>
        <w:u w:color="000000"/>
      </w:rPr>
    </w:lvl>
  </w:abstractNum>
  <w:abstractNum w:abstractNumId="10">
    <w:nsid w:val="4B0B2731"/>
    <w:multiLevelType w:val="multilevel"/>
    <w:tmpl w:val="97B2EB5A"/>
    <w:styleLink w:val="List0"/>
    <w:lvl w:ilvl="0">
      <w:numFmt w:val="bullet"/>
      <w:lvlText w:val="•"/>
      <w:lvlJc w:val="left"/>
      <w:pPr>
        <w:tabs>
          <w:tab w:val="num" w:pos="220"/>
        </w:tabs>
        <w:ind w:left="220" w:hanging="220"/>
      </w:pPr>
      <w:rPr>
        <w:rFonts w:ascii="Calibri" w:eastAsia="Calibri" w:hAnsi="Calibri" w:cs="Calibri"/>
        <w:b/>
        <w:bCs/>
        <w:color w:val="000000"/>
        <w:position w:val="0"/>
        <w:sz w:val="22"/>
        <w:szCs w:val="22"/>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abstractNum w:abstractNumId="11">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622C0575"/>
    <w:multiLevelType w:val="multilevel"/>
    <w:tmpl w:val="0D56E72C"/>
    <w:lvl w:ilvl="0">
      <w:numFmt w:val="bullet"/>
      <w:lvlText w:val="•"/>
      <w:lvlJc w:val="left"/>
      <w:pPr>
        <w:tabs>
          <w:tab w:val="num" w:pos="220"/>
        </w:tabs>
        <w:ind w:left="220" w:hanging="220"/>
      </w:pPr>
      <w:rPr>
        <w:rFonts w:ascii="Calibri" w:eastAsia="Calibri" w:hAnsi="Calibri" w:cs="Calibri"/>
        <w:b/>
        <w:bCs/>
        <w:color w:val="000000"/>
        <w:position w:val="0"/>
        <w:sz w:val="22"/>
        <w:szCs w:val="22"/>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abstractNum w:abstractNumId="13">
    <w:nsid w:val="625A6B56"/>
    <w:multiLevelType w:val="multilevel"/>
    <w:tmpl w:val="2F60D33A"/>
    <w:lvl w:ilvl="0">
      <w:numFmt w:val="bullet"/>
      <w:lvlText w:val="•"/>
      <w:lvlJc w:val="left"/>
      <w:pPr>
        <w:tabs>
          <w:tab w:val="num" w:pos="220"/>
        </w:tabs>
        <w:ind w:left="220" w:hanging="220"/>
      </w:pPr>
      <w:rPr>
        <w:color w:val="000000"/>
        <w:position w:val="0"/>
        <w:sz w:val="22"/>
        <w:szCs w:val="22"/>
        <w:u w:color="000000"/>
        <w:rtl w:val="0"/>
      </w:rPr>
    </w:lvl>
    <w:lvl w:ilvl="1">
      <w:start w:val="1"/>
      <w:numFmt w:val="bullet"/>
      <w:lvlText w:val="•"/>
      <w:lvlJc w:val="left"/>
      <w:pPr>
        <w:tabs>
          <w:tab w:val="num" w:pos="660"/>
        </w:tabs>
        <w:ind w:left="440" w:hanging="220"/>
      </w:pPr>
      <w:rPr>
        <w:color w:val="000000"/>
        <w:position w:val="0"/>
        <w:sz w:val="18"/>
        <w:szCs w:val="18"/>
        <w:u w:color="000000"/>
        <w:rtl w:val="0"/>
      </w:rPr>
    </w:lvl>
    <w:lvl w:ilvl="2">
      <w:start w:val="1"/>
      <w:numFmt w:val="bullet"/>
      <w:lvlText w:val="•"/>
      <w:lvlJc w:val="left"/>
      <w:pPr>
        <w:tabs>
          <w:tab w:val="num" w:pos="1100"/>
        </w:tabs>
        <w:ind w:left="660" w:hanging="220"/>
      </w:pPr>
      <w:rPr>
        <w:color w:val="000000"/>
        <w:position w:val="0"/>
        <w:sz w:val="18"/>
        <w:szCs w:val="18"/>
        <w:u w:color="000000"/>
        <w:rtl w:val="0"/>
      </w:rPr>
    </w:lvl>
    <w:lvl w:ilvl="3">
      <w:start w:val="1"/>
      <w:numFmt w:val="bullet"/>
      <w:lvlText w:val="•"/>
      <w:lvlJc w:val="left"/>
      <w:pPr>
        <w:tabs>
          <w:tab w:val="num" w:pos="1540"/>
        </w:tabs>
        <w:ind w:left="880" w:hanging="220"/>
      </w:pPr>
      <w:rPr>
        <w:color w:val="000000"/>
        <w:position w:val="0"/>
        <w:sz w:val="18"/>
        <w:szCs w:val="18"/>
        <w:u w:color="000000"/>
        <w:rtl w:val="0"/>
      </w:rPr>
    </w:lvl>
    <w:lvl w:ilvl="4">
      <w:start w:val="1"/>
      <w:numFmt w:val="bullet"/>
      <w:lvlText w:val="•"/>
      <w:lvlJc w:val="left"/>
      <w:pPr>
        <w:tabs>
          <w:tab w:val="num" w:pos="1980"/>
        </w:tabs>
        <w:ind w:left="1100" w:hanging="220"/>
      </w:pPr>
      <w:rPr>
        <w:color w:val="000000"/>
        <w:position w:val="0"/>
        <w:sz w:val="18"/>
        <w:szCs w:val="18"/>
        <w:u w:color="000000"/>
        <w:rtl w:val="0"/>
      </w:rPr>
    </w:lvl>
    <w:lvl w:ilvl="5">
      <w:start w:val="1"/>
      <w:numFmt w:val="bullet"/>
      <w:lvlText w:val="•"/>
      <w:lvlJc w:val="left"/>
      <w:pPr>
        <w:tabs>
          <w:tab w:val="num" w:pos="2420"/>
        </w:tabs>
        <w:ind w:left="1320" w:hanging="220"/>
      </w:pPr>
      <w:rPr>
        <w:color w:val="000000"/>
        <w:position w:val="0"/>
        <w:sz w:val="18"/>
        <w:szCs w:val="18"/>
        <w:u w:color="000000"/>
        <w:rtl w:val="0"/>
      </w:rPr>
    </w:lvl>
    <w:lvl w:ilvl="6">
      <w:start w:val="1"/>
      <w:numFmt w:val="bullet"/>
      <w:lvlText w:val="•"/>
      <w:lvlJc w:val="left"/>
      <w:pPr>
        <w:tabs>
          <w:tab w:val="num" w:pos="2860"/>
        </w:tabs>
        <w:ind w:left="1540" w:hanging="220"/>
      </w:pPr>
      <w:rPr>
        <w:color w:val="000000"/>
        <w:position w:val="0"/>
        <w:sz w:val="18"/>
        <w:szCs w:val="18"/>
        <w:u w:color="000000"/>
        <w:rtl w:val="0"/>
      </w:rPr>
    </w:lvl>
    <w:lvl w:ilvl="7">
      <w:start w:val="1"/>
      <w:numFmt w:val="bullet"/>
      <w:lvlText w:val="•"/>
      <w:lvlJc w:val="left"/>
      <w:pPr>
        <w:tabs>
          <w:tab w:val="num" w:pos="3300"/>
        </w:tabs>
        <w:ind w:left="1760" w:hanging="220"/>
      </w:pPr>
      <w:rPr>
        <w:color w:val="000000"/>
        <w:position w:val="0"/>
        <w:sz w:val="18"/>
        <w:szCs w:val="18"/>
        <w:u w:color="000000"/>
        <w:rtl w:val="0"/>
      </w:rPr>
    </w:lvl>
    <w:lvl w:ilvl="8">
      <w:start w:val="1"/>
      <w:numFmt w:val="bullet"/>
      <w:lvlText w:val="•"/>
      <w:lvlJc w:val="left"/>
      <w:pPr>
        <w:tabs>
          <w:tab w:val="num" w:pos="3740"/>
        </w:tabs>
        <w:ind w:left="1980" w:hanging="220"/>
      </w:pPr>
      <w:rPr>
        <w:color w:val="000000"/>
        <w:position w:val="0"/>
        <w:sz w:val="18"/>
        <w:szCs w:val="18"/>
        <w:u w:color="000000"/>
        <w:rtl w:val="0"/>
      </w:rPr>
    </w:lvl>
  </w:abstractNum>
  <w:abstractNum w:abstractNumId="14">
    <w:nsid w:val="62B9121D"/>
    <w:multiLevelType w:val="hybridMultilevel"/>
    <w:tmpl w:val="3FD89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55F4921"/>
    <w:multiLevelType w:val="hybridMultilevel"/>
    <w:tmpl w:val="5782A1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66C60656"/>
    <w:multiLevelType w:val="multilevel"/>
    <w:tmpl w:val="6B40D21A"/>
    <w:lvl w:ilvl="0">
      <w:numFmt w:val="bullet"/>
      <w:lvlText w:val="•"/>
      <w:lvlJc w:val="left"/>
      <w:pPr>
        <w:tabs>
          <w:tab w:val="num" w:pos="220"/>
        </w:tabs>
        <w:ind w:left="220" w:hanging="220"/>
      </w:pPr>
      <w:rPr>
        <w:rFonts w:ascii="Calibri" w:eastAsia="Calibri" w:hAnsi="Calibri" w:cs="Calibri"/>
        <w:b/>
        <w:bCs/>
        <w:color w:val="000000"/>
        <w:position w:val="0"/>
        <w:sz w:val="22"/>
        <w:szCs w:val="22"/>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abstractNum w:abstractNumId="17">
    <w:nsid w:val="69B50520"/>
    <w:multiLevelType w:val="hybridMultilevel"/>
    <w:tmpl w:val="AC2ED6E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nsid w:val="6E7D0C08"/>
    <w:multiLevelType w:val="hybridMultilevel"/>
    <w:tmpl w:val="9E0CD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FAA2533"/>
    <w:multiLevelType w:val="hybridMultilevel"/>
    <w:tmpl w:val="8192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F156A2"/>
    <w:multiLevelType w:val="multilevel"/>
    <w:tmpl w:val="BA9C7278"/>
    <w:lvl w:ilvl="0">
      <w:numFmt w:val="bullet"/>
      <w:lvlText w:val="•"/>
      <w:lvlJc w:val="left"/>
      <w:pPr>
        <w:tabs>
          <w:tab w:val="num" w:pos="220"/>
        </w:tabs>
        <w:ind w:left="220" w:hanging="220"/>
      </w:pPr>
      <w:rPr>
        <w:rFonts w:ascii="Calibri" w:eastAsia="Calibri" w:hAnsi="Calibri" w:cs="Calibri"/>
        <w:b/>
        <w:bCs/>
        <w:color w:val="000000"/>
        <w:position w:val="0"/>
        <w:sz w:val="22"/>
        <w:szCs w:val="22"/>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abstractNum w:abstractNumId="21">
    <w:nsid w:val="77A12273"/>
    <w:multiLevelType w:val="hybridMultilevel"/>
    <w:tmpl w:val="E018BC02"/>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01">
      <w:start w:val="1"/>
      <w:numFmt w:val="bullet"/>
      <w:lvlText w:val=""/>
      <w:lvlJc w:val="left"/>
      <w:pPr>
        <w:ind w:left="1800" w:hanging="180"/>
      </w:pPr>
      <w:rPr>
        <w:rFonts w:ascii="Symbol" w:hAnsi="Symbol" w:hint="default"/>
      </w:rPr>
    </w:lvl>
    <w:lvl w:ilvl="3" w:tplc="041D0001">
      <w:start w:val="1"/>
      <w:numFmt w:val="bullet"/>
      <w:lvlText w:val=""/>
      <w:lvlJc w:val="left"/>
      <w:pPr>
        <w:ind w:left="2520" w:hanging="360"/>
      </w:pPr>
      <w:rPr>
        <w:rFonts w:ascii="Symbol" w:hAnsi="Symbol" w:hint="default"/>
      </w:r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788270AE"/>
    <w:multiLevelType w:val="hybridMultilevel"/>
    <w:tmpl w:val="11CC1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8FD4A4B"/>
    <w:multiLevelType w:val="multilevel"/>
    <w:tmpl w:val="B3FEC14E"/>
    <w:lvl w:ilvl="0">
      <w:start w:val="1"/>
      <w:numFmt w:val="bullet"/>
      <w:lvlText w:val="•"/>
      <w:lvlJc w:val="left"/>
      <w:pPr>
        <w:tabs>
          <w:tab w:val="num" w:pos="220"/>
        </w:tabs>
        <w:ind w:left="220" w:hanging="220"/>
      </w:pPr>
      <w:rPr>
        <w:rFonts w:ascii="Calibri" w:eastAsia="Calibri" w:hAnsi="Calibri" w:cs="Calibri"/>
        <w:b/>
        <w:bCs/>
        <w:color w:val="000000"/>
        <w:position w:val="0"/>
        <w:sz w:val="18"/>
        <w:szCs w:val="18"/>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num w:numId="1">
    <w:abstractNumId w:val="23"/>
  </w:num>
  <w:num w:numId="2">
    <w:abstractNumId w:val="7"/>
  </w:num>
  <w:num w:numId="3">
    <w:abstractNumId w:val="20"/>
  </w:num>
  <w:num w:numId="4">
    <w:abstractNumId w:val="13"/>
  </w:num>
  <w:num w:numId="5">
    <w:abstractNumId w:val="16"/>
  </w:num>
  <w:num w:numId="6">
    <w:abstractNumId w:val="12"/>
  </w:num>
  <w:num w:numId="7">
    <w:abstractNumId w:val="1"/>
  </w:num>
  <w:num w:numId="8">
    <w:abstractNumId w:val="9"/>
  </w:num>
  <w:num w:numId="9">
    <w:abstractNumId w:val="10"/>
  </w:num>
  <w:num w:numId="10">
    <w:abstractNumId w:val="8"/>
  </w:num>
  <w:num w:numId="11">
    <w:abstractNumId w:val="22"/>
  </w:num>
  <w:num w:numId="12">
    <w:abstractNumId w:val="0"/>
  </w:num>
  <w:num w:numId="13">
    <w:abstractNumId w:val="11"/>
  </w:num>
  <w:num w:numId="14">
    <w:abstractNumId w:val="21"/>
  </w:num>
  <w:num w:numId="15">
    <w:abstractNumId w:val="3"/>
  </w:num>
  <w:num w:numId="16">
    <w:abstractNumId w:val="15"/>
  </w:num>
  <w:num w:numId="17">
    <w:abstractNumId w:val="2"/>
  </w:num>
  <w:num w:numId="18">
    <w:abstractNumId w:val="14"/>
  </w:num>
  <w:num w:numId="19">
    <w:abstractNumId w:val="17"/>
  </w:num>
  <w:num w:numId="20">
    <w:abstractNumId w:val="19"/>
  </w:num>
  <w:num w:numId="21">
    <w:abstractNumId w:val="5"/>
  </w:num>
  <w:num w:numId="22">
    <w:abstractNumId w:val="4"/>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revisionView w:markup="0"/>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69"/>
    <w:rsid w:val="000021A7"/>
    <w:rsid w:val="000038BC"/>
    <w:rsid w:val="00005F2C"/>
    <w:rsid w:val="00007DE2"/>
    <w:rsid w:val="0001097C"/>
    <w:rsid w:val="00013C9F"/>
    <w:rsid w:val="00015E0C"/>
    <w:rsid w:val="00032162"/>
    <w:rsid w:val="0003247B"/>
    <w:rsid w:val="000341A5"/>
    <w:rsid w:val="000379B0"/>
    <w:rsid w:val="000415F8"/>
    <w:rsid w:val="00044101"/>
    <w:rsid w:val="000477FF"/>
    <w:rsid w:val="000478BE"/>
    <w:rsid w:val="000507B8"/>
    <w:rsid w:val="00050FC7"/>
    <w:rsid w:val="0006242B"/>
    <w:rsid w:val="00065599"/>
    <w:rsid w:val="00066775"/>
    <w:rsid w:val="00071C4A"/>
    <w:rsid w:val="0007327A"/>
    <w:rsid w:val="00077A54"/>
    <w:rsid w:val="00082AC0"/>
    <w:rsid w:val="00084263"/>
    <w:rsid w:val="0008460F"/>
    <w:rsid w:val="00086061"/>
    <w:rsid w:val="00086893"/>
    <w:rsid w:val="00091CB8"/>
    <w:rsid w:val="00092876"/>
    <w:rsid w:val="00093C78"/>
    <w:rsid w:val="000956B5"/>
    <w:rsid w:val="000A1953"/>
    <w:rsid w:val="000A4C78"/>
    <w:rsid w:val="000A700B"/>
    <w:rsid w:val="000B2E39"/>
    <w:rsid w:val="000B651C"/>
    <w:rsid w:val="000C2B3B"/>
    <w:rsid w:val="000C37B5"/>
    <w:rsid w:val="000C3E27"/>
    <w:rsid w:val="000C6996"/>
    <w:rsid w:val="000D1D1E"/>
    <w:rsid w:val="000D58B9"/>
    <w:rsid w:val="000D5926"/>
    <w:rsid w:val="000E0210"/>
    <w:rsid w:val="000E2BA4"/>
    <w:rsid w:val="000E6BF2"/>
    <w:rsid w:val="000F0D44"/>
    <w:rsid w:val="000F5A41"/>
    <w:rsid w:val="00100444"/>
    <w:rsid w:val="00105C56"/>
    <w:rsid w:val="00125794"/>
    <w:rsid w:val="00125BA2"/>
    <w:rsid w:val="001266E2"/>
    <w:rsid w:val="001340E7"/>
    <w:rsid w:val="001360E7"/>
    <w:rsid w:val="00137F9A"/>
    <w:rsid w:val="00141C5E"/>
    <w:rsid w:val="0014698E"/>
    <w:rsid w:val="00150951"/>
    <w:rsid w:val="0015238A"/>
    <w:rsid w:val="0015710E"/>
    <w:rsid w:val="00164490"/>
    <w:rsid w:val="00165F44"/>
    <w:rsid w:val="00167ABB"/>
    <w:rsid w:val="00172B9F"/>
    <w:rsid w:val="00175821"/>
    <w:rsid w:val="00177B23"/>
    <w:rsid w:val="0018518C"/>
    <w:rsid w:val="001907CD"/>
    <w:rsid w:val="00197345"/>
    <w:rsid w:val="00197A5F"/>
    <w:rsid w:val="001A0041"/>
    <w:rsid w:val="001A080C"/>
    <w:rsid w:val="001A2051"/>
    <w:rsid w:val="001A527C"/>
    <w:rsid w:val="001A7177"/>
    <w:rsid w:val="001A7EAB"/>
    <w:rsid w:val="001B1805"/>
    <w:rsid w:val="001B531C"/>
    <w:rsid w:val="001C4F31"/>
    <w:rsid w:val="001C7DF2"/>
    <w:rsid w:val="001D06C1"/>
    <w:rsid w:val="001D571D"/>
    <w:rsid w:val="001D5EF4"/>
    <w:rsid w:val="001D7B14"/>
    <w:rsid w:val="001E10A7"/>
    <w:rsid w:val="001E112F"/>
    <w:rsid w:val="001E32C0"/>
    <w:rsid w:val="001E3F59"/>
    <w:rsid w:val="001E609D"/>
    <w:rsid w:val="001F113A"/>
    <w:rsid w:val="001F1446"/>
    <w:rsid w:val="001F55F8"/>
    <w:rsid w:val="001F6BC9"/>
    <w:rsid w:val="001F7493"/>
    <w:rsid w:val="001F7C63"/>
    <w:rsid w:val="00200572"/>
    <w:rsid w:val="0020567D"/>
    <w:rsid w:val="002068CE"/>
    <w:rsid w:val="00210D22"/>
    <w:rsid w:val="0021300B"/>
    <w:rsid w:val="00220608"/>
    <w:rsid w:val="00225782"/>
    <w:rsid w:val="00233A06"/>
    <w:rsid w:val="00234AF2"/>
    <w:rsid w:val="00237712"/>
    <w:rsid w:val="00242703"/>
    <w:rsid w:val="0024615A"/>
    <w:rsid w:val="00250568"/>
    <w:rsid w:val="002512D8"/>
    <w:rsid w:val="002655C2"/>
    <w:rsid w:val="00265BA1"/>
    <w:rsid w:val="00270104"/>
    <w:rsid w:val="0027314C"/>
    <w:rsid w:val="0027626F"/>
    <w:rsid w:val="00276547"/>
    <w:rsid w:val="00276EC1"/>
    <w:rsid w:val="00282783"/>
    <w:rsid w:val="0028303D"/>
    <w:rsid w:val="002936E6"/>
    <w:rsid w:val="002A156A"/>
    <w:rsid w:val="002A230C"/>
    <w:rsid w:val="002A3690"/>
    <w:rsid w:val="002A376B"/>
    <w:rsid w:val="002B0466"/>
    <w:rsid w:val="002B2065"/>
    <w:rsid w:val="002B2D46"/>
    <w:rsid w:val="002B3457"/>
    <w:rsid w:val="002B5338"/>
    <w:rsid w:val="002B6A0F"/>
    <w:rsid w:val="002C0FD0"/>
    <w:rsid w:val="002C5042"/>
    <w:rsid w:val="002D15F1"/>
    <w:rsid w:val="002D2337"/>
    <w:rsid w:val="002D3287"/>
    <w:rsid w:val="002D4E9F"/>
    <w:rsid w:val="002E083E"/>
    <w:rsid w:val="002E0D85"/>
    <w:rsid w:val="002E7CF6"/>
    <w:rsid w:val="002F1CC9"/>
    <w:rsid w:val="002F3B61"/>
    <w:rsid w:val="002F6209"/>
    <w:rsid w:val="0030511C"/>
    <w:rsid w:val="0030559E"/>
    <w:rsid w:val="00306995"/>
    <w:rsid w:val="00306C25"/>
    <w:rsid w:val="003070ED"/>
    <w:rsid w:val="00310470"/>
    <w:rsid w:val="0031146C"/>
    <w:rsid w:val="0031255D"/>
    <w:rsid w:val="00314C85"/>
    <w:rsid w:val="003151D4"/>
    <w:rsid w:val="00323978"/>
    <w:rsid w:val="00323A6F"/>
    <w:rsid w:val="003278C4"/>
    <w:rsid w:val="00333F37"/>
    <w:rsid w:val="0033629F"/>
    <w:rsid w:val="003411D1"/>
    <w:rsid w:val="003453DB"/>
    <w:rsid w:val="00363144"/>
    <w:rsid w:val="003636CB"/>
    <w:rsid w:val="003705C6"/>
    <w:rsid w:val="00371A36"/>
    <w:rsid w:val="00374005"/>
    <w:rsid w:val="00385D79"/>
    <w:rsid w:val="00391415"/>
    <w:rsid w:val="003A164C"/>
    <w:rsid w:val="003B1CCC"/>
    <w:rsid w:val="003C7395"/>
    <w:rsid w:val="003D1223"/>
    <w:rsid w:val="003D17B0"/>
    <w:rsid w:val="003D359C"/>
    <w:rsid w:val="003D4440"/>
    <w:rsid w:val="003E38BA"/>
    <w:rsid w:val="003E53CA"/>
    <w:rsid w:val="003F1337"/>
    <w:rsid w:val="003F6B71"/>
    <w:rsid w:val="003F6D9C"/>
    <w:rsid w:val="004010F1"/>
    <w:rsid w:val="00407878"/>
    <w:rsid w:val="0041131E"/>
    <w:rsid w:val="00412E28"/>
    <w:rsid w:val="004134F8"/>
    <w:rsid w:val="0041389D"/>
    <w:rsid w:val="00413BB8"/>
    <w:rsid w:val="0041566F"/>
    <w:rsid w:val="00420595"/>
    <w:rsid w:val="004246F3"/>
    <w:rsid w:val="0042602F"/>
    <w:rsid w:val="00430974"/>
    <w:rsid w:val="00443D7C"/>
    <w:rsid w:val="00444093"/>
    <w:rsid w:val="0044648F"/>
    <w:rsid w:val="00446D68"/>
    <w:rsid w:val="0045135E"/>
    <w:rsid w:val="004518DC"/>
    <w:rsid w:val="00451D98"/>
    <w:rsid w:val="00455F51"/>
    <w:rsid w:val="004606B5"/>
    <w:rsid w:val="00461BD1"/>
    <w:rsid w:val="00463ACB"/>
    <w:rsid w:val="00466B54"/>
    <w:rsid w:val="0047431D"/>
    <w:rsid w:val="0047498A"/>
    <w:rsid w:val="004779F8"/>
    <w:rsid w:val="00481478"/>
    <w:rsid w:val="00494284"/>
    <w:rsid w:val="00496BB9"/>
    <w:rsid w:val="004A3DC8"/>
    <w:rsid w:val="004C2C0B"/>
    <w:rsid w:val="004C463A"/>
    <w:rsid w:val="004C6AB1"/>
    <w:rsid w:val="004D52CE"/>
    <w:rsid w:val="004D7347"/>
    <w:rsid w:val="004E027E"/>
    <w:rsid w:val="004E5023"/>
    <w:rsid w:val="004F1A35"/>
    <w:rsid w:val="004F3905"/>
    <w:rsid w:val="004F671C"/>
    <w:rsid w:val="00500764"/>
    <w:rsid w:val="005026BF"/>
    <w:rsid w:val="00503BA9"/>
    <w:rsid w:val="0051416F"/>
    <w:rsid w:val="0051476D"/>
    <w:rsid w:val="00521098"/>
    <w:rsid w:val="00521E7D"/>
    <w:rsid w:val="005258D9"/>
    <w:rsid w:val="00545E02"/>
    <w:rsid w:val="0056319F"/>
    <w:rsid w:val="00564F71"/>
    <w:rsid w:val="005735EF"/>
    <w:rsid w:val="00581456"/>
    <w:rsid w:val="00592B0A"/>
    <w:rsid w:val="0059426A"/>
    <w:rsid w:val="005973C1"/>
    <w:rsid w:val="005A515A"/>
    <w:rsid w:val="005B4402"/>
    <w:rsid w:val="005B6468"/>
    <w:rsid w:val="005C3CBC"/>
    <w:rsid w:val="005C593F"/>
    <w:rsid w:val="005D1E10"/>
    <w:rsid w:val="005D3FE5"/>
    <w:rsid w:val="005E7B15"/>
    <w:rsid w:val="005F0A36"/>
    <w:rsid w:val="005F2307"/>
    <w:rsid w:val="005F3107"/>
    <w:rsid w:val="005F4FDA"/>
    <w:rsid w:val="005F584E"/>
    <w:rsid w:val="00605DD9"/>
    <w:rsid w:val="006124A1"/>
    <w:rsid w:val="00614A82"/>
    <w:rsid w:val="00621623"/>
    <w:rsid w:val="00624FBF"/>
    <w:rsid w:val="00626E50"/>
    <w:rsid w:val="00647B0C"/>
    <w:rsid w:val="00651F20"/>
    <w:rsid w:val="00652334"/>
    <w:rsid w:val="006541D9"/>
    <w:rsid w:val="00655476"/>
    <w:rsid w:val="00657E4D"/>
    <w:rsid w:val="00667DAB"/>
    <w:rsid w:val="00683CD2"/>
    <w:rsid w:val="00686871"/>
    <w:rsid w:val="00687BDC"/>
    <w:rsid w:val="0069211E"/>
    <w:rsid w:val="00692435"/>
    <w:rsid w:val="00693808"/>
    <w:rsid w:val="00696CD8"/>
    <w:rsid w:val="006977F8"/>
    <w:rsid w:val="006A2BB8"/>
    <w:rsid w:val="006A4174"/>
    <w:rsid w:val="006A5341"/>
    <w:rsid w:val="006A74C1"/>
    <w:rsid w:val="006A7EA6"/>
    <w:rsid w:val="006B0D02"/>
    <w:rsid w:val="006B11E3"/>
    <w:rsid w:val="006B6EFC"/>
    <w:rsid w:val="006B7418"/>
    <w:rsid w:val="006C38E2"/>
    <w:rsid w:val="006C7880"/>
    <w:rsid w:val="006D0DDF"/>
    <w:rsid w:val="006D1472"/>
    <w:rsid w:val="006D18AA"/>
    <w:rsid w:val="006D2854"/>
    <w:rsid w:val="006D4231"/>
    <w:rsid w:val="006D42FC"/>
    <w:rsid w:val="006E49D3"/>
    <w:rsid w:val="006E749F"/>
    <w:rsid w:val="006F03EA"/>
    <w:rsid w:val="006F19AE"/>
    <w:rsid w:val="006F3281"/>
    <w:rsid w:val="006F67E7"/>
    <w:rsid w:val="006F7F30"/>
    <w:rsid w:val="007103BC"/>
    <w:rsid w:val="007106F7"/>
    <w:rsid w:val="00711616"/>
    <w:rsid w:val="00714242"/>
    <w:rsid w:val="00723D37"/>
    <w:rsid w:val="00726F5C"/>
    <w:rsid w:val="00730EFA"/>
    <w:rsid w:val="00735D6A"/>
    <w:rsid w:val="00735F6F"/>
    <w:rsid w:val="00740BA9"/>
    <w:rsid w:val="00744F2E"/>
    <w:rsid w:val="007470DF"/>
    <w:rsid w:val="00747EE4"/>
    <w:rsid w:val="00750E5D"/>
    <w:rsid w:val="0075227C"/>
    <w:rsid w:val="007867DC"/>
    <w:rsid w:val="00791416"/>
    <w:rsid w:val="00796466"/>
    <w:rsid w:val="00796D16"/>
    <w:rsid w:val="00797FA8"/>
    <w:rsid w:val="007A3A58"/>
    <w:rsid w:val="007A6ECB"/>
    <w:rsid w:val="007C4020"/>
    <w:rsid w:val="007C654E"/>
    <w:rsid w:val="007D0ECB"/>
    <w:rsid w:val="007D3876"/>
    <w:rsid w:val="007D4438"/>
    <w:rsid w:val="007E16F5"/>
    <w:rsid w:val="007E3C6B"/>
    <w:rsid w:val="007F335B"/>
    <w:rsid w:val="007F5B48"/>
    <w:rsid w:val="00800243"/>
    <w:rsid w:val="00803325"/>
    <w:rsid w:val="00803BC0"/>
    <w:rsid w:val="00805AEA"/>
    <w:rsid w:val="00807E34"/>
    <w:rsid w:val="008113FA"/>
    <w:rsid w:val="00815731"/>
    <w:rsid w:val="008161AF"/>
    <w:rsid w:val="00820769"/>
    <w:rsid w:val="0082118C"/>
    <w:rsid w:val="00821937"/>
    <w:rsid w:val="00825C5D"/>
    <w:rsid w:val="00830CCE"/>
    <w:rsid w:val="008311C6"/>
    <w:rsid w:val="00831A27"/>
    <w:rsid w:val="00833421"/>
    <w:rsid w:val="0083770B"/>
    <w:rsid w:val="0084134D"/>
    <w:rsid w:val="00844AC3"/>
    <w:rsid w:val="00852435"/>
    <w:rsid w:val="008550B6"/>
    <w:rsid w:val="0085751A"/>
    <w:rsid w:val="00857FCC"/>
    <w:rsid w:val="00860116"/>
    <w:rsid w:val="008607E7"/>
    <w:rsid w:val="0086151D"/>
    <w:rsid w:val="00863884"/>
    <w:rsid w:val="00871469"/>
    <w:rsid w:val="0087190D"/>
    <w:rsid w:val="00876B4B"/>
    <w:rsid w:val="00881EDD"/>
    <w:rsid w:val="008875FC"/>
    <w:rsid w:val="00887AF4"/>
    <w:rsid w:val="00892990"/>
    <w:rsid w:val="008A1C60"/>
    <w:rsid w:val="008A5999"/>
    <w:rsid w:val="008A5C84"/>
    <w:rsid w:val="008A6221"/>
    <w:rsid w:val="008B065D"/>
    <w:rsid w:val="008B0AC5"/>
    <w:rsid w:val="008B592C"/>
    <w:rsid w:val="008C33AC"/>
    <w:rsid w:val="008C3461"/>
    <w:rsid w:val="008D61C7"/>
    <w:rsid w:val="008D636E"/>
    <w:rsid w:val="008D7E1A"/>
    <w:rsid w:val="008E5B67"/>
    <w:rsid w:val="008E7229"/>
    <w:rsid w:val="008F17C9"/>
    <w:rsid w:val="008F4107"/>
    <w:rsid w:val="0091105B"/>
    <w:rsid w:val="00911EA4"/>
    <w:rsid w:val="009133A6"/>
    <w:rsid w:val="009140A8"/>
    <w:rsid w:val="00925511"/>
    <w:rsid w:val="00926E3D"/>
    <w:rsid w:val="00940C4B"/>
    <w:rsid w:val="00945606"/>
    <w:rsid w:val="00946541"/>
    <w:rsid w:val="00952302"/>
    <w:rsid w:val="00955138"/>
    <w:rsid w:val="0095674B"/>
    <w:rsid w:val="0095685F"/>
    <w:rsid w:val="00956957"/>
    <w:rsid w:val="009660A4"/>
    <w:rsid w:val="00970BFA"/>
    <w:rsid w:val="00972FD9"/>
    <w:rsid w:val="009734AE"/>
    <w:rsid w:val="00974942"/>
    <w:rsid w:val="0097624F"/>
    <w:rsid w:val="00976260"/>
    <w:rsid w:val="009764CB"/>
    <w:rsid w:val="00993032"/>
    <w:rsid w:val="00994546"/>
    <w:rsid w:val="00996181"/>
    <w:rsid w:val="009A019A"/>
    <w:rsid w:val="009A4328"/>
    <w:rsid w:val="009A66FD"/>
    <w:rsid w:val="009A7680"/>
    <w:rsid w:val="009A7D56"/>
    <w:rsid w:val="009B7A2D"/>
    <w:rsid w:val="009C1C34"/>
    <w:rsid w:val="009C3798"/>
    <w:rsid w:val="009C3B64"/>
    <w:rsid w:val="009C4E07"/>
    <w:rsid w:val="009D22D8"/>
    <w:rsid w:val="009D40B1"/>
    <w:rsid w:val="009D480C"/>
    <w:rsid w:val="009E39C7"/>
    <w:rsid w:val="009E4A5A"/>
    <w:rsid w:val="009E546F"/>
    <w:rsid w:val="009E637B"/>
    <w:rsid w:val="009E6D70"/>
    <w:rsid w:val="009E79F6"/>
    <w:rsid w:val="009E7FBA"/>
    <w:rsid w:val="009F00F5"/>
    <w:rsid w:val="009F11AE"/>
    <w:rsid w:val="009F5823"/>
    <w:rsid w:val="00A036D3"/>
    <w:rsid w:val="00A045FA"/>
    <w:rsid w:val="00A104E0"/>
    <w:rsid w:val="00A105DB"/>
    <w:rsid w:val="00A148FE"/>
    <w:rsid w:val="00A254CD"/>
    <w:rsid w:val="00A25764"/>
    <w:rsid w:val="00A27806"/>
    <w:rsid w:val="00A32DB4"/>
    <w:rsid w:val="00A357F9"/>
    <w:rsid w:val="00A36917"/>
    <w:rsid w:val="00A454FC"/>
    <w:rsid w:val="00A50303"/>
    <w:rsid w:val="00A541E7"/>
    <w:rsid w:val="00A633F9"/>
    <w:rsid w:val="00A64850"/>
    <w:rsid w:val="00A674C7"/>
    <w:rsid w:val="00A6767A"/>
    <w:rsid w:val="00A7178D"/>
    <w:rsid w:val="00A77E19"/>
    <w:rsid w:val="00A81BAD"/>
    <w:rsid w:val="00A81C9B"/>
    <w:rsid w:val="00A83ABE"/>
    <w:rsid w:val="00A867F6"/>
    <w:rsid w:val="00A9002A"/>
    <w:rsid w:val="00A915FD"/>
    <w:rsid w:val="00A92B8A"/>
    <w:rsid w:val="00AA348B"/>
    <w:rsid w:val="00AA7401"/>
    <w:rsid w:val="00AC2E92"/>
    <w:rsid w:val="00AC7F54"/>
    <w:rsid w:val="00AD070A"/>
    <w:rsid w:val="00AE0F8D"/>
    <w:rsid w:val="00AE3DB6"/>
    <w:rsid w:val="00AE5517"/>
    <w:rsid w:val="00AF0308"/>
    <w:rsid w:val="00AF0452"/>
    <w:rsid w:val="00AF2D63"/>
    <w:rsid w:val="00AF3AEF"/>
    <w:rsid w:val="00AF5C88"/>
    <w:rsid w:val="00B06F66"/>
    <w:rsid w:val="00B10DF0"/>
    <w:rsid w:val="00B111BB"/>
    <w:rsid w:val="00B11E7C"/>
    <w:rsid w:val="00B15EFF"/>
    <w:rsid w:val="00B227C6"/>
    <w:rsid w:val="00B23716"/>
    <w:rsid w:val="00B25CD7"/>
    <w:rsid w:val="00B25F44"/>
    <w:rsid w:val="00B336C2"/>
    <w:rsid w:val="00B429E2"/>
    <w:rsid w:val="00B5363A"/>
    <w:rsid w:val="00B64EE9"/>
    <w:rsid w:val="00B64F54"/>
    <w:rsid w:val="00B77D16"/>
    <w:rsid w:val="00B810EF"/>
    <w:rsid w:val="00B82101"/>
    <w:rsid w:val="00B83FF1"/>
    <w:rsid w:val="00B84BA2"/>
    <w:rsid w:val="00B855BF"/>
    <w:rsid w:val="00B86B61"/>
    <w:rsid w:val="00B944AA"/>
    <w:rsid w:val="00B9458D"/>
    <w:rsid w:val="00B95756"/>
    <w:rsid w:val="00BA43C2"/>
    <w:rsid w:val="00BB4E99"/>
    <w:rsid w:val="00BB63EA"/>
    <w:rsid w:val="00BC3583"/>
    <w:rsid w:val="00BD01C8"/>
    <w:rsid w:val="00BD776B"/>
    <w:rsid w:val="00BE14B0"/>
    <w:rsid w:val="00BE454F"/>
    <w:rsid w:val="00BF102F"/>
    <w:rsid w:val="00BF1045"/>
    <w:rsid w:val="00BF1924"/>
    <w:rsid w:val="00BF5DBB"/>
    <w:rsid w:val="00BF68F4"/>
    <w:rsid w:val="00C01180"/>
    <w:rsid w:val="00C01EE0"/>
    <w:rsid w:val="00C061FB"/>
    <w:rsid w:val="00C13E50"/>
    <w:rsid w:val="00C159C8"/>
    <w:rsid w:val="00C21BCC"/>
    <w:rsid w:val="00C256E0"/>
    <w:rsid w:val="00C26E56"/>
    <w:rsid w:val="00C27D29"/>
    <w:rsid w:val="00C32E91"/>
    <w:rsid w:val="00C36D58"/>
    <w:rsid w:val="00C37C39"/>
    <w:rsid w:val="00C4407C"/>
    <w:rsid w:val="00C448F1"/>
    <w:rsid w:val="00C45E8A"/>
    <w:rsid w:val="00C535D1"/>
    <w:rsid w:val="00C55EFB"/>
    <w:rsid w:val="00C56075"/>
    <w:rsid w:val="00C6011A"/>
    <w:rsid w:val="00C60B61"/>
    <w:rsid w:val="00C612DF"/>
    <w:rsid w:val="00C61C7B"/>
    <w:rsid w:val="00C65F55"/>
    <w:rsid w:val="00C661A6"/>
    <w:rsid w:val="00C743E3"/>
    <w:rsid w:val="00C760B2"/>
    <w:rsid w:val="00C765E7"/>
    <w:rsid w:val="00C8098B"/>
    <w:rsid w:val="00C80BEE"/>
    <w:rsid w:val="00C82589"/>
    <w:rsid w:val="00C84644"/>
    <w:rsid w:val="00C85439"/>
    <w:rsid w:val="00C85D2D"/>
    <w:rsid w:val="00C93975"/>
    <w:rsid w:val="00CA038C"/>
    <w:rsid w:val="00CA1FAB"/>
    <w:rsid w:val="00CA33E5"/>
    <w:rsid w:val="00CA3C24"/>
    <w:rsid w:val="00CA6F24"/>
    <w:rsid w:val="00CB1A1D"/>
    <w:rsid w:val="00CB1EE6"/>
    <w:rsid w:val="00CC1D31"/>
    <w:rsid w:val="00CC1DC3"/>
    <w:rsid w:val="00CC2D05"/>
    <w:rsid w:val="00CC57F7"/>
    <w:rsid w:val="00CC6384"/>
    <w:rsid w:val="00CD2139"/>
    <w:rsid w:val="00CD3D64"/>
    <w:rsid w:val="00CD6D56"/>
    <w:rsid w:val="00CE03CF"/>
    <w:rsid w:val="00CE163E"/>
    <w:rsid w:val="00CE3D22"/>
    <w:rsid w:val="00CE47D6"/>
    <w:rsid w:val="00CF74A9"/>
    <w:rsid w:val="00D01796"/>
    <w:rsid w:val="00D13C93"/>
    <w:rsid w:val="00D14EAB"/>
    <w:rsid w:val="00D204BA"/>
    <w:rsid w:val="00D24BB8"/>
    <w:rsid w:val="00D279AB"/>
    <w:rsid w:val="00D306D8"/>
    <w:rsid w:val="00D32CE3"/>
    <w:rsid w:val="00D43199"/>
    <w:rsid w:val="00D44E72"/>
    <w:rsid w:val="00D51A7F"/>
    <w:rsid w:val="00D6009E"/>
    <w:rsid w:val="00D61376"/>
    <w:rsid w:val="00D62A58"/>
    <w:rsid w:val="00D62D7E"/>
    <w:rsid w:val="00D652CF"/>
    <w:rsid w:val="00D7099F"/>
    <w:rsid w:val="00D817DD"/>
    <w:rsid w:val="00D90637"/>
    <w:rsid w:val="00D91C17"/>
    <w:rsid w:val="00D9499A"/>
    <w:rsid w:val="00DA268D"/>
    <w:rsid w:val="00DA4382"/>
    <w:rsid w:val="00DA7013"/>
    <w:rsid w:val="00DB04CF"/>
    <w:rsid w:val="00DB19E1"/>
    <w:rsid w:val="00DB3E2F"/>
    <w:rsid w:val="00DB6A62"/>
    <w:rsid w:val="00DC3F23"/>
    <w:rsid w:val="00DC5A88"/>
    <w:rsid w:val="00DC7D7D"/>
    <w:rsid w:val="00DD5ED2"/>
    <w:rsid w:val="00DE19D7"/>
    <w:rsid w:val="00DE2138"/>
    <w:rsid w:val="00DE2615"/>
    <w:rsid w:val="00DE5083"/>
    <w:rsid w:val="00DE72D0"/>
    <w:rsid w:val="00DF648F"/>
    <w:rsid w:val="00DF6E24"/>
    <w:rsid w:val="00E0377A"/>
    <w:rsid w:val="00E10F32"/>
    <w:rsid w:val="00E214F3"/>
    <w:rsid w:val="00E332F8"/>
    <w:rsid w:val="00E3496D"/>
    <w:rsid w:val="00E37EED"/>
    <w:rsid w:val="00E41FDB"/>
    <w:rsid w:val="00E47B08"/>
    <w:rsid w:val="00E530A7"/>
    <w:rsid w:val="00E576CF"/>
    <w:rsid w:val="00E61391"/>
    <w:rsid w:val="00E61525"/>
    <w:rsid w:val="00E64A31"/>
    <w:rsid w:val="00E671D2"/>
    <w:rsid w:val="00E70B4B"/>
    <w:rsid w:val="00E70C07"/>
    <w:rsid w:val="00E726E8"/>
    <w:rsid w:val="00E7352D"/>
    <w:rsid w:val="00E7640D"/>
    <w:rsid w:val="00EA6F80"/>
    <w:rsid w:val="00EB51EB"/>
    <w:rsid w:val="00EB55D9"/>
    <w:rsid w:val="00EC30F2"/>
    <w:rsid w:val="00EC32B0"/>
    <w:rsid w:val="00EC4207"/>
    <w:rsid w:val="00EC45E8"/>
    <w:rsid w:val="00EC5E3C"/>
    <w:rsid w:val="00ED019D"/>
    <w:rsid w:val="00ED0D1D"/>
    <w:rsid w:val="00ED0F6E"/>
    <w:rsid w:val="00ED60E3"/>
    <w:rsid w:val="00EE07F6"/>
    <w:rsid w:val="00EE44C7"/>
    <w:rsid w:val="00EE683A"/>
    <w:rsid w:val="00EF5EEC"/>
    <w:rsid w:val="00F03082"/>
    <w:rsid w:val="00F039AB"/>
    <w:rsid w:val="00F06D50"/>
    <w:rsid w:val="00F06DC5"/>
    <w:rsid w:val="00F17D19"/>
    <w:rsid w:val="00F20531"/>
    <w:rsid w:val="00F213CE"/>
    <w:rsid w:val="00F22186"/>
    <w:rsid w:val="00F24CCF"/>
    <w:rsid w:val="00F252B1"/>
    <w:rsid w:val="00F258B5"/>
    <w:rsid w:val="00F266BA"/>
    <w:rsid w:val="00F33505"/>
    <w:rsid w:val="00F33D14"/>
    <w:rsid w:val="00F35E6A"/>
    <w:rsid w:val="00F5123A"/>
    <w:rsid w:val="00F534C5"/>
    <w:rsid w:val="00F70FE5"/>
    <w:rsid w:val="00F759CF"/>
    <w:rsid w:val="00F76CCF"/>
    <w:rsid w:val="00F801AF"/>
    <w:rsid w:val="00F80CAF"/>
    <w:rsid w:val="00F80EB3"/>
    <w:rsid w:val="00F82496"/>
    <w:rsid w:val="00F84DCC"/>
    <w:rsid w:val="00F91E1A"/>
    <w:rsid w:val="00F921FB"/>
    <w:rsid w:val="00F93F48"/>
    <w:rsid w:val="00F9492C"/>
    <w:rsid w:val="00F96D40"/>
    <w:rsid w:val="00FA347F"/>
    <w:rsid w:val="00FA7947"/>
    <w:rsid w:val="00FA7C16"/>
    <w:rsid w:val="00FB2BCD"/>
    <w:rsid w:val="00FB7B64"/>
    <w:rsid w:val="00FC64D2"/>
    <w:rsid w:val="00FC7EAD"/>
    <w:rsid w:val="00FD2D5B"/>
    <w:rsid w:val="00FD7BB8"/>
    <w:rsid w:val="00FE1660"/>
    <w:rsid w:val="00FE7588"/>
    <w:rsid w:val="00FE7EAE"/>
    <w:rsid w:val="00FF0672"/>
    <w:rsid w:val="00FF74B2"/>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05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36"/>
        <w:tab w:val="right" w:pos="9072"/>
      </w:tabs>
      <w:spacing w:after="200" w:line="276" w:lineRule="auto"/>
    </w:pPr>
    <w:rPr>
      <w:rFonts w:ascii="Calibri" w:eastAsia="Calibri" w:hAnsi="Calibri" w:cs="Calibri"/>
      <w:color w:val="000000"/>
      <w:sz w:val="22"/>
      <w:szCs w:val="22"/>
      <w:u w:color="000000"/>
      <w:lang w:val="sv-SE"/>
    </w:rPr>
  </w:style>
  <w:style w:type="paragraph" w:styleId="Footer">
    <w:name w:val="footer"/>
    <w:link w:val="FooterChar"/>
    <w:uiPriority w:val="99"/>
    <w:pPr>
      <w:tabs>
        <w:tab w:val="center" w:pos="4536"/>
        <w:tab w:val="right" w:pos="9072"/>
      </w:tabs>
      <w:spacing w:after="200" w:line="276" w:lineRule="auto"/>
    </w:pPr>
    <w:rPr>
      <w:rFonts w:ascii="Calibri" w:eastAsia="Calibri" w:hAnsi="Calibri" w:cs="Calibri"/>
      <w:color w:val="000000"/>
      <w:sz w:val="22"/>
      <w:szCs w:val="22"/>
      <w:u w:color="000000"/>
      <w:lang w:val="sv-SE"/>
    </w:rPr>
  </w:style>
  <w:style w:type="paragraph" w:customStyle="1" w:styleId="Brdtext1">
    <w:name w:val="Brödtext1"/>
    <w:pPr>
      <w:spacing w:after="200" w:line="276" w:lineRule="auto"/>
    </w:pPr>
    <w:rPr>
      <w:rFonts w:ascii="Calibri" w:eastAsia="Calibri" w:hAnsi="Calibri" w:cs="Calibri"/>
      <w:color w:val="000000"/>
      <w:sz w:val="22"/>
      <w:szCs w:val="22"/>
      <w:u w:color="000000"/>
    </w:rPr>
  </w:style>
  <w:style w:type="numbering" w:customStyle="1" w:styleId="List0">
    <w:name w:val="List 0"/>
    <w:basedOn w:val="Importeradestilen1"/>
    <w:pPr>
      <w:numPr>
        <w:numId w:val="9"/>
      </w:numPr>
    </w:pPr>
  </w:style>
  <w:style w:type="numbering" w:customStyle="1" w:styleId="Importeradestilen1">
    <w:name w:val="Importerade stilen 1"/>
  </w:style>
  <w:style w:type="numbering" w:customStyle="1" w:styleId="List1">
    <w:name w:val="List 1"/>
    <w:basedOn w:val="Importeradestilen1"/>
    <w:pPr>
      <w:numPr>
        <w:numId w:val="8"/>
      </w:numPr>
    </w:pPr>
  </w:style>
  <w:style w:type="paragraph" w:styleId="NormalWeb">
    <w:name w:val="Normal (Web)"/>
    <w:pPr>
      <w:spacing w:before="100" w:after="100"/>
    </w:pPr>
    <w:rPr>
      <w:rFonts w:ascii="Times" w:hAnsi="Arial Unicode MS" w:cs="Arial Unicode MS"/>
      <w:color w:val="000000"/>
      <w:u w:color="000000"/>
    </w:rPr>
  </w:style>
  <w:style w:type="paragraph" w:styleId="BalloonText">
    <w:name w:val="Balloon Text"/>
    <w:basedOn w:val="Normal"/>
    <w:link w:val="BalloonTextChar"/>
    <w:uiPriority w:val="99"/>
    <w:semiHidden/>
    <w:unhideWhenUsed/>
    <w:rsid w:val="000415F8"/>
    <w:rPr>
      <w:rFonts w:ascii="Tahoma" w:hAnsi="Tahoma" w:cs="Tahoma"/>
      <w:sz w:val="16"/>
      <w:szCs w:val="16"/>
    </w:rPr>
  </w:style>
  <w:style w:type="character" w:customStyle="1" w:styleId="BalloonTextChar">
    <w:name w:val="Balloon Text Char"/>
    <w:basedOn w:val="DefaultParagraphFont"/>
    <w:link w:val="BalloonText"/>
    <w:uiPriority w:val="99"/>
    <w:semiHidden/>
    <w:rsid w:val="000415F8"/>
    <w:rPr>
      <w:rFonts w:ascii="Tahoma" w:hAnsi="Tahoma" w:cs="Tahoma"/>
      <w:sz w:val="16"/>
      <w:szCs w:val="16"/>
    </w:rPr>
  </w:style>
  <w:style w:type="paragraph" w:styleId="ListParagraph">
    <w:name w:val="List Paragraph"/>
    <w:basedOn w:val="Normal"/>
    <w:uiPriority w:val="34"/>
    <w:qFormat/>
    <w:rsid w:val="000C37B5"/>
    <w:pPr>
      <w:ind w:left="720"/>
      <w:contextualSpacing/>
    </w:pPr>
  </w:style>
  <w:style w:type="character" w:styleId="CommentReference">
    <w:name w:val="annotation reference"/>
    <w:basedOn w:val="DefaultParagraphFont"/>
    <w:uiPriority w:val="99"/>
    <w:semiHidden/>
    <w:unhideWhenUsed/>
    <w:rsid w:val="00E7640D"/>
    <w:rPr>
      <w:sz w:val="16"/>
      <w:szCs w:val="16"/>
    </w:rPr>
  </w:style>
  <w:style w:type="paragraph" w:styleId="CommentText">
    <w:name w:val="annotation text"/>
    <w:basedOn w:val="Normal"/>
    <w:link w:val="CommentTextChar"/>
    <w:uiPriority w:val="99"/>
    <w:semiHidden/>
    <w:unhideWhenUsed/>
    <w:rsid w:val="00E7640D"/>
    <w:rPr>
      <w:sz w:val="20"/>
      <w:szCs w:val="20"/>
    </w:rPr>
  </w:style>
  <w:style w:type="character" w:customStyle="1" w:styleId="CommentTextChar">
    <w:name w:val="Comment Text Char"/>
    <w:basedOn w:val="DefaultParagraphFont"/>
    <w:link w:val="CommentText"/>
    <w:uiPriority w:val="99"/>
    <w:semiHidden/>
    <w:rsid w:val="00E7640D"/>
  </w:style>
  <w:style w:type="paragraph" w:styleId="CommentSubject">
    <w:name w:val="annotation subject"/>
    <w:basedOn w:val="CommentText"/>
    <w:next w:val="CommentText"/>
    <w:link w:val="CommentSubjectChar"/>
    <w:uiPriority w:val="99"/>
    <w:semiHidden/>
    <w:unhideWhenUsed/>
    <w:rsid w:val="00E7640D"/>
    <w:rPr>
      <w:b/>
      <w:bCs/>
    </w:rPr>
  </w:style>
  <w:style w:type="character" w:customStyle="1" w:styleId="CommentSubjectChar">
    <w:name w:val="Comment Subject Char"/>
    <w:basedOn w:val="CommentTextChar"/>
    <w:link w:val="CommentSubject"/>
    <w:uiPriority w:val="99"/>
    <w:semiHidden/>
    <w:rsid w:val="00E7640D"/>
    <w:rPr>
      <w:b/>
      <w:bCs/>
    </w:rPr>
  </w:style>
  <w:style w:type="character" w:customStyle="1" w:styleId="FooterChar">
    <w:name w:val="Footer Char"/>
    <w:basedOn w:val="DefaultParagraphFont"/>
    <w:link w:val="Footer"/>
    <w:uiPriority w:val="99"/>
    <w:rsid w:val="00CC57F7"/>
    <w:rPr>
      <w:rFonts w:ascii="Calibri" w:eastAsia="Calibri" w:hAnsi="Calibri" w:cs="Calibri"/>
      <w:color w:val="000000"/>
      <w:sz w:val="22"/>
      <w:szCs w:val="22"/>
      <w:u w:color="000000"/>
      <w:lang w:val="sv-SE"/>
    </w:rPr>
  </w:style>
  <w:style w:type="character" w:customStyle="1" w:styleId="HeaderChar">
    <w:name w:val="Header Char"/>
    <w:basedOn w:val="DefaultParagraphFont"/>
    <w:link w:val="Header"/>
    <w:uiPriority w:val="99"/>
    <w:rsid w:val="00CC57F7"/>
    <w:rPr>
      <w:rFonts w:ascii="Calibri" w:eastAsia="Calibri" w:hAnsi="Calibri" w:cs="Calibri"/>
      <w:color w:val="000000"/>
      <w:sz w:val="22"/>
      <w:szCs w:val="22"/>
      <w:u w:color="000000"/>
      <w:lang w:val="sv-SE"/>
    </w:rPr>
  </w:style>
  <w:style w:type="paragraph" w:customStyle="1" w:styleId="Bodytext">
    <w:name w:val="Body_text"/>
    <w:qFormat/>
    <w:rsid w:val="00363144"/>
    <w:pPr>
      <w:pBdr>
        <w:top w:val="none" w:sz="0" w:space="0" w:color="auto"/>
        <w:left w:val="none" w:sz="0" w:space="0" w:color="auto"/>
        <w:bottom w:val="none" w:sz="0" w:space="0" w:color="auto"/>
        <w:right w:val="none" w:sz="0" w:space="0" w:color="auto"/>
        <w:between w:val="none" w:sz="0" w:space="0" w:color="auto"/>
        <w:bar w:val="none" w:sz="0" w:color="auto"/>
      </w:pBdr>
      <w:ind w:firstLine="240"/>
      <w:jc w:val="both"/>
    </w:pPr>
    <w:rPr>
      <w:rFonts w:ascii="Minion Pro" w:eastAsia="Times New Roman" w:hAnsi="Minion Pro"/>
      <w:sz w:val="24"/>
      <w:bdr w:val="none" w:sz="0" w:space="0" w:color="auto"/>
    </w:rPr>
  </w:style>
  <w:style w:type="paragraph" w:customStyle="1" w:styleId="head1">
    <w:name w:val="head1"/>
    <w:next w:val="Normal"/>
    <w:qFormat/>
    <w:rsid w:val="00805AEA"/>
    <w:pPr>
      <w:pBdr>
        <w:top w:val="none" w:sz="0" w:space="0" w:color="auto"/>
        <w:left w:val="none" w:sz="0" w:space="0" w:color="auto"/>
        <w:bottom w:val="none" w:sz="0" w:space="0" w:color="auto"/>
        <w:right w:val="none" w:sz="0" w:space="0" w:color="auto"/>
        <w:between w:val="none" w:sz="0" w:space="0" w:color="auto"/>
        <w:bar w:val="none" w:sz="0" w:color="auto"/>
      </w:pBdr>
    </w:pPr>
    <w:rPr>
      <w:rFonts w:ascii="Myriad Pro" w:eastAsia="Times New Roman" w:hAnsi="Myriad Pro"/>
      <w:sz w:val="6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7198">
      <w:bodyDiv w:val="1"/>
      <w:marLeft w:val="0"/>
      <w:marRight w:val="0"/>
      <w:marTop w:val="0"/>
      <w:marBottom w:val="0"/>
      <w:divBdr>
        <w:top w:val="none" w:sz="0" w:space="0" w:color="auto"/>
        <w:left w:val="none" w:sz="0" w:space="0" w:color="auto"/>
        <w:bottom w:val="none" w:sz="0" w:space="0" w:color="auto"/>
        <w:right w:val="none" w:sz="0" w:space="0" w:color="auto"/>
      </w:divBdr>
      <w:divsChild>
        <w:div w:id="840320526">
          <w:marLeft w:val="360"/>
          <w:marRight w:val="0"/>
          <w:marTop w:val="200"/>
          <w:marBottom w:val="0"/>
          <w:divBdr>
            <w:top w:val="none" w:sz="0" w:space="0" w:color="auto"/>
            <w:left w:val="none" w:sz="0" w:space="0" w:color="auto"/>
            <w:bottom w:val="none" w:sz="0" w:space="0" w:color="auto"/>
            <w:right w:val="none" w:sz="0" w:space="0" w:color="auto"/>
          </w:divBdr>
        </w:div>
      </w:divsChild>
    </w:div>
    <w:div w:id="910625683">
      <w:bodyDiv w:val="1"/>
      <w:marLeft w:val="0"/>
      <w:marRight w:val="0"/>
      <w:marTop w:val="0"/>
      <w:marBottom w:val="0"/>
      <w:divBdr>
        <w:top w:val="none" w:sz="0" w:space="0" w:color="auto"/>
        <w:left w:val="none" w:sz="0" w:space="0" w:color="auto"/>
        <w:bottom w:val="none" w:sz="0" w:space="0" w:color="auto"/>
        <w:right w:val="none" w:sz="0" w:space="0" w:color="auto"/>
      </w:divBdr>
    </w:div>
    <w:div w:id="1067805338">
      <w:bodyDiv w:val="1"/>
      <w:marLeft w:val="0"/>
      <w:marRight w:val="0"/>
      <w:marTop w:val="0"/>
      <w:marBottom w:val="0"/>
      <w:divBdr>
        <w:top w:val="none" w:sz="0" w:space="0" w:color="auto"/>
        <w:left w:val="none" w:sz="0" w:space="0" w:color="auto"/>
        <w:bottom w:val="none" w:sz="0" w:space="0" w:color="auto"/>
        <w:right w:val="none" w:sz="0" w:space="0" w:color="auto"/>
      </w:divBdr>
    </w:div>
    <w:div w:id="1581402899">
      <w:bodyDiv w:val="1"/>
      <w:marLeft w:val="0"/>
      <w:marRight w:val="0"/>
      <w:marTop w:val="0"/>
      <w:marBottom w:val="0"/>
      <w:divBdr>
        <w:top w:val="none" w:sz="0" w:space="0" w:color="auto"/>
        <w:left w:val="none" w:sz="0" w:space="0" w:color="auto"/>
        <w:bottom w:val="none" w:sz="0" w:space="0" w:color="auto"/>
        <w:right w:val="none" w:sz="0" w:space="0" w:color="auto"/>
      </w:divBdr>
      <w:divsChild>
        <w:div w:id="1109277039">
          <w:marLeft w:val="360"/>
          <w:marRight w:val="0"/>
          <w:marTop w:val="200"/>
          <w:marBottom w:val="0"/>
          <w:divBdr>
            <w:top w:val="none" w:sz="0" w:space="0" w:color="auto"/>
            <w:left w:val="none" w:sz="0" w:space="0" w:color="auto"/>
            <w:bottom w:val="none" w:sz="0" w:space="0" w:color="auto"/>
            <w:right w:val="none" w:sz="0" w:space="0" w:color="auto"/>
          </w:divBdr>
        </w:div>
      </w:divsChild>
    </w:div>
    <w:div w:id="1601377822">
      <w:bodyDiv w:val="1"/>
      <w:marLeft w:val="0"/>
      <w:marRight w:val="0"/>
      <w:marTop w:val="0"/>
      <w:marBottom w:val="0"/>
      <w:divBdr>
        <w:top w:val="none" w:sz="0" w:space="0" w:color="auto"/>
        <w:left w:val="none" w:sz="0" w:space="0" w:color="auto"/>
        <w:bottom w:val="none" w:sz="0" w:space="0" w:color="auto"/>
        <w:right w:val="none" w:sz="0" w:space="0" w:color="auto"/>
      </w:divBdr>
      <w:divsChild>
        <w:div w:id="2087337000">
          <w:marLeft w:val="0"/>
          <w:marRight w:val="0"/>
          <w:marTop w:val="0"/>
          <w:marBottom w:val="0"/>
          <w:divBdr>
            <w:top w:val="none" w:sz="0" w:space="0" w:color="auto"/>
            <w:left w:val="none" w:sz="0" w:space="0" w:color="auto"/>
            <w:bottom w:val="none" w:sz="0" w:space="0" w:color="auto"/>
            <w:right w:val="none" w:sz="0" w:space="0" w:color="auto"/>
          </w:divBdr>
          <w:divsChild>
            <w:div w:id="632908967">
              <w:marLeft w:val="0"/>
              <w:marRight w:val="0"/>
              <w:marTop w:val="0"/>
              <w:marBottom w:val="0"/>
              <w:divBdr>
                <w:top w:val="none" w:sz="0" w:space="0" w:color="auto"/>
                <w:left w:val="none" w:sz="0" w:space="0" w:color="auto"/>
                <w:bottom w:val="none" w:sz="0" w:space="0" w:color="auto"/>
                <w:right w:val="none" w:sz="0" w:space="0" w:color="auto"/>
              </w:divBdr>
              <w:divsChild>
                <w:div w:id="6196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lobalwarningsystem.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ECAC-641D-6E4A-B7C2-5917EAFE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752</Words>
  <Characters>3768</Characters>
  <Application>Microsoft Macintosh Word</Application>
  <DocSecurity>0</DocSecurity>
  <Lines>221</Lines>
  <Paragraphs>125</Paragraphs>
  <ScaleCrop>false</ScaleCrop>
  <HeadingPairs>
    <vt:vector size="2" baseType="variant">
      <vt:variant>
        <vt:lpstr>Title</vt:lpstr>
      </vt:variant>
      <vt:variant>
        <vt:i4>1</vt:i4>
      </vt:variant>
    </vt:vector>
  </HeadingPairs>
  <TitlesOfParts>
    <vt:vector size="1" baseType="lpstr">
      <vt:lpstr/>
    </vt:vector>
  </TitlesOfParts>
  <Company>Group 4 Security</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rodis</dc:creator>
  <cp:lastModifiedBy>Lauren McIntosh</cp:lastModifiedBy>
  <cp:revision>16</cp:revision>
  <cp:lastPrinted>2015-09-02T11:30:00Z</cp:lastPrinted>
  <dcterms:created xsi:type="dcterms:W3CDTF">2017-02-23T16:39:00Z</dcterms:created>
  <dcterms:modified xsi:type="dcterms:W3CDTF">2017-02-24T12:11:00Z</dcterms:modified>
</cp:coreProperties>
</file>