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00F85" w14:textId="77777777" w:rsidR="008A61F0" w:rsidRPr="005D7D81" w:rsidRDefault="002A4774" w:rsidP="00675659">
      <w:pPr>
        <w:rPr>
          <w:rFonts w:cs="Arial"/>
          <w:b/>
          <w:bCs/>
          <w:i/>
          <w:iCs/>
          <w:lang w:val="en-US"/>
        </w:rPr>
      </w:pPr>
      <w:bookmarkStart w:id="0" w:name="_GoBack"/>
      <w:bookmarkEnd w:id="0"/>
      <w:r w:rsidRPr="005D7D81">
        <w:rPr>
          <w:rFonts w:cs="Arial"/>
          <w:b/>
          <w:bCs/>
          <w:i/>
          <w:iCs/>
          <w:lang w:val="en-US"/>
        </w:rPr>
        <w:br w:type="textWrapping" w:clear="all"/>
      </w:r>
    </w:p>
    <w:p w14:paraId="19902C3F" w14:textId="77777777" w:rsidR="008A61F0" w:rsidRPr="00925134" w:rsidRDefault="00587048" w:rsidP="00852CEC">
      <w:pPr>
        <w:ind w:left="2342"/>
        <w:jc w:val="right"/>
        <w:rPr>
          <w:rFonts w:cs="Arial"/>
          <w:b/>
          <w:bCs/>
          <w:i/>
          <w:iCs/>
          <w:noProof/>
        </w:rPr>
      </w:pPr>
      <w:r w:rsidRPr="00925134">
        <w:rPr>
          <w:rFonts w:cs="Arial"/>
          <w:b/>
          <w:bCs/>
          <w:i/>
          <w:iCs/>
          <w:noProof/>
        </w:rPr>
        <w:t>Press r</w:t>
      </w:r>
      <w:r w:rsidR="008A61F0" w:rsidRPr="00925134">
        <w:rPr>
          <w:rFonts w:cs="Arial"/>
          <w:b/>
          <w:bCs/>
          <w:i/>
          <w:iCs/>
          <w:noProof/>
        </w:rPr>
        <w:t>elations:</w:t>
      </w:r>
    </w:p>
    <w:p w14:paraId="4AFE38F0" w14:textId="77777777" w:rsidR="008A61F0" w:rsidRPr="00925134" w:rsidRDefault="008A61F0" w:rsidP="00852CEC">
      <w:pPr>
        <w:ind w:left="2342"/>
        <w:jc w:val="right"/>
        <w:rPr>
          <w:rFonts w:cs="Arial"/>
          <w:bCs/>
          <w:i/>
          <w:iCs/>
          <w:noProof/>
        </w:rPr>
      </w:pPr>
      <w:r w:rsidRPr="00925134">
        <w:rPr>
          <w:rFonts w:cs="Arial"/>
          <w:bCs/>
          <w:i/>
          <w:iCs/>
          <w:noProof/>
        </w:rPr>
        <w:t>Florence Lièvre</w:t>
      </w:r>
    </w:p>
    <w:p w14:paraId="15DB370A" w14:textId="77777777" w:rsidR="008A61F0" w:rsidRPr="00925134" w:rsidRDefault="008A61F0" w:rsidP="00852CEC">
      <w:pPr>
        <w:ind w:left="2342"/>
        <w:jc w:val="right"/>
        <w:rPr>
          <w:rFonts w:cs="Arial"/>
          <w:bCs/>
          <w:i/>
          <w:iCs/>
          <w:noProof/>
        </w:rPr>
      </w:pPr>
      <w:r w:rsidRPr="00925134">
        <w:rPr>
          <w:rFonts w:cs="Arial"/>
          <w:bCs/>
          <w:i/>
          <w:iCs/>
          <w:noProof/>
        </w:rPr>
        <w:t>T</w:t>
      </w:r>
      <w:r w:rsidR="00587048" w:rsidRPr="00925134">
        <w:rPr>
          <w:rFonts w:cs="Arial"/>
          <w:bCs/>
          <w:i/>
          <w:iCs/>
          <w:noProof/>
        </w:rPr>
        <w:t>e</w:t>
      </w:r>
      <w:r w:rsidRPr="00925134">
        <w:rPr>
          <w:rFonts w:cs="Arial"/>
          <w:bCs/>
          <w:i/>
          <w:iCs/>
          <w:noProof/>
        </w:rPr>
        <w:t xml:space="preserve">l.: </w:t>
      </w:r>
      <w:r w:rsidR="00587048" w:rsidRPr="00925134">
        <w:rPr>
          <w:rFonts w:cs="Arial"/>
          <w:bCs/>
          <w:i/>
          <w:iCs/>
          <w:noProof/>
        </w:rPr>
        <w:t xml:space="preserve">+33 </w:t>
      </w:r>
      <w:r w:rsidRPr="00925134">
        <w:rPr>
          <w:rFonts w:cs="Arial"/>
          <w:bCs/>
          <w:i/>
          <w:iCs/>
          <w:noProof/>
        </w:rPr>
        <w:t>1 47 54 50 71</w:t>
      </w:r>
    </w:p>
    <w:p w14:paraId="15DB4B09" w14:textId="77777777" w:rsidR="00C90010" w:rsidRPr="00925134" w:rsidRDefault="00C90010" w:rsidP="00852CEC">
      <w:pPr>
        <w:ind w:left="2342"/>
        <w:jc w:val="right"/>
        <w:rPr>
          <w:rFonts w:cs="Arial"/>
          <w:bCs/>
          <w:i/>
          <w:iCs/>
          <w:noProof/>
        </w:rPr>
      </w:pPr>
      <w:r w:rsidRPr="00925134">
        <w:rPr>
          <w:rFonts w:cs="Arial"/>
          <w:bCs/>
          <w:i/>
          <w:iCs/>
          <w:noProof/>
        </w:rPr>
        <w:t>florence.lievre@capgemini.com</w:t>
      </w:r>
    </w:p>
    <w:p w14:paraId="18DA47ED" w14:textId="77777777" w:rsidR="008A61F0" w:rsidRPr="00925134" w:rsidRDefault="008A61F0" w:rsidP="00852CEC">
      <w:pPr>
        <w:ind w:left="2342"/>
        <w:jc w:val="right"/>
        <w:rPr>
          <w:rFonts w:cs="Arial"/>
          <w:b/>
          <w:bCs/>
          <w:i/>
          <w:iCs/>
          <w:noProof/>
        </w:rPr>
      </w:pPr>
    </w:p>
    <w:p w14:paraId="090616A8" w14:textId="77777777" w:rsidR="008A61F0" w:rsidRPr="00925134" w:rsidRDefault="00587048" w:rsidP="00852CEC">
      <w:pPr>
        <w:ind w:left="2342"/>
        <w:jc w:val="right"/>
        <w:rPr>
          <w:rFonts w:cs="Arial"/>
          <w:b/>
          <w:bCs/>
          <w:i/>
          <w:iCs/>
          <w:noProof/>
        </w:rPr>
      </w:pPr>
      <w:r w:rsidRPr="00925134">
        <w:rPr>
          <w:rFonts w:cs="Arial"/>
          <w:b/>
          <w:bCs/>
          <w:i/>
          <w:iCs/>
          <w:noProof/>
        </w:rPr>
        <w:t>Investor r</w:t>
      </w:r>
      <w:r w:rsidR="008A61F0" w:rsidRPr="00925134">
        <w:rPr>
          <w:rFonts w:cs="Arial"/>
          <w:b/>
          <w:bCs/>
          <w:i/>
          <w:iCs/>
          <w:noProof/>
        </w:rPr>
        <w:t>elations:</w:t>
      </w:r>
    </w:p>
    <w:p w14:paraId="499FF06A" w14:textId="77777777" w:rsidR="008A61F0" w:rsidRPr="00925134" w:rsidRDefault="008A61F0" w:rsidP="00852CEC">
      <w:pPr>
        <w:ind w:left="2342"/>
        <w:jc w:val="right"/>
        <w:rPr>
          <w:rFonts w:cs="Arial"/>
          <w:bCs/>
          <w:i/>
          <w:iCs/>
          <w:noProof/>
        </w:rPr>
      </w:pPr>
      <w:r w:rsidRPr="00925134">
        <w:rPr>
          <w:rFonts w:cs="Arial"/>
          <w:bCs/>
          <w:i/>
          <w:iCs/>
          <w:noProof/>
        </w:rPr>
        <w:t>Vincent Biraud</w:t>
      </w:r>
    </w:p>
    <w:p w14:paraId="17D6F3FE" w14:textId="77777777" w:rsidR="00EB185F" w:rsidRPr="00925134" w:rsidRDefault="008A61F0" w:rsidP="00852CEC">
      <w:pPr>
        <w:ind w:left="2342"/>
        <w:jc w:val="right"/>
        <w:rPr>
          <w:rFonts w:cs="Arial"/>
          <w:bCs/>
          <w:i/>
          <w:iCs/>
          <w:noProof/>
          <w:lang w:val="en-US"/>
        </w:rPr>
      </w:pPr>
      <w:r w:rsidRPr="00925134">
        <w:rPr>
          <w:rFonts w:cs="Arial"/>
          <w:bCs/>
          <w:i/>
          <w:iCs/>
          <w:noProof/>
          <w:lang w:val="en-US"/>
        </w:rPr>
        <w:t>T</w:t>
      </w:r>
      <w:r w:rsidR="00587048" w:rsidRPr="00925134">
        <w:rPr>
          <w:rFonts w:cs="Arial"/>
          <w:bCs/>
          <w:i/>
          <w:iCs/>
          <w:noProof/>
          <w:lang w:val="en-US"/>
        </w:rPr>
        <w:t>e</w:t>
      </w:r>
      <w:r w:rsidRPr="00925134">
        <w:rPr>
          <w:rFonts w:cs="Arial"/>
          <w:bCs/>
          <w:i/>
          <w:iCs/>
          <w:noProof/>
          <w:lang w:val="en-US"/>
        </w:rPr>
        <w:t xml:space="preserve">l.: </w:t>
      </w:r>
      <w:r w:rsidR="00587048" w:rsidRPr="00925134">
        <w:rPr>
          <w:rFonts w:cs="Arial"/>
          <w:bCs/>
          <w:i/>
          <w:iCs/>
          <w:noProof/>
          <w:lang w:val="en-US"/>
        </w:rPr>
        <w:t xml:space="preserve">+33 </w:t>
      </w:r>
      <w:r w:rsidRPr="00925134">
        <w:rPr>
          <w:rFonts w:cs="Arial"/>
          <w:bCs/>
          <w:i/>
          <w:iCs/>
          <w:noProof/>
          <w:lang w:val="en-US"/>
        </w:rPr>
        <w:t>1 47 54 50 87</w:t>
      </w:r>
    </w:p>
    <w:p w14:paraId="2C5B16D0" w14:textId="77777777" w:rsidR="00C90010" w:rsidRPr="00925134" w:rsidRDefault="00C90010" w:rsidP="00852CEC">
      <w:pPr>
        <w:ind w:left="2342"/>
        <w:jc w:val="right"/>
        <w:rPr>
          <w:rFonts w:cs="Arial"/>
          <w:bCs/>
          <w:i/>
          <w:iCs/>
          <w:noProof/>
          <w:lang w:val="en-US"/>
        </w:rPr>
      </w:pPr>
      <w:r w:rsidRPr="00925134">
        <w:rPr>
          <w:rFonts w:cs="Arial"/>
          <w:bCs/>
          <w:i/>
          <w:iCs/>
          <w:noProof/>
          <w:lang w:val="en-US"/>
        </w:rPr>
        <w:t>vincent.biraud@capgemini.com</w:t>
      </w:r>
    </w:p>
    <w:p w14:paraId="3D87049A" w14:textId="77777777" w:rsidR="00852CEC" w:rsidRPr="00925134" w:rsidRDefault="00852CEC" w:rsidP="00AC715B">
      <w:pPr>
        <w:spacing w:before="120" w:after="120" w:line="24" w:lineRule="atLeast"/>
        <w:ind w:left="2340"/>
        <w:jc w:val="right"/>
        <w:rPr>
          <w:rFonts w:cs="Arial"/>
          <w:b/>
          <w:bCs/>
          <w:i/>
          <w:iCs/>
          <w:noProof/>
          <w:lang w:val="en-US"/>
        </w:rPr>
      </w:pPr>
    </w:p>
    <w:p w14:paraId="7FC85604" w14:textId="77777777" w:rsidR="002550C8" w:rsidRPr="00925134" w:rsidRDefault="002550C8" w:rsidP="00AC715B">
      <w:pPr>
        <w:spacing w:before="120" w:after="120" w:line="24" w:lineRule="atLeast"/>
        <w:ind w:left="2340"/>
        <w:jc w:val="right"/>
        <w:rPr>
          <w:rFonts w:cs="Arial"/>
          <w:b/>
          <w:bCs/>
          <w:i/>
          <w:iCs/>
          <w:noProof/>
          <w:lang w:val="en-US"/>
        </w:rPr>
      </w:pPr>
    </w:p>
    <w:p w14:paraId="4398E1FF" w14:textId="02FBA411" w:rsidR="00E954B2" w:rsidRPr="00925134" w:rsidRDefault="002550C8" w:rsidP="00E954B2">
      <w:pPr>
        <w:spacing w:before="120" w:after="120" w:line="288" w:lineRule="auto"/>
        <w:jc w:val="center"/>
        <w:rPr>
          <w:rFonts w:cs="Arial"/>
          <w:b/>
          <w:bCs/>
          <w:sz w:val="24"/>
          <w:lang w:val="en-US"/>
        </w:rPr>
      </w:pPr>
      <w:r w:rsidRPr="00925134">
        <w:rPr>
          <w:rFonts w:cs="Arial"/>
          <w:b/>
          <w:bCs/>
          <w:sz w:val="24"/>
          <w:lang w:val="en-US"/>
        </w:rPr>
        <w:t>Capgemini</w:t>
      </w:r>
      <w:r w:rsidR="00587048" w:rsidRPr="00925134">
        <w:rPr>
          <w:rFonts w:cs="Arial"/>
          <w:b/>
          <w:bCs/>
          <w:sz w:val="24"/>
          <w:lang w:val="en-US"/>
        </w:rPr>
        <w:t xml:space="preserve"> </w:t>
      </w:r>
      <w:r w:rsidR="00652BD0" w:rsidRPr="00925134">
        <w:rPr>
          <w:rFonts w:cs="Arial"/>
          <w:b/>
          <w:bCs/>
          <w:sz w:val="24"/>
          <w:lang w:val="en-US"/>
        </w:rPr>
        <w:t xml:space="preserve">records </w:t>
      </w:r>
      <w:r w:rsidR="006609D7" w:rsidRPr="00925134">
        <w:rPr>
          <w:rFonts w:cs="Arial"/>
          <w:b/>
          <w:bCs/>
          <w:sz w:val="24"/>
          <w:lang w:val="en-US"/>
        </w:rPr>
        <w:t xml:space="preserve">an </w:t>
      </w:r>
      <w:r w:rsidR="00587048" w:rsidRPr="00925134">
        <w:rPr>
          <w:rFonts w:cs="Arial"/>
          <w:b/>
          <w:bCs/>
          <w:sz w:val="24"/>
          <w:lang w:val="en-US"/>
        </w:rPr>
        <w:t xml:space="preserve">excellent </w:t>
      </w:r>
      <w:r w:rsidR="00A97365" w:rsidRPr="00925134">
        <w:rPr>
          <w:rFonts w:cs="Arial"/>
          <w:b/>
          <w:bCs/>
          <w:sz w:val="24"/>
          <w:lang w:val="en-US"/>
        </w:rPr>
        <w:t xml:space="preserve">performance in </w:t>
      </w:r>
      <w:r w:rsidR="000F494E" w:rsidRPr="00925134">
        <w:rPr>
          <w:rFonts w:cs="Arial"/>
          <w:b/>
          <w:bCs/>
          <w:sz w:val="24"/>
          <w:lang w:val="en-US"/>
        </w:rPr>
        <w:t xml:space="preserve">2017 </w:t>
      </w:r>
      <w:r w:rsidRPr="00925134">
        <w:rPr>
          <w:rFonts w:cs="Arial"/>
          <w:b/>
          <w:bCs/>
          <w:sz w:val="24"/>
          <w:lang w:val="en-US"/>
        </w:rPr>
        <w:br/>
      </w:r>
      <w:r w:rsidR="00351E69" w:rsidRPr="00925134">
        <w:rPr>
          <w:rFonts w:cs="Arial"/>
          <w:b/>
          <w:bCs/>
          <w:sz w:val="24"/>
          <w:lang w:val="en-US"/>
        </w:rPr>
        <w:t>with growth acceleration fueled by Digital and Cloud</w:t>
      </w:r>
      <w:r w:rsidR="00F63DB9" w:rsidRPr="00925134">
        <w:rPr>
          <w:rFonts w:cs="Arial"/>
          <w:b/>
          <w:bCs/>
          <w:sz w:val="24"/>
          <w:lang w:val="en-US"/>
        </w:rPr>
        <w:t xml:space="preserve"> </w:t>
      </w:r>
    </w:p>
    <w:p w14:paraId="5B22C7EE" w14:textId="77777777" w:rsidR="00E954B2" w:rsidRPr="00925134" w:rsidRDefault="00E954B2" w:rsidP="00E954B2">
      <w:pPr>
        <w:spacing w:before="120" w:after="120" w:line="288" w:lineRule="auto"/>
        <w:ind w:left="567" w:hanging="284"/>
        <w:rPr>
          <w:rFonts w:cs="Arial"/>
          <w:b/>
          <w:bCs/>
          <w:szCs w:val="18"/>
          <w:lang w:val="en-US"/>
        </w:rPr>
      </w:pPr>
    </w:p>
    <w:p w14:paraId="4E25D837" w14:textId="77777777" w:rsidR="00EC3718" w:rsidRPr="00925134" w:rsidRDefault="00587048"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Revenues of €</w:t>
      </w:r>
      <w:r w:rsidR="00E954B2" w:rsidRPr="00925134">
        <w:rPr>
          <w:rFonts w:cs="Arial"/>
          <w:b/>
          <w:bCs/>
          <w:szCs w:val="18"/>
          <w:lang w:val="en-US"/>
        </w:rPr>
        <w:t>12</w:t>
      </w:r>
      <w:r w:rsidRPr="00925134">
        <w:rPr>
          <w:rFonts w:cs="Arial"/>
          <w:b/>
          <w:bCs/>
          <w:szCs w:val="18"/>
          <w:lang w:val="en-US"/>
        </w:rPr>
        <w:t>,</w:t>
      </w:r>
      <w:r w:rsidR="00434D81" w:rsidRPr="00925134">
        <w:rPr>
          <w:rFonts w:cs="Arial"/>
          <w:b/>
          <w:bCs/>
          <w:szCs w:val="18"/>
          <w:lang w:val="en-US"/>
        </w:rPr>
        <w:t>792</w:t>
      </w:r>
      <w:r w:rsidR="00E954B2" w:rsidRPr="00925134">
        <w:rPr>
          <w:rFonts w:cs="Arial"/>
          <w:b/>
          <w:bCs/>
          <w:szCs w:val="18"/>
          <w:lang w:val="en-US"/>
        </w:rPr>
        <w:t xml:space="preserve"> million</w:t>
      </w:r>
    </w:p>
    <w:p w14:paraId="57BDC8A2" w14:textId="13480013" w:rsidR="005B1CE1" w:rsidRPr="00925134" w:rsidRDefault="00EC3718"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r>
      <w:r w:rsidR="00A97365" w:rsidRPr="00925134">
        <w:rPr>
          <w:rFonts w:cs="Arial"/>
          <w:b/>
          <w:bCs/>
          <w:szCs w:val="18"/>
          <w:lang w:val="en-US"/>
        </w:rPr>
        <w:t>FY r</w:t>
      </w:r>
      <w:r w:rsidRPr="00925134">
        <w:rPr>
          <w:rFonts w:cs="Arial"/>
          <w:b/>
          <w:bCs/>
          <w:szCs w:val="18"/>
          <w:lang w:val="en-US"/>
        </w:rPr>
        <w:t>evenue growth</w:t>
      </w:r>
      <w:r w:rsidR="005B1CE1" w:rsidRPr="00925134">
        <w:rPr>
          <w:rFonts w:cs="Arial"/>
          <w:b/>
          <w:bCs/>
          <w:szCs w:val="18"/>
          <w:lang w:val="en-US"/>
        </w:rPr>
        <w:t xml:space="preserve"> </w:t>
      </w:r>
      <w:r w:rsidRPr="00925134">
        <w:rPr>
          <w:rFonts w:cs="Arial"/>
          <w:b/>
          <w:bCs/>
          <w:szCs w:val="18"/>
          <w:lang w:val="en-US"/>
        </w:rPr>
        <w:t xml:space="preserve">of </w:t>
      </w:r>
      <w:r w:rsidR="005B1CE1" w:rsidRPr="00925134">
        <w:rPr>
          <w:rFonts w:cs="Arial"/>
          <w:b/>
          <w:bCs/>
          <w:szCs w:val="18"/>
          <w:lang w:val="en-US"/>
        </w:rPr>
        <w:t xml:space="preserve">+4.0% </w:t>
      </w:r>
      <w:r w:rsidR="00652BD0" w:rsidRPr="00925134">
        <w:rPr>
          <w:rFonts w:cs="Arial"/>
          <w:b/>
          <w:bCs/>
          <w:szCs w:val="18"/>
          <w:lang w:val="en-US"/>
        </w:rPr>
        <w:t>at constant exchange rates</w:t>
      </w:r>
      <w:r w:rsidR="00652BD0" w:rsidRPr="00925134">
        <w:rPr>
          <w:rStyle w:val="Fotnotereferanse"/>
          <w:rFonts w:cs="Arial"/>
          <w:b/>
          <w:bCs/>
          <w:szCs w:val="18"/>
          <w:lang w:val="en-US"/>
        </w:rPr>
        <w:footnoteReference w:id="2"/>
      </w:r>
      <w:r w:rsidR="00652BD0" w:rsidRPr="00925134">
        <w:rPr>
          <w:rFonts w:cs="Arial"/>
          <w:b/>
          <w:bCs/>
          <w:szCs w:val="18"/>
          <w:lang w:val="en-US"/>
        </w:rPr>
        <w:t xml:space="preserve"> </w:t>
      </w:r>
      <w:r w:rsidR="005B1CE1" w:rsidRPr="00925134">
        <w:rPr>
          <w:rFonts w:cs="Arial"/>
          <w:b/>
          <w:bCs/>
          <w:szCs w:val="18"/>
          <w:lang w:val="en-US"/>
        </w:rPr>
        <w:t>and +6.2% in Q4</w:t>
      </w:r>
    </w:p>
    <w:p w14:paraId="522AC815" w14:textId="221F1B7F" w:rsidR="005B1CE1" w:rsidRPr="00925134" w:rsidRDefault="005B1CE1"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Digital and Cloud revenues close to €5 billion</w:t>
      </w:r>
      <w:r w:rsidR="00A97365" w:rsidRPr="00925134">
        <w:rPr>
          <w:rFonts w:cs="Arial"/>
          <w:b/>
          <w:bCs/>
          <w:szCs w:val="18"/>
          <w:lang w:val="en-US"/>
        </w:rPr>
        <w:t xml:space="preserve"> (+24% year-on-year)</w:t>
      </w:r>
    </w:p>
    <w:p w14:paraId="13B8350B" w14:textId="5D8B4AD9" w:rsidR="005B1CE1" w:rsidRPr="00925134" w:rsidRDefault="005B1CE1"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Operating margin rate</w:t>
      </w:r>
      <w:r w:rsidRPr="00925134">
        <w:rPr>
          <w:rFonts w:cs="Arial"/>
          <w:b/>
          <w:bCs/>
          <w:szCs w:val="18"/>
          <w:vertAlign w:val="superscript"/>
          <w:lang w:val="en-US"/>
        </w:rPr>
        <w:t>*</w:t>
      </w:r>
      <w:r w:rsidRPr="00925134">
        <w:rPr>
          <w:rFonts w:cs="Arial"/>
          <w:b/>
          <w:bCs/>
          <w:szCs w:val="18"/>
          <w:lang w:val="en-US"/>
        </w:rPr>
        <w:t xml:space="preserve"> of 11.7%, up 20 basis points</w:t>
      </w:r>
    </w:p>
    <w:p w14:paraId="43C34D8F" w14:textId="057723CB" w:rsidR="005B1CE1" w:rsidRPr="00925134" w:rsidRDefault="005B1CE1"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Net profit</w:t>
      </w:r>
      <w:r w:rsidR="004F03ED" w:rsidRPr="00925134">
        <w:rPr>
          <w:rFonts w:cs="Arial"/>
          <w:b/>
          <w:bCs/>
          <w:szCs w:val="18"/>
          <w:lang w:val="en-US"/>
        </w:rPr>
        <w:t xml:space="preserve"> Group share</w:t>
      </w:r>
      <w:r w:rsidRPr="00925134">
        <w:rPr>
          <w:rFonts w:cs="Arial"/>
          <w:b/>
          <w:bCs/>
          <w:szCs w:val="18"/>
          <w:lang w:val="en-US"/>
        </w:rPr>
        <w:t xml:space="preserve"> up 11%</w:t>
      </w:r>
      <w:r w:rsidRPr="00925134">
        <w:rPr>
          <w:rStyle w:val="Fotnotereferanse"/>
          <w:rFonts w:cs="Arial"/>
          <w:b/>
          <w:bCs/>
          <w:szCs w:val="18"/>
          <w:lang w:val="en-US"/>
        </w:rPr>
        <w:footnoteReference w:id="3"/>
      </w:r>
      <w:r w:rsidRPr="00925134">
        <w:rPr>
          <w:rFonts w:cs="Arial"/>
          <w:b/>
          <w:bCs/>
          <w:szCs w:val="18"/>
          <w:lang w:val="en-US"/>
        </w:rPr>
        <w:t xml:space="preserve"> to €820 million</w:t>
      </w:r>
    </w:p>
    <w:p w14:paraId="58667B4B" w14:textId="15246DCA" w:rsidR="005B1CE1" w:rsidRPr="00925134" w:rsidRDefault="005B1CE1"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Normalized EPS</w:t>
      </w:r>
      <w:r w:rsidRPr="00925134">
        <w:rPr>
          <w:rFonts w:cs="Arial"/>
          <w:b/>
          <w:bCs/>
          <w:szCs w:val="18"/>
          <w:vertAlign w:val="superscript"/>
          <w:lang w:val="en-US"/>
        </w:rPr>
        <w:t>*</w:t>
      </w:r>
      <w:r w:rsidRPr="00925134">
        <w:rPr>
          <w:rFonts w:cs="Arial"/>
          <w:b/>
          <w:bCs/>
          <w:szCs w:val="18"/>
          <w:lang w:val="en-US"/>
        </w:rPr>
        <w:t xml:space="preserve"> of €6.22</w:t>
      </w:r>
    </w:p>
    <w:p w14:paraId="7F804532" w14:textId="4E762D63" w:rsidR="005B1CE1" w:rsidRPr="00925134" w:rsidRDefault="005B1CE1"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Organic Free Cash Flow</w:t>
      </w:r>
      <w:r w:rsidRPr="00925134">
        <w:rPr>
          <w:rFonts w:cs="Arial"/>
          <w:b/>
          <w:bCs/>
          <w:szCs w:val="18"/>
          <w:vertAlign w:val="superscript"/>
          <w:lang w:val="en-US"/>
        </w:rPr>
        <w:t>*</w:t>
      </w:r>
      <w:r w:rsidRPr="00925134">
        <w:rPr>
          <w:rFonts w:cs="Arial"/>
          <w:b/>
          <w:bCs/>
          <w:szCs w:val="18"/>
          <w:lang w:val="en-US"/>
        </w:rPr>
        <w:t xml:space="preserve"> of €1,080 million</w:t>
      </w:r>
    </w:p>
    <w:p w14:paraId="2A4AA494" w14:textId="559B7156" w:rsidR="005B1CE1" w:rsidRPr="00925134" w:rsidRDefault="005B1CE1" w:rsidP="00F9266C">
      <w:pPr>
        <w:pStyle w:val="Listeavsnitt"/>
        <w:spacing w:line="288" w:lineRule="auto"/>
        <w:ind w:left="284" w:hanging="284"/>
        <w:rPr>
          <w:rFonts w:cs="Arial"/>
          <w:b/>
          <w:bCs/>
          <w:szCs w:val="18"/>
          <w:lang w:val="en-US"/>
        </w:rPr>
      </w:pPr>
      <w:r w:rsidRPr="00925134">
        <w:rPr>
          <w:rFonts w:cs="Arial"/>
          <w:b/>
          <w:bCs/>
          <w:szCs w:val="18"/>
          <w:lang w:val="en-US"/>
        </w:rPr>
        <w:t>•</w:t>
      </w:r>
      <w:r w:rsidRPr="00925134">
        <w:rPr>
          <w:rFonts w:cs="Arial"/>
          <w:b/>
          <w:bCs/>
          <w:szCs w:val="18"/>
          <w:lang w:val="en-US"/>
        </w:rPr>
        <w:tab/>
        <w:t>Proposed dividend of €1.</w:t>
      </w:r>
      <w:r w:rsidR="008305DD">
        <w:rPr>
          <w:rFonts w:cs="Arial"/>
          <w:b/>
          <w:bCs/>
          <w:szCs w:val="18"/>
          <w:lang w:val="en-US"/>
        </w:rPr>
        <w:t>70</w:t>
      </w:r>
      <w:r w:rsidR="00A97365" w:rsidRPr="00925134">
        <w:rPr>
          <w:rFonts w:cs="Arial"/>
          <w:b/>
          <w:bCs/>
          <w:szCs w:val="18"/>
          <w:lang w:val="en-US"/>
        </w:rPr>
        <w:t xml:space="preserve"> per share, up </w:t>
      </w:r>
      <w:r w:rsidR="008305DD">
        <w:rPr>
          <w:rFonts w:cs="Arial"/>
          <w:b/>
          <w:bCs/>
          <w:szCs w:val="18"/>
          <w:lang w:val="en-US"/>
        </w:rPr>
        <w:t>15</w:t>
      </w:r>
      <w:r w:rsidRPr="00925134">
        <w:rPr>
          <w:rFonts w:cs="Arial"/>
          <w:b/>
          <w:bCs/>
          <w:szCs w:val="18"/>
          <w:lang w:val="en-US"/>
        </w:rPr>
        <w:t xml:space="preserve"> cents</w:t>
      </w:r>
    </w:p>
    <w:p w14:paraId="386F46AB" w14:textId="003534F2" w:rsidR="007942A0" w:rsidRPr="00925134" w:rsidRDefault="005B1CE1" w:rsidP="008D44B5">
      <w:pPr>
        <w:spacing w:before="120" w:after="120" w:line="288" w:lineRule="auto"/>
        <w:rPr>
          <w:rFonts w:cs="Arial"/>
          <w:b/>
          <w:i/>
          <w:lang w:val="en-US"/>
        </w:rPr>
      </w:pPr>
      <w:r w:rsidRPr="00925134" w:rsidDel="005B1CE1">
        <w:rPr>
          <w:rFonts w:cs="Arial"/>
          <w:b/>
          <w:bCs/>
          <w:szCs w:val="18"/>
          <w:lang w:val="en-US"/>
        </w:rPr>
        <w:t xml:space="preserve"> </w:t>
      </w:r>
    </w:p>
    <w:p w14:paraId="1FF6F1DA" w14:textId="746AB1B4" w:rsidR="00E954B2" w:rsidRPr="00925134" w:rsidRDefault="00E808B3" w:rsidP="001B1046">
      <w:pPr>
        <w:spacing w:before="120" w:after="120" w:line="288" w:lineRule="auto"/>
        <w:rPr>
          <w:rFonts w:cs="Arial"/>
          <w:lang w:val="en-US"/>
        </w:rPr>
      </w:pPr>
      <w:r w:rsidRPr="00925134">
        <w:rPr>
          <w:rFonts w:cs="Arial"/>
          <w:b/>
          <w:lang w:val="en-US"/>
        </w:rPr>
        <w:t xml:space="preserve">Paris, </w:t>
      </w:r>
      <w:r w:rsidR="00CD2D89" w:rsidRPr="00925134">
        <w:rPr>
          <w:rFonts w:cs="Arial"/>
          <w:b/>
          <w:lang w:val="en-US"/>
        </w:rPr>
        <w:t xml:space="preserve">February 15, </w:t>
      </w:r>
      <w:r w:rsidR="00E954B2" w:rsidRPr="00925134">
        <w:rPr>
          <w:rFonts w:cs="Arial"/>
          <w:b/>
          <w:lang w:val="en-US"/>
        </w:rPr>
        <w:t>2018</w:t>
      </w:r>
      <w:r w:rsidRPr="00925134">
        <w:rPr>
          <w:rFonts w:cs="Arial"/>
          <w:lang w:val="en-US"/>
        </w:rPr>
        <w:t xml:space="preserve"> – </w:t>
      </w:r>
      <w:r w:rsidR="00CD2D89" w:rsidRPr="00925134">
        <w:rPr>
          <w:rFonts w:cs="Arial"/>
          <w:lang w:val="en-US"/>
        </w:rPr>
        <w:t>The Board of Directors of Capgemini SE, chaired by Paul Hermelin, convened in Paris on February 1</w:t>
      </w:r>
      <w:r w:rsidR="00B8529D" w:rsidRPr="00925134">
        <w:rPr>
          <w:rFonts w:cs="Arial"/>
          <w:lang w:val="en-US"/>
        </w:rPr>
        <w:t>4</w:t>
      </w:r>
      <w:r w:rsidR="00CD2D89" w:rsidRPr="00925134">
        <w:rPr>
          <w:rFonts w:cs="Arial"/>
          <w:lang w:val="en-US"/>
        </w:rPr>
        <w:t xml:space="preserve">, </w:t>
      </w:r>
      <w:r w:rsidR="005F5C67" w:rsidRPr="00925134">
        <w:rPr>
          <w:rFonts w:cs="Arial"/>
          <w:lang w:val="en-US"/>
        </w:rPr>
        <w:t xml:space="preserve">2018 </w:t>
      </w:r>
      <w:r w:rsidR="00CD2D89" w:rsidRPr="00925134">
        <w:rPr>
          <w:rFonts w:cs="Arial"/>
          <w:lang w:val="en-US"/>
        </w:rPr>
        <w:t>to review and auth</w:t>
      </w:r>
      <w:r w:rsidR="00B8529D" w:rsidRPr="00925134">
        <w:rPr>
          <w:rFonts w:cs="Arial"/>
          <w:lang w:val="en-US"/>
        </w:rPr>
        <w:t>orize the issue of the accounts</w:t>
      </w:r>
      <w:r w:rsidR="009A6402" w:rsidRPr="00925134">
        <w:rPr>
          <w:rStyle w:val="Fotnotereferanse"/>
          <w:rFonts w:cs="Arial"/>
          <w:lang w:val="en-US"/>
        </w:rPr>
        <w:footnoteReference w:id="4"/>
      </w:r>
      <w:r w:rsidR="00CD2D89" w:rsidRPr="00925134">
        <w:rPr>
          <w:rFonts w:cs="Arial"/>
          <w:lang w:val="en-US"/>
        </w:rPr>
        <w:t xml:space="preserve"> of Capgemini Group for the year ended December 31, 201</w:t>
      </w:r>
      <w:r w:rsidR="00B8529D" w:rsidRPr="00925134">
        <w:rPr>
          <w:rFonts w:cs="Arial"/>
          <w:lang w:val="en-US"/>
        </w:rPr>
        <w:t>7</w:t>
      </w:r>
      <w:r w:rsidR="00E954B2" w:rsidRPr="00925134">
        <w:rPr>
          <w:rFonts w:cs="Arial"/>
          <w:lang w:val="en-US"/>
        </w:rPr>
        <w:t xml:space="preserve">. </w:t>
      </w:r>
    </w:p>
    <w:p w14:paraId="454ED373" w14:textId="3980C50C" w:rsidR="003352FA" w:rsidRPr="00925134" w:rsidRDefault="00B8529D" w:rsidP="003352FA">
      <w:pPr>
        <w:spacing w:before="120" w:after="120" w:line="288" w:lineRule="auto"/>
        <w:rPr>
          <w:rFonts w:cs="Arial"/>
          <w:i/>
          <w:lang w:val="en-US"/>
        </w:rPr>
      </w:pPr>
      <w:r w:rsidRPr="00925134">
        <w:rPr>
          <w:rFonts w:cs="Arial"/>
          <w:lang w:val="en-US"/>
        </w:rPr>
        <w:t>For</w:t>
      </w:r>
      <w:r w:rsidR="00E808B3" w:rsidRPr="00925134">
        <w:rPr>
          <w:rFonts w:cs="Arial"/>
          <w:lang w:val="en-US"/>
        </w:rPr>
        <w:t xml:space="preserve"> Paul Hermelin, </w:t>
      </w:r>
      <w:r w:rsidRPr="00925134">
        <w:rPr>
          <w:rFonts w:cs="Arial"/>
          <w:lang w:val="en-US"/>
        </w:rPr>
        <w:t xml:space="preserve">Chairman and Chief Executive Officer of </w:t>
      </w:r>
      <w:r w:rsidR="00E808B3" w:rsidRPr="00925134">
        <w:rPr>
          <w:rFonts w:cs="Arial"/>
          <w:lang w:val="en-US"/>
        </w:rPr>
        <w:t>Capgemini</w:t>
      </w:r>
      <w:r w:rsidRPr="00925134">
        <w:rPr>
          <w:rFonts w:cs="Arial"/>
          <w:lang w:val="en-US"/>
        </w:rPr>
        <w:t xml:space="preserve"> Group</w:t>
      </w:r>
      <w:r w:rsidR="00E808B3" w:rsidRPr="00925134">
        <w:rPr>
          <w:rFonts w:cs="Arial"/>
          <w:lang w:val="en-US"/>
        </w:rPr>
        <w:t xml:space="preserve">: </w:t>
      </w:r>
      <w:r w:rsidR="007740EA" w:rsidRPr="00925134">
        <w:rPr>
          <w:rFonts w:cs="Arial"/>
          <w:lang w:val="en-US"/>
        </w:rPr>
        <w:t>“</w:t>
      </w:r>
      <w:r w:rsidR="003352FA" w:rsidRPr="00925134">
        <w:rPr>
          <w:rFonts w:cs="Arial"/>
          <w:i/>
          <w:lang w:val="en-US"/>
        </w:rPr>
        <w:t xml:space="preserve">Our excellent performance </w:t>
      </w:r>
      <w:r w:rsidR="00A97365" w:rsidRPr="00925134">
        <w:rPr>
          <w:rFonts w:cs="Arial"/>
          <w:i/>
          <w:lang w:val="en-US"/>
        </w:rPr>
        <w:t xml:space="preserve">in 2017 </w:t>
      </w:r>
      <w:r w:rsidR="003352FA" w:rsidRPr="00925134">
        <w:rPr>
          <w:rFonts w:cs="Arial"/>
          <w:i/>
          <w:lang w:val="en-US"/>
        </w:rPr>
        <w:t xml:space="preserve">reflects our ability to create value for our </w:t>
      </w:r>
      <w:r w:rsidR="00A97365" w:rsidRPr="00925134">
        <w:rPr>
          <w:rFonts w:cs="Arial"/>
          <w:i/>
          <w:lang w:val="en-US"/>
        </w:rPr>
        <w:t xml:space="preserve">customers </w:t>
      </w:r>
      <w:r w:rsidR="003352FA" w:rsidRPr="00925134">
        <w:rPr>
          <w:rFonts w:cs="Arial"/>
          <w:i/>
          <w:lang w:val="en-US"/>
        </w:rPr>
        <w:t xml:space="preserve">and capture - in particular – the demand fueled by their digital transformation agendas, while </w:t>
      </w:r>
      <w:r w:rsidR="00A97365" w:rsidRPr="00925134">
        <w:rPr>
          <w:rFonts w:cs="Arial"/>
          <w:i/>
          <w:lang w:val="en-US"/>
        </w:rPr>
        <w:t>pursuing our profitable growth journey</w:t>
      </w:r>
      <w:r w:rsidR="003352FA" w:rsidRPr="00925134">
        <w:rPr>
          <w:rFonts w:cs="Arial"/>
          <w:i/>
          <w:lang w:val="en-US"/>
        </w:rPr>
        <w:t xml:space="preserve">. </w:t>
      </w:r>
    </w:p>
    <w:p w14:paraId="7C12B8A4" w14:textId="3870AD22" w:rsidR="003352FA" w:rsidRPr="00925134" w:rsidRDefault="003352FA" w:rsidP="003352FA">
      <w:pPr>
        <w:spacing w:before="120" w:after="120" w:line="288" w:lineRule="auto"/>
        <w:rPr>
          <w:rFonts w:cs="Arial"/>
          <w:i/>
          <w:lang w:val="en-US"/>
        </w:rPr>
      </w:pPr>
      <w:r w:rsidRPr="00925134">
        <w:rPr>
          <w:rFonts w:cs="Arial"/>
          <w:i/>
          <w:lang w:val="en-US"/>
        </w:rPr>
        <w:t xml:space="preserve">We announce </w:t>
      </w:r>
      <w:r w:rsidR="00A97365" w:rsidRPr="00925134">
        <w:rPr>
          <w:rFonts w:cs="Arial"/>
          <w:i/>
          <w:lang w:val="en-US"/>
        </w:rPr>
        <w:t xml:space="preserve">a revenue growth (+4.0% at constant exchange rates) higher than the </w:t>
      </w:r>
      <w:r w:rsidRPr="00925134">
        <w:rPr>
          <w:rFonts w:cs="Arial"/>
          <w:i/>
          <w:lang w:val="en-US"/>
        </w:rPr>
        <w:t>objective set</w:t>
      </w:r>
      <w:r w:rsidR="007370D6" w:rsidRPr="00925134">
        <w:rPr>
          <w:rFonts w:cs="Arial"/>
          <w:i/>
          <w:lang w:val="en-US"/>
        </w:rPr>
        <w:t xml:space="preserve"> and end t</w:t>
      </w:r>
      <w:r w:rsidRPr="00925134">
        <w:rPr>
          <w:rFonts w:cs="Arial"/>
          <w:i/>
          <w:lang w:val="en-US"/>
        </w:rPr>
        <w:t xml:space="preserve">he year with </w:t>
      </w:r>
      <w:r w:rsidR="007370D6" w:rsidRPr="00925134">
        <w:rPr>
          <w:rFonts w:cs="Arial"/>
          <w:i/>
          <w:lang w:val="en-US"/>
        </w:rPr>
        <w:t xml:space="preserve">very good </w:t>
      </w:r>
      <w:r w:rsidRPr="00925134">
        <w:rPr>
          <w:rFonts w:cs="Arial"/>
          <w:i/>
          <w:lang w:val="en-US"/>
        </w:rPr>
        <w:t xml:space="preserve">momentum (+6.2% in Q4), particularly in </w:t>
      </w:r>
      <w:r w:rsidR="007370D6" w:rsidRPr="00925134">
        <w:rPr>
          <w:rFonts w:cs="Arial"/>
          <w:i/>
          <w:lang w:val="en-US"/>
        </w:rPr>
        <w:t xml:space="preserve">North America, </w:t>
      </w:r>
      <w:r w:rsidRPr="00925134">
        <w:rPr>
          <w:rFonts w:cs="Arial"/>
          <w:i/>
          <w:lang w:val="en-US"/>
        </w:rPr>
        <w:t xml:space="preserve">the Group’s </w:t>
      </w:r>
      <w:r w:rsidR="007370D6" w:rsidRPr="00925134">
        <w:rPr>
          <w:rFonts w:cs="Arial"/>
          <w:i/>
          <w:lang w:val="en-US"/>
        </w:rPr>
        <w:t xml:space="preserve">largest </w:t>
      </w:r>
      <w:r w:rsidRPr="00925134">
        <w:rPr>
          <w:rFonts w:cs="Arial"/>
          <w:i/>
          <w:lang w:val="en-US"/>
        </w:rPr>
        <w:t xml:space="preserve">market. Digital and Cloud revenues </w:t>
      </w:r>
      <w:r w:rsidR="007370D6" w:rsidRPr="00925134">
        <w:rPr>
          <w:rFonts w:cs="Arial"/>
          <w:i/>
          <w:lang w:val="en-US"/>
        </w:rPr>
        <w:t xml:space="preserve">reached </w:t>
      </w:r>
      <w:r w:rsidRPr="00925134">
        <w:rPr>
          <w:rFonts w:cs="Arial"/>
          <w:i/>
          <w:lang w:val="en-US"/>
        </w:rPr>
        <w:t xml:space="preserve">close to €5 billion </w:t>
      </w:r>
      <w:r w:rsidR="00AA2ABA" w:rsidRPr="00925134">
        <w:rPr>
          <w:rFonts w:cs="Arial"/>
          <w:i/>
          <w:lang w:val="en-US"/>
        </w:rPr>
        <w:t xml:space="preserve">in </w:t>
      </w:r>
      <w:r w:rsidR="003E4F25">
        <w:rPr>
          <w:rFonts w:cs="Arial"/>
          <w:i/>
          <w:lang w:val="en-US"/>
        </w:rPr>
        <w:t>2017</w:t>
      </w:r>
      <w:r w:rsidR="00AA2ABA" w:rsidRPr="00925134">
        <w:rPr>
          <w:rFonts w:cs="Arial"/>
          <w:i/>
          <w:lang w:val="en-US"/>
        </w:rPr>
        <w:t xml:space="preserve"> </w:t>
      </w:r>
      <w:r w:rsidRPr="00925134">
        <w:rPr>
          <w:rFonts w:cs="Arial"/>
          <w:i/>
          <w:lang w:val="en-US"/>
        </w:rPr>
        <w:t>and account for 40% of our business</w:t>
      </w:r>
      <w:r w:rsidR="00A92B8A" w:rsidRPr="00925134">
        <w:rPr>
          <w:rFonts w:cs="Arial"/>
          <w:i/>
          <w:lang w:val="en-US"/>
        </w:rPr>
        <w:t xml:space="preserve"> </w:t>
      </w:r>
      <w:r w:rsidR="00AA2ABA" w:rsidRPr="00925134">
        <w:rPr>
          <w:rFonts w:cs="Arial"/>
          <w:i/>
          <w:lang w:val="en-US"/>
        </w:rPr>
        <w:t>in the fourth quarter</w:t>
      </w:r>
      <w:r w:rsidRPr="00925134">
        <w:rPr>
          <w:rFonts w:cs="Arial"/>
          <w:i/>
          <w:lang w:val="en-US"/>
        </w:rPr>
        <w:t xml:space="preserve">. Finally, </w:t>
      </w:r>
      <w:r w:rsidR="007370D6" w:rsidRPr="00925134">
        <w:rPr>
          <w:rFonts w:cs="Arial"/>
          <w:i/>
          <w:lang w:val="en-US"/>
        </w:rPr>
        <w:t xml:space="preserve">in line with our business plan, </w:t>
      </w:r>
      <w:r w:rsidRPr="00925134">
        <w:rPr>
          <w:rFonts w:cs="Arial"/>
          <w:i/>
          <w:lang w:val="en-US"/>
        </w:rPr>
        <w:t>our operating margin rate</w:t>
      </w:r>
      <w:r w:rsidR="007370D6" w:rsidRPr="00925134">
        <w:rPr>
          <w:rFonts w:cs="Arial"/>
          <w:i/>
          <w:lang w:val="en-US"/>
        </w:rPr>
        <w:t xml:space="preserve">, at 11.7%, continued to progress towards our medium-term ambition. </w:t>
      </w:r>
    </w:p>
    <w:p w14:paraId="465DE269" w14:textId="7EEBE017" w:rsidR="003C7E13" w:rsidRPr="00925134" w:rsidRDefault="003C7E13" w:rsidP="003C7E13">
      <w:pPr>
        <w:spacing w:before="120" w:after="120" w:line="288" w:lineRule="auto"/>
        <w:rPr>
          <w:rFonts w:cs="Arial"/>
          <w:i/>
          <w:lang w:val="en-US"/>
        </w:rPr>
      </w:pPr>
      <w:r w:rsidRPr="00925134">
        <w:rPr>
          <w:rFonts w:cs="Arial"/>
          <w:i/>
          <w:lang w:val="en-US"/>
        </w:rPr>
        <w:t xml:space="preserve">We won significant contracts to help our customers, </w:t>
      </w:r>
      <w:r w:rsidR="00A76E42" w:rsidRPr="00925134">
        <w:rPr>
          <w:rFonts w:cs="Arial"/>
          <w:i/>
          <w:lang w:val="en-US"/>
        </w:rPr>
        <w:t>as</w:t>
      </w:r>
      <w:r w:rsidRPr="00925134">
        <w:rPr>
          <w:rFonts w:cs="Arial"/>
          <w:i/>
          <w:lang w:val="en-US"/>
        </w:rPr>
        <w:t xml:space="preserve"> global strategic partners, attain their </w:t>
      </w:r>
      <w:r w:rsidR="00A76E42" w:rsidRPr="00925134">
        <w:rPr>
          <w:rFonts w:cs="Arial"/>
          <w:i/>
          <w:lang w:val="en-US"/>
        </w:rPr>
        <w:t xml:space="preserve">objectives in terms of both </w:t>
      </w:r>
      <w:r w:rsidRPr="00925134">
        <w:rPr>
          <w:rFonts w:cs="Arial"/>
          <w:i/>
          <w:lang w:val="en-US"/>
        </w:rPr>
        <w:t>productivity - leveraging our automation technologies – and innovation. We enriched our offerings in these areas with several bolt-on acquisitions, particularly in e-commerce and digital design, including the acquisition of the digital customer engagement firm, LiquidHub, announced last week.</w:t>
      </w:r>
    </w:p>
    <w:p w14:paraId="2AF7DED9" w14:textId="5FD110A0" w:rsidR="003C7E13" w:rsidRPr="00925134" w:rsidRDefault="003C7E13" w:rsidP="003C7E13">
      <w:pPr>
        <w:spacing w:before="120" w:after="120" w:line="288" w:lineRule="auto"/>
        <w:rPr>
          <w:rFonts w:cs="Arial"/>
          <w:i/>
          <w:lang w:val="en-US"/>
        </w:rPr>
      </w:pPr>
      <w:r w:rsidRPr="00925134">
        <w:rPr>
          <w:rFonts w:cs="Arial"/>
          <w:i/>
          <w:lang w:val="en-US"/>
        </w:rPr>
        <w:t>In 2018, we will continue to develop our service portfolio, while strengthening our sector expertise. With 200,000 employees, 57% of whom are located in our global network of delivery centers, we will also continue to invest in our tal</w:t>
      </w:r>
      <w:r w:rsidR="007740EA" w:rsidRPr="00925134">
        <w:rPr>
          <w:rFonts w:cs="Arial"/>
          <w:i/>
          <w:lang w:val="en-US"/>
        </w:rPr>
        <w:t>ent through sustained training.</w:t>
      </w:r>
      <w:r w:rsidRPr="00925134">
        <w:rPr>
          <w:rFonts w:cs="Arial"/>
          <w:i/>
          <w:lang w:val="en-US"/>
        </w:rPr>
        <w:t xml:space="preserve"> Finally, together with our Board of Directors, we have redefined our corporate social responsibility priorities with specific and quantifiable commitments in </w:t>
      </w:r>
      <w:r w:rsidR="00594138" w:rsidRPr="00925134">
        <w:rPr>
          <w:rFonts w:cs="Arial"/>
          <w:i/>
          <w:lang w:val="en-US"/>
        </w:rPr>
        <w:t xml:space="preserve">the </w:t>
      </w:r>
      <w:r w:rsidRPr="00925134">
        <w:rPr>
          <w:rFonts w:cs="Arial"/>
          <w:i/>
          <w:lang w:val="en-US"/>
        </w:rPr>
        <w:t>areas we hav</w:t>
      </w:r>
      <w:r w:rsidR="00A76E42" w:rsidRPr="00925134">
        <w:rPr>
          <w:rFonts w:cs="Arial"/>
          <w:i/>
          <w:lang w:val="en-US"/>
        </w:rPr>
        <w:t xml:space="preserve">e selected: promoting diversity, </w:t>
      </w:r>
      <w:r w:rsidRPr="00925134">
        <w:rPr>
          <w:rFonts w:cs="Arial"/>
          <w:i/>
          <w:lang w:val="en-US"/>
        </w:rPr>
        <w:t xml:space="preserve">environmental protection and fighting the digital divide, or as we call it </w:t>
      </w:r>
      <w:r w:rsidR="007740EA" w:rsidRPr="00925134">
        <w:rPr>
          <w:rFonts w:cs="Arial"/>
          <w:i/>
          <w:lang w:val="en-US"/>
        </w:rPr>
        <w:t>‘</w:t>
      </w:r>
      <w:r w:rsidRPr="00925134">
        <w:rPr>
          <w:rFonts w:cs="Arial"/>
          <w:i/>
          <w:lang w:val="en-US"/>
        </w:rPr>
        <w:t>digital inclusion</w:t>
      </w:r>
      <w:r w:rsidR="007740EA" w:rsidRPr="00925134">
        <w:rPr>
          <w:rFonts w:cs="Arial"/>
          <w:i/>
          <w:lang w:val="en-US"/>
        </w:rPr>
        <w:t>’</w:t>
      </w:r>
      <w:r w:rsidR="00594138" w:rsidRPr="00925134">
        <w:rPr>
          <w:rFonts w:cs="Arial"/>
          <w:i/>
          <w:lang w:val="en-US"/>
        </w:rPr>
        <w:t>.</w:t>
      </w:r>
      <w:r w:rsidR="007740EA" w:rsidRPr="00925134">
        <w:rPr>
          <w:rFonts w:cs="Arial"/>
          <w:i/>
          <w:lang w:val="en-US"/>
        </w:rPr>
        <w:t>”</w:t>
      </w:r>
    </w:p>
    <w:p w14:paraId="3FDB486F" w14:textId="77777777" w:rsidR="00C91770" w:rsidRPr="00925134" w:rsidRDefault="008959F4" w:rsidP="00C91770">
      <w:pPr>
        <w:pStyle w:val="Overskrift1"/>
        <w:rPr>
          <w:lang w:val="en-US"/>
        </w:rPr>
      </w:pPr>
      <w:r w:rsidRPr="00925134">
        <w:rPr>
          <w:lang w:val="en-US"/>
        </w:rPr>
        <w:lastRenderedPageBreak/>
        <w:t>2017</w:t>
      </w:r>
      <w:r w:rsidR="00B8529D" w:rsidRPr="00925134">
        <w:rPr>
          <w:lang w:val="en-US"/>
        </w:rPr>
        <w:t xml:space="preserve"> KEY FIGURES</w:t>
      </w:r>
    </w:p>
    <w:tbl>
      <w:tblPr>
        <w:tblW w:w="0" w:type="auto"/>
        <w:jc w:val="center"/>
        <w:tblLook w:val="04A0" w:firstRow="1" w:lastRow="0" w:firstColumn="1" w:lastColumn="0" w:noHBand="0" w:noVBand="1"/>
      </w:tblPr>
      <w:tblGrid>
        <w:gridCol w:w="3821"/>
        <w:gridCol w:w="1474"/>
        <w:gridCol w:w="1474"/>
        <w:gridCol w:w="2729"/>
      </w:tblGrid>
      <w:tr w:rsidR="00C91770" w:rsidRPr="00925134" w14:paraId="09A8DA44" w14:textId="77777777" w:rsidTr="007370D6">
        <w:trPr>
          <w:trHeight w:val="454"/>
          <w:jc w:val="center"/>
        </w:trPr>
        <w:tc>
          <w:tcPr>
            <w:tcW w:w="3821" w:type="dxa"/>
            <w:tcBorders>
              <w:bottom w:val="single" w:sz="4" w:space="0" w:color="30849B"/>
            </w:tcBorders>
            <w:vAlign w:val="center"/>
          </w:tcPr>
          <w:p w14:paraId="5A76B373" w14:textId="77777777" w:rsidR="00C91770" w:rsidRPr="00925134" w:rsidRDefault="00C91770" w:rsidP="00B8529D">
            <w:pPr>
              <w:keepNext/>
              <w:jc w:val="center"/>
              <w:rPr>
                <w:rFonts w:cs="Arial"/>
                <w:i/>
                <w:sz w:val="16"/>
                <w:lang w:val="en-US"/>
              </w:rPr>
            </w:pPr>
            <w:r w:rsidRPr="00925134">
              <w:rPr>
                <w:rFonts w:cs="Arial"/>
                <w:i/>
                <w:sz w:val="16"/>
                <w:lang w:val="en-US"/>
              </w:rPr>
              <w:t>(</w:t>
            </w:r>
            <w:r w:rsidR="00B8529D" w:rsidRPr="00925134">
              <w:rPr>
                <w:rFonts w:cs="Arial"/>
                <w:i/>
                <w:sz w:val="16"/>
                <w:lang w:val="en-US"/>
              </w:rPr>
              <w:t xml:space="preserve">in millions of </w:t>
            </w:r>
            <w:r w:rsidRPr="00925134">
              <w:rPr>
                <w:rFonts w:cs="Arial"/>
                <w:i/>
                <w:sz w:val="16"/>
                <w:lang w:val="en-US"/>
              </w:rPr>
              <w:t>euros)</w:t>
            </w:r>
          </w:p>
        </w:tc>
        <w:tc>
          <w:tcPr>
            <w:tcW w:w="1474" w:type="dxa"/>
            <w:tcBorders>
              <w:bottom w:val="single" w:sz="4" w:space="0" w:color="30849B"/>
            </w:tcBorders>
            <w:vAlign w:val="center"/>
          </w:tcPr>
          <w:p w14:paraId="16CF168D" w14:textId="77777777" w:rsidR="00C91770" w:rsidRPr="00925134" w:rsidRDefault="008959F4" w:rsidP="00C91770">
            <w:pPr>
              <w:keepNext/>
              <w:jc w:val="center"/>
              <w:rPr>
                <w:rFonts w:cs="Arial"/>
                <w:b/>
                <w:sz w:val="16"/>
                <w:lang w:val="en-US"/>
              </w:rPr>
            </w:pPr>
            <w:r w:rsidRPr="00925134">
              <w:rPr>
                <w:rFonts w:cs="Arial"/>
                <w:b/>
                <w:sz w:val="16"/>
                <w:lang w:val="en-US"/>
              </w:rPr>
              <w:t>2016</w:t>
            </w:r>
          </w:p>
        </w:tc>
        <w:tc>
          <w:tcPr>
            <w:tcW w:w="1474" w:type="dxa"/>
            <w:tcBorders>
              <w:bottom w:val="single" w:sz="4" w:space="0" w:color="30849B"/>
            </w:tcBorders>
            <w:shd w:val="clear" w:color="auto" w:fill="BBE7FF" w:themeFill="accent1" w:themeFillTint="33"/>
            <w:vAlign w:val="center"/>
          </w:tcPr>
          <w:p w14:paraId="21A0D58C" w14:textId="77777777" w:rsidR="00C91770" w:rsidRPr="00925134" w:rsidRDefault="008959F4" w:rsidP="00C91770">
            <w:pPr>
              <w:keepNext/>
              <w:jc w:val="center"/>
              <w:rPr>
                <w:rFonts w:cs="Arial"/>
                <w:b/>
                <w:sz w:val="16"/>
                <w:lang w:val="en-US"/>
              </w:rPr>
            </w:pPr>
            <w:r w:rsidRPr="00925134">
              <w:rPr>
                <w:rFonts w:cs="Arial"/>
                <w:b/>
                <w:sz w:val="16"/>
                <w:lang w:val="en-US"/>
              </w:rPr>
              <w:t>2017</w:t>
            </w:r>
          </w:p>
        </w:tc>
        <w:tc>
          <w:tcPr>
            <w:tcW w:w="2729" w:type="dxa"/>
            <w:tcBorders>
              <w:bottom w:val="single" w:sz="4" w:space="0" w:color="30849B"/>
            </w:tcBorders>
            <w:shd w:val="clear" w:color="auto" w:fill="auto"/>
            <w:vAlign w:val="center"/>
          </w:tcPr>
          <w:p w14:paraId="322D29C9" w14:textId="77777777" w:rsidR="00C91770" w:rsidRPr="00925134" w:rsidRDefault="00B8529D" w:rsidP="00142025">
            <w:pPr>
              <w:keepNext/>
              <w:ind w:left="-77"/>
              <w:jc w:val="center"/>
              <w:rPr>
                <w:rFonts w:cs="Arial"/>
                <w:b/>
                <w:i/>
                <w:sz w:val="16"/>
                <w:lang w:val="en-US"/>
              </w:rPr>
            </w:pPr>
            <w:r w:rsidRPr="00925134">
              <w:rPr>
                <w:rFonts w:cs="Arial"/>
                <w:b/>
                <w:i/>
                <w:sz w:val="16"/>
                <w:lang w:val="en-US"/>
              </w:rPr>
              <w:t>Change</w:t>
            </w:r>
          </w:p>
        </w:tc>
      </w:tr>
      <w:tr w:rsidR="0051797A" w:rsidRPr="00925134" w14:paraId="50FB8265" w14:textId="77777777" w:rsidTr="00142025">
        <w:trPr>
          <w:trHeight w:val="284"/>
          <w:jc w:val="center"/>
        </w:trPr>
        <w:tc>
          <w:tcPr>
            <w:tcW w:w="3821" w:type="dxa"/>
            <w:tcBorders>
              <w:top w:val="single" w:sz="4" w:space="0" w:color="30849B"/>
              <w:bottom w:val="dotted" w:sz="4" w:space="0" w:color="30849B"/>
            </w:tcBorders>
            <w:vAlign w:val="center"/>
          </w:tcPr>
          <w:p w14:paraId="2DCA18CE" w14:textId="77777777" w:rsidR="0051797A" w:rsidRPr="00925134" w:rsidRDefault="00B8529D" w:rsidP="00B8529D">
            <w:pPr>
              <w:keepNext/>
              <w:rPr>
                <w:rFonts w:cs="Arial"/>
                <w:b/>
                <w:sz w:val="16"/>
                <w:lang w:val="en-US"/>
              </w:rPr>
            </w:pPr>
            <w:r w:rsidRPr="00925134">
              <w:rPr>
                <w:rFonts w:cs="Arial"/>
                <w:b/>
                <w:sz w:val="16"/>
                <w:lang w:val="en-US"/>
              </w:rPr>
              <w:t>Revenues</w:t>
            </w:r>
            <w:r w:rsidR="0051797A" w:rsidRPr="00925134">
              <w:rPr>
                <w:rFonts w:cs="Arial"/>
                <w:b/>
                <w:sz w:val="16"/>
                <w:lang w:val="en-US"/>
              </w:rPr>
              <w:t xml:space="preserve"> </w:t>
            </w:r>
          </w:p>
        </w:tc>
        <w:tc>
          <w:tcPr>
            <w:tcW w:w="1474" w:type="dxa"/>
            <w:tcBorders>
              <w:top w:val="single" w:sz="4" w:space="0" w:color="30849B"/>
              <w:bottom w:val="dotted" w:sz="4" w:space="0" w:color="30849B"/>
            </w:tcBorders>
            <w:shd w:val="clear" w:color="auto" w:fill="auto"/>
            <w:vAlign w:val="center"/>
          </w:tcPr>
          <w:p w14:paraId="3D264FDB" w14:textId="77777777" w:rsidR="0051797A" w:rsidRPr="00925134" w:rsidRDefault="0051797A" w:rsidP="008E11D2">
            <w:pPr>
              <w:keepNext/>
              <w:ind w:left="-170" w:right="366"/>
              <w:jc w:val="right"/>
              <w:rPr>
                <w:rFonts w:cs="Arial"/>
                <w:b/>
                <w:sz w:val="16"/>
                <w:lang w:val="en-US"/>
              </w:rPr>
            </w:pPr>
            <w:r w:rsidRPr="00925134">
              <w:rPr>
                <w:rFonts w:cs="Arial"/>
                <w:b/>
                <w:sz w:val="16"/>
                <w:lang w:val="en-US"/>
              </w:rPr>
              <w:t>12</w:t>
            </w:r>
            <w:r w:rsidR="00B8529D" w:rsidRPr="00925134">
              <w:rPr>
                <w:rFonts w:cs="Arial"/>
                <w:b/>
                <w:sz w:val="16"/>
                <w:lang w:val="en-US"/>
              </w:rPr>
              <w:t>,</w:t>
            </w:r>
            <w:r w:rsidRPr="00925134">
              <w:rPr>
                <w:rFonts w:cs="Arial"/>
                <w:b/>
                <w:sz w:val="16"/>
                <w:lang w:val="en-US"/>
              </w:rPr>
              <w:t>539</w:t>
            </w:r>
          </w:p>
        </w:tc>
        <w:tc>
          <w:tcPr>
            <w:tcW w:w="1474" w:type="dxa"/>
            <w:tcBorders>
              <w:top w:val="single" w:sz="4" w:space="0" w:color="30849B"/>
              <w:bottom w:val="dotted" w:sz="4" w:space="0" w:color="30849B"/>
            </w:tcBorders>
            <w:shd w:val="clear" w:color="auto" w:fill="BBE7FF" w:themeFill="accent1" w:themeFillTint="33"/>
            <w:vAlign w:val="center"/>
          </w:tcPr>
          <w:p w14:paraId="01D2672B" w14:textId="77777777" w:rsidR="0051797A" w:rsidRPr="00925134" w:rsidRDefault="0051797A" w:rsidP="008E11D2">
            <w:pPr>
              <w:keepNext/>
              <w:ind w:left="-170" w:right="429"/>
              <w:jc w:val="right"/>
              <w:rPr>
                <w:rFonts w:cs="Arial"/>
                <w:b/>
                <w:sz w:val="16"/>
                <w:lang w:val="en-US"/>
              </w:rPr>
            </w:pPr>
            <w:r w:rsidRPr="00925134">
              <w:rPr>
                <w:rFonts w:cs="Arial"/>
                <w:b/>
                <w:sz w:val="16"/>
                <w:lang w:val="en-US"/>
              </w:rPr>
              <w:t>12</w:t>
            </w:r>
            <w:r w:rsidR="00B8529D" w:rsidRPr="00925134">
              <w:rPr>
                <w:rFonts w:cs="Arial"/>
                <w:b/>
                <w:sz w:val="16"/>
                <w:lang w:val="en-US"/>
              </w:rPr>
              <w:t>,</w:t>
            </w:r>
            <w:r w:rsidR="00C07CA5" w:rsidRPr="00925134">
              <w:rPr>
                <w:rFonts w:cs="Arial"/>
                <w:b/>
                <w:sz w:val="16"/>
                <w:lang w:val="en-US"/>
              </w:rPr>
              <w:t>792</w:t>
            </w:r>
          </w:p>
        </w:tc>
        <w:tc>
          <w:tcPr>
            <w:tcW w:w="2729" w:type="dxa"/>
            <w:tcBorders>
              <w:top w:val="single" w:sz="4" w:space="0" w:color="30849B"/>
              <w:bottom w:val="dotted" w:sz="4" w:space="0" w:color="30849B"/>
            </w:tcBorders>
            <w:shd w:val="clear" w:color="auto" w:fill="auto"/>
            <w:vAlign w:val="center"/>
          </w:tcPr>
          <w:p w14:paraId="7FCC9198" w14:textId="77777777" w:rsidR="0051797A" w:rsidRPr="00925134" w:rsidRDefault="0051797A" w:rsidP="00142025">
            <w:pPr>
              <w:keepNext/>
              <w:ind w:left="-77"/>
              <w:jc w:val="center"/>
              <w:rPr>
                <w:b/>
                <w:sz w:val="16"/>
                <w:lang w:val="en-US"/>
              </w:rPr>
            </w:pPr>
            <w:r w:rsidRPr="00925134">
              <w:rPr>
                <w:b/>
                <w:sz w:val="16"/>
                <w:lang w:val="en-US"/>
              </w:rPr>
              <w:t>+</w:t>
            </w:r>
            <w:r w:rsidR="00C07CA5" w:rsidRPr="00925134">
              <w:rPr>
                <w:b/>
                <w:sz w:val="16"/>
                <w:lang w:val="en-US"/>
              </w:rPr>
              <w:t>2</w:t>
            </w:r>
            <w:r w:rsidR="00B8529D" w:rsidRPr="00925134">
              <w:rPr>
                <w:b/>
                <w:sz w:val="16"/>
                <w:lang w:val="en-US"/>
              </w:rPr>
              <w:t>.</w:t>
            </w:r>
            <w:r w:rsidR="00C07CA5" w:rsidRPr="00925134">
              <w:rPr>
                <w:b/>
                <w:sz w:val="16"/>
                <w:lang w:val="en-US"/>
              </w:rPr>
              <w:t>0</w:t>
            </w:r>
            <w:r w:rsidRPr="00925134">
              <w:rPr>
                <w:b/>
                <w:sz w:val="16"/>
                <w:lang w:val="en-US"/>
              </w:rPr>
              <w:t>%</w:t>
            </w:r>
          </w:p>
          <w:p w14:paraId="65FA5E2B" w14:textId="478253B8" w:rsidR="004973E5" w:rsidRPr="00925134" w:rsidRDefault="004973E5" w:rsidP="00142025">
            <w:pPr>
              <w:keepNext/>
              <w:ind w:left="-77"/>
              <w:jc w:val="center"/>
              <w:rPr>
                <w:rFonts w:cs="Arial"/>
                <w:b/>
                <w:sz w:val="16"/>
                <w:lang w:val="en-US"/>
              </w:rPr>
            </w:pPr>
            <w:r w:rsidRPr="00925134">
              <w:rPr>
                <w:b/>
                <w:sz w:val="16"/>
                <w:lang w:val="en-US"/>
              </w:rPr>
              <w:t>+4</w:t>
            </w:r>
            <w:r w:rsidR="00B8529D" w:rsidRPr="00925134">
              <w:rPr>
                <w:b/>
                <w:sz w:val="16"/>
                <w:lang w:val="en-US"/>
              </w:rPr>
              <w:t>.</w:t>
            </w:r>
            <w:r w:rsidRPr="00925134">
              <w:rPr>
                <w:b/>
                <w:sz w:val="16"/>
                <w:lang w:val="en-US"/>
              </w:rPr>
              <w:t>0%</w:t>
            </w:r>
            <w:r w:rsidR="00B8529D" w:rsidRPr="00925134">
              <w:rPr>
                <w:b/>
                <w:sz w:val="16"/>
                <w:lang w:val="en-US"/>
              </w:rPr>
              <w:t xml:space="preserve"> </w:t>
            </w:r>
            <w:r w:rsidR="00B8529D" w:rsidRPr="00925134">
              <w:rPr>
                <w:sz w:val="16"/>
                <w:lang w:val="en-US"/>
              </w:rPr>
              <w:t xml:space="preserve">at </w:t>
            </w:r>
            <w:r w:rsidR="007370D6" w:rsidRPr="00925134">
              <w:rPr>
                <w:sz w:val="16"/>
                <w:lang w:val="en-US"/>
              </w:rPr>
              <w:t>constant currencies</w:t>
            </w:r>
          </w:p>
        </w:tc>
      </w:tr>
      <w:tr w:rsidR="0051797A" w:rsidRPr="00925134" w14:paraId="7BF1B819" w14:textId="77777777" w:rsidTr="00142025">
        <w:trPr>
          <w:trHeight w:val="284"/>
          <w:jc w:val="center"/>
        </w:trPr>
        <w:tc>
          <w:tcPr>
            <w:tcW w:w="3821" w:type="dxa"/>
            <w:tcBorders>
              <w:top w:val="dotted" w:sz="4" w:space="0" w:color="30849B"/>
            </w:tcBorders>
            <w:vAlign w:val="center"/>
          </w:tcPr>
          <w:p w14:paraId="5BC6304F" w14:textId="77777777" w:rsidR="0051797A" w:rsidRPr="00925134" w:rsidRDefault="00B8529D" w:rsidP="00B8529D">
            <w:pPr>
              <w:keepNext/>
              <w:rPr>
                <w:rFonts w:cs="Arial"/>
                <w:b/>
                <w:sz w:val="16"/>
                <w:lang w:val="en-US"/>
              </w:rPr>
            </w:pPr>
            <w:r w:rsidRPr="00925134">
              <w:rPr>
                <w:rFonts w:cs="Arial"/>
                <w:b/>
                <w:sz w:val="16"/>
                <w:lang w:val="en-US"/>
              </w:rPr>
              <w:t>Operating margin</w:t>
            </w:r>
            <w:r w:rsidR="0051797A" w:rsidRPr="00925134">
              <w:rPr>
                <w:rFonts w:cs="Arial"/>
                <w:sz w:val="16"/>
                <w:vertAlign w:val="superscript"/>
                <w:lang w:val="en-US"/>
              </w:rPr>
              <w:t>*</w:t>
            </w:r>
          </w:p>
        </w:tc>
        <w:tc>
          <w:tcPr>
            <w:tcW w:w="1474" w:type="dxa"/>
            <w:tcBorders>
              <w:top w:val="dotted" w:sz="4" w:space="0" w:color="30849B"/>
            </w:tcBorders>
            <w:shd w:val="clear" w:color="auto" w:fill="auto"/>
            <w:vAlign w:val="center"/>
          </w:tcPr>
          <w:p w14:paraId="5D383BD0" w14:textId="77777777" w:rsidR="0051797A" w:rsidRPr="00925134" w:rsidRDefault="0051797A" w:rsidP="008E11D2">
            <w:pPr>
              <w:keepNext/>
              <w:ind w:left="-170" w:right="366"/>
              <w:jc w:val="right"/>
              <w:rPr>
                <w:rFonts w:cs="Arial"/>
                <w:b/>
                <w:sz w:val="16"/>
                <w:lang w:val="en-US"/>
              </w:rPr>
            </w:pPr>
            <w:r w:rsidRPr="00925134">
              <w:rPr>
                <w:rFonts w:cs="Arial"/>
                <w:b/>
                <w:sz w:val="16"/>
                <w:lang w:val="en-US"/>
              </w:rPr>
              <w:t>1</w:t>
            </w:r>
            <w:r w:rsidR="00B8529D" w:rsidRPr="00925134">
              <w:rPr>
                <w:rFonts w:cs="Arial"/>
                <w:b/>
                <w:sz w:val="16"/>
                <w:lang w:val="en-US"/>
              </w:rPr>
              <w:t>,</w:t>
            </w:r>
            <w:r w:rsidRPr="00925134">
              <w:rPr>
                <w:rFonts w:cs="Arial"/>
                <w:b/>
                <w:sz w:val="16"/>
                <w:lang w:val="en-US"/>
              </w:rPr>
              <w:t>440</w:t>
            </w:r>
          </w:p>
        </w:tc>
        <w:tc>
          <w:tcPr>
            <w:tcW w:w="1474" w:type="dxa"/>
            <w:tcBorders>
              <w:top w:val="dotted" w:sz="4" w:space="0" w:color="30849B"/>
            </w:tcBorders>
            <w:shd w:val="clear" w:color="auto" w:fill="BBE7FF" w:themeFill="accent1" w:themeFillTint="33"/>
            <w:vAlign w:val="center"/>
          </w:tcPr>
          <w:p w14:paraId="515B70BB" w14:textId="77777777" w:rsidR="0051797A" w:rsidRPr="00925134" w:rsidRDefault="0051797A" w:rsidP="008E11D2">
            <w:pPr>
              <w:keepNext/>
              <w:ind w:left="-170" w:right="429"/>
              <w:jc w:val="right"/>
              <w:rPr>
                <w:rFonts w:cs="Arial"/>
                <w:b/>
                <w:sz w:val="16"/>
                <w:lang w:val="en-US"/>
              </w:rPr>
            </w:pPr>
            <w:r w:rsidRPr="00925134">
              <w:rPr>
                <w:rFonts w:cs="Arial"/>
                <w:b/>
                <w:sz w:val="16"/>
                <w:lang w:val="en-US"/>
              </w:rPr>
              <w:t>1</w:t>
            </w:r>
            <w:r w:rsidR="00B8529D" w:rsidRPr="00925134">
              <w:rPr>
                <w:rFonts w:cs="Arial"/>
                <w:b/>
                <w:sz w:val="16"/>
                <w:lang w:val="en-US"/>
              </w:rPr>
              <w:t>,</w:t>
            </w:r>
            <w:r w:rsidRPr="00925134">
              <w:rPr>
                <w:rFonts w:cs="Arial"/>
                <w:b/>
                <w:sz w:val="16"/>
                <w:lang w:val="en-US"/>
              </w:rPr>
              <w:t>4</w:t>
            </w:r>
            <w:r w:rsidR="00D14AAC" w:rsidRPr="00925134">
              <w:rPr>
                <w:rFonts w:cs="Arial"/>
                <w:b/>
                <w:sz w:val="16"/>
                <w:lang w:val="en-US"/>
              </w:rPr>
              <w:t>9</w:t>
            </w:r>
            <w:r w:rsidR="0031240F" w:rsidRPr="00925134">
              <w:rPr>
                <w:rFonts w:cs="Arial"/>
                <w:b/>
                <w:sz w:val="16"/>
                <w:lang w:val="en-US"/>
              </w:rPr>
              <w:t>3</w:t>
            </w:r>
          </w:p>
        </w:tc>
        <w:tc>
          <w:tcPr>
            <w:tcW w:w="2729" w:type="dxa"/>
            <w:tcBorders>
              <w:top w:val="dotted" w:sz="4" w:space="0" w:color="30849B"/>
            </w:tcBorders>
            <w:shd w:val="clear" w:color="auto" w:fill="auto"/>
            <w:vAlign w:val="center"/>
          </w:tcPr>
          <w:p w14:paraId="3C008B6D" w14:textId="77777777" w:rsidR="0051797A" w:rsidRPr="00925134" w:rsidRDefault="0051797A" w:rsidP="00142025">
            <w:pPr>
              <w:keepNext/>
              <w:ind w:left="-77"/>
              <w:jc w:val="center"/>
              <w:rPr>
                <w:rFonts w:cs="Arial"/>
                <w:b/>
                <w:sz w:val="16"/>
                <w:lang w:val="en-US"/>
              </w:rPr>
            </w:pPr>
          </w:p>
        </w:tc>
      </w:tr>
      <w:tr w:rsidR="0051797A" w:rsidRPr="00925134" w14:paraId="1A9E11FF" w14:textId="77777777" w:rsidTr="00142025">
        <w:trPr>
          <w:trHeight w:val="284"/>
          <w:jc w:val="center"/>
        </w:trPr>
        <w:tc>
          <w:tcPr>
            <w:tcW w:w="3821" w:type="dxa"/>
            <w:tcBorders>
              <w:bottom w:val="dotted" w:sz="4" w:space="0" w:color="30849B"/>
            </w:tcBorders>
            <w:vAlign w:val="center"/>
          </w:tcPr>
          <w:p w14:paraId="03309FAE" w14:textId="77777777" w:rsidR="0051797A" w:rsidRPr="00925134" w:rsidRDefault="00B8529D" w:rsidP="00B8529D">
            <w:pPr>
              <w:keepNext/>
              <w:ind w:left="170"/>
              <w:rPr>
                <w:rFonts w:cs="Arial"/>
                <w:i/>
                <w:sz w:val="16"/>
                <w:lang w:val="en-US"/>
              </w:rPr>
            </w:pPr>
            <w:r w:rsidRPr="00925134">
              <w:rPr>
                <w:rFonts w:cs="Arial"/>
                <w:i/>
                <w:sz w:val="16"/>
                <w:lang w:val="en-US"/>
              </w:rPr>
              <w:t>as a % of revenues</w:t>
            </w:r>
          </w:p>
        </w:tc>
        <w:tc>
          <w:tcPr>
            <w:tcW w:w="1474" w:type="dxa"/>
            <w:tcBorders>
              <w:bottom w:val="dotted" w:sz="4" w:space="0" w:color="30849B"/>
            </w:tcBorders>
            <w:shd w:val="clear" w:color="auto" w:fill="auto"/>
            <w:vAlign w:val="center"/>
          </w:tcPr>
          <w:p w14:paraId="7B6A8EC7" w14:textId="77777777" w:rsidR="0051797A" w:rsidRPr="00925134" w:rsidRDefault="0051797A" w:rsidP="008E11D2">
            <w:pPr>
              <w:keepNext/>
              <w:ind w:left="-170" w:right="366"/>
              <w:jc w:val="right"/>
              <w:rPr>
                <w:rFonts w:cs="Arial"/>
                <w:i/>
                <w:sz w:val="16"/>
                <w:lang w:val="en-US"/>
              </w:rPr>
            </w:pPr>
            <w:r w:rsidRPr="00925134">
              <w:rPr>
                <w:rFonts w:cs="Arial"/>
                <w:i/>
                <w:sz w:val="16"/>
                <w:lang w:val="en-US"/>
              </w:rPr>
              <w:t>11</w:t>
            </w:r>
            <w:r w:rsidR="00B8529D" w:rsidRPr="00925134">
              <w:rPr>
                <w:rFonts w:cs="Arial"/>
                <w:i/>
                <w:sz w:val="16"/>
                <w:lang w:val="en-US"/>
              </w:rPr>
              <w:t>.</w:t>
            </w:r>
            <w:r w:rsidRPr="00925134">
              <w:rPr>
                <w:rFonts w:cs="Arial"/>
                <w:i/>
                <w:sz w:val="16"/>
                <w:lang w:val="en-US"/>
              </w:rPr>
              <w:t>5%</w:t>
            </w:r>
          </w:p>
        </w:tc>
        <w:tc>
          <w:tcPr>
            <w:tcW w:w="1474" w:type="dxa"/>
            <w:tcBorders>
              <w:bottom w:val="dotted" w:sz="4" w:space="0" w:color="30849B"/>
            </w:tcBorders>
            <w:shd w:val="clear" w:color="auto" w:fill="BBE7FF" w:themeFill="accent1" w:themeFillTint="33"/>
            <w:vAlign w:val="center"/>
          </w:tcPr>
          <w:p w14:paraId="41F46DD1" w14:textId="77777777" w:rsidR="0051797A" w:rsidRPr="00925134" w:rsidRDefault="0051797A" w:rsidP="008E11D2">
            <w:pPr>
              <w:keepNext/>
              <w:ind w:left="-170" w:right="429"/>
              <w:jc w:val="right"/>
              <w:rPr>
                <w:rFonts w:cs="Arial"/>
                <w:i/>
                <w:sz w:val="16"/>
                <w:lang w:val="en-US"/>
              </w:rPr>
            </w:pPr>
            <w:r w:rsidRPr="00925134">
              <w:rPr>
                <w:rFonts w:cs="Arial"/>
                <w:i/>
                <w:sz w:val="16"/>
                <w:lang w:val="en-US"/>
              </w:rPr>
              <w:t>11</w:t>
            </w:r>
            <w:r w:rsidR="00B8529D" w:rsidRPr="00925134">
              <w:rPr>
                <w:rFonts w:cs="Arial"/>
                <w:i/>
                <w:sz w:val="16"/>
                <w:lang w:val="en-US"/>
              </w:rPr>
              <w:t>.</w:t>
            </w:r>
            <w:r w:rsidR="00D14AAC" w:rsidRPr="00925134">
              <w:rPr>
                <w:rFonts w:cs="Arial"/>
                <w:i/>
                <w:sz w:val="16"/>
                <w:lang w:val="en-US"/>
              </w:rPr>
              <w:t>7</w:t>
            </w:r>
            <w:r w:rsidRPr="00925134">
              <w:rPr>
                <w:rFonts w:cs="Arial"/>
                <w:i/>
                <w:sz w:val="16"/>
                <w:lang w:val="en-US"/>
              </w:rPr>
              <w:t>%</w:t>
            </w:r>
          </w:p>
        </w:tc>
        <w:tc>
          <w:tcPr>
            <w:tcW w:w="2729" w:type="dxa"/>
            <w:tcBorders>
              <w:bottom w:val="dotted" w:sz="4" w:space="0" w:color="30849B"/>
            </w:tcBorders>
            <w:shd w:val="clear" w:color="auto" w:fill="auto"/>
            <w:vAlign w:val="center"/>
          </w:tcPr>
          <w:p w14:paraId="5925CFB4" w14:textId="77777777" w:rsidR="0051797A" w:rsidRPr="00925134" w:rsidRDefault="0051797A" w:rsidP="00142025">
            <w:pPr>
              <w:keepNext/>
              <w:ind w:left="-77"/>
              <w:jc w:val="center"/>
              <w:rPr>
                <w:rFonts w:cs="Arial"/>
                <w:i/>
                <w:sz w:val="16"/>
                <w:lang w:val="en-US"/>
              </w:rPr>
            </w:pPr>
            <w:r w:rsidRPr="00925134">
              <w:rPr>
                <w:rFonts w:cs="Arial"/>
                <w:i/>
                <w:sz w:val="16"/>
                <w:lang w:val="en-US"/>
              </w:rPr>
              <w:t>+</w:t>
            </w:r>
            <w:r w:rsidR="00D14AAC" w:rsidRPr="00925134">
              <w:rPr>
                <w:rFonts w:cs="Arial"/>
                <w:i/>
                <w:sz w:val="16"/>
                <w:lang w:val="en-US"/>
              </w:rPr>
              <w:t>2</w:t>
            </w:r>
            <w:r w:rsidRPr="00925134">
              <w:rPr>
                <w:rFonts w:cs="Arial"/>
                <w:i/>
                <w:sz w:val="16"/>
                <w:lang w:val="en-US"/>
              </w:rPr>
              <w:t>0bp</w:t>
            </w:r>
          </w:p>
        </w:tc>
      </w:tr>
      <w:tr w:rsidR="0051797A" w:rsidRPr="00925134" w14:paraId="2C0C15F0" w14:textId="77777777" w:rsidTr="00142025">
        <w:trPr>
          <w:trHeight w:val="284"/>
          <w:jc w:val="center"/>
        </w:trPr>
        <w:tc>
          <w:tcPr>
            <w:tcW w:w="3821" w:type="dxa"/>
            <w:tcBorders>
              <w:top w:val="dotted" w:sz="4" w:space="0" w:color="30849B"/>
            </w:tcBorders>
            <w:vAlign w:val="center"/>
          </w:tcPr>
          <w:p w14:paraId="3D2522CD" w14:textId="77777777" w:rsidR="0051797A" w:rsidRPr="00925134" w:rsidRDefault="00B8529D" w:rsidP="00B8529D">
            <w:pPr>
              <w:keepNext/>
              <w:rPr>
                <w:rFonts w:cs="Arial"/>
                <w:b/>
                <w:sz w:val="16"/>
                <w:lang w:val="en-US"/>
              </w:rPr>
            </w:pPr>
            <w:r w:rsidRPr="00925134">
              <w:rPr>
                <w:rFonts w:cs="Arial"/>
                <w:b/>
                <w:sz w:val="16"/>
                <w:lang w:val="en-US"/>
              </w:rPr>
              <w:t>Operating profit</w:t>
            </w:r>
          </w:p>
        </w:tc>
        <w:tc>
          <w:tcPr>
            <w:tcW w:w="1474" w:type="dxa"/>
            <w:tcBorders>
              <w:top w:val="dotted" w:sz="4" w:space="0" w:color="30849B"/>
            </w:tcBorders>
            <w:shd w:val="clear" w:color="auto" w:fill="auto"/>
            <w:vAlign w:val="center"/>
          </w:tcPr>
          <w:p w14:paraId="54B4F108" w14:textId="77777777" w:rsidR="0051797A" w:rsidRPr="00925134" w:rsidRDefault="0051797A" w:rsidP="008E11D2">
            <w:pPr>
              <w:keepNext/>
              <w:ind w:left="-170" w:right="366"/>
              <w:jc w:val="right"/>
              <w:rPr>
                <w:rFonts w:cs="Arial"/>
                <w:b/>
                <w:sz w:val="16"/>
                <w:lang w:val="en-US"/>
              </w:rPr>
            </w:pPr>
            <w:r w:rsidRPr="00925134">
              <w:rPr>
                <w:rFonts w:cs="Arial"/>
                <w:b/>
                <w:sz w:val="16"/>
                <w:lang w:val="en-US"/>
              </w:rPr>
              <w:t>1</w:t>
            </w:r>
            <w:r w:rsidR="00B8529D" w:rsidRPr="00925134">
              <w:rPr>
                <w:rFonts w:cs="Arial"/>
                <w:b/>
                <w:sz w:val="16"/>
                <w:lang w:val="en-US"/>
              </w:rPr>
              <w:t>,</w:t>
            </w:r>
            <w:r w:rsidRPr="00925134">
              <w:rPr>
                <w:rFonts w:cs="Arial"/>
                <w:b/>
                <w:sz w:val="16"/>
                <w:lang w:val="en-US"/>
              </w:rPr>
              <w:t>148</w:t>
            </w:r>
          </w:p>
        </w:tc>
        <w:tc>
          <w:tcPr>
            <w:tcW w:w="1474" w:type="dxa"/>
            <w:tcBorders>
              <w:top w:val="dotted" w:sz="4" w:space="0" w:color="30849B"/>
            </w:tcBorders>
            <w:shd w:val="clear" w:color="auto" w:fill="BBE7FF" w:themeFill="accent1" w:themeFillTint="33"/>
            <w:vAlign w:val="center"/>
          </w:tcPr>
          <w:p w14:paraId="3C8FA296" w14:textId="77777777" w:rsidR="0051797A" w:rsidRPr="00925134" w:rsidRDefault="0051797A" w:rsidP="008E11D2">
            <w:pPr>
              <w:keepNext/>
              <w:ind w:left="-170" w:right="429"/>
              <w:jc w:val="right"/>
              <w:rPr>
                <w:rFonts w:cs="Arial"/>
                <w:b/>
                <w:sz w:val="16"/>
                <w:lang w:val="en-US"/>
              </w:rPr>
            </w:pPr>
            <w:r w:rsidRPr="00925134">
              <w:rPr>
                <w:rFonts w:cs="Arial"/>
                <w:b/>
                <w:sz w:val="16"/>
                <w:lang w:val="en-US"/>
              </w:rPr>
              <w:t>1</w:t>
            </w:r>
            <w:r w:rsidR="00B8529D" w:rsidRPr="00925134">
              <w:rPr>
                <w:rFonts w:cs="Arial"/>
                <w:b/>
                <w:sz w:val="16"/>
                <w:lang w:val="en-US"/>
              </w:rPr>
              <w:t>,</w:t>
            </w:r>
            <w:r w:rsidRPr="00925134">
              <w:rPr>
                <w:rFonts w:cs="Arial"/>
                <w:b/>
                <w:sz w:val="16"/>
                <w:lang w:val="en-US"/>
              </w:rPr>
              <w:t>1</w:t>
            </w:r>
            <w:r w:rsidR="00D14AAC" w:rsidRPr="00925134">
              <w:rPr>
                <w:rFonts w:cs="Arial"/>
                <w:b/>
                <w:sz w:val="16"/>
                <w:lang w:val="en-US"/>
              </w:rPr>
              <w:t>8</w:t>
            </w:r>
            <w:r w:rsidR="002C6095" w:rsidRPr="00925134">
              <w:rPr>
                <w:rFonts w:cs="Arial"/>
                <w:b/>
                <w:sz w:val="16"/>
                <w:lang w:val="en-US"/>
              </w:rPr>
              <w:t>3</w:t>
            </w:r>
          </w:p>
        </w:tc>
        <w:tc>
          <w:tcPr>
            <w:tcW w:w="2729" w:type="dxa"/>
            <w:tcBorders>
              <w:top w:val="dotted" w:sz="4" w:space="0" w:color="30849B"/>
            </w:tcBorders>
            <w:shd w:val="clear" w:color="auto" w:fill="auto"/>
            <w:vAlign w:val="center"/>
          </w:tcPr>
          <w:p w14:paraId="6D5D36CC" w14:textId="77777777" w:rsidR="0051797A" w:rsidRPr="00925134" w:rsidRDefault="0051797A" w:rsidP="00142025">
            <w:pPr>
              <w:keepNext/>
              <w:ind w:left="-77"/>
              <w:jc w:val="center"/>
              <w:rPr>
                <w:rFonts w:cs="Arial"/>
                <w:b/>
                <w:sz w:val="16"/>
                <w:lang w:val="en-US"/>
              </w:rPr>
            </w:pPr>
          </w:p>
        </w:tc>
      </w:tr>
      <w:tr w:rsidR="0051797A" w:rsidRPr="00925134" w14:paraId="3884475F" w14:textId="77777777" w:rsidTr="00142025">
        <w:trPr>
          <w:trHeight w:val="284"/>
          <w:jc w:val="center"/>
        </w:trPr>
        <w:tc>
          <w:tcPr>
            <w:tcW w:w="3821" w:type="dxa"/>
            <w:tcBorders>
              <w:bottom w:val="dotted" w:sz="4" w:space="0" w:color="30849B"/>
            </w:tcBorders>
            <w:vAlign w:val="center"/>
          </w:tcPr>
          <w:p w14:paraId="66B26C54" w14:textId="77777777" w:rsidR="0051797A" w:rsidRPr="00925134" w:rsidRDefault="00B8529D" w:rsidP="0051797A">
            <w:pPr>
              <w:keepNext/>
              <w:ind w:left="170"/>
              <w:rPr>
                <w:rFonts w:cs="Arial"/>
                <w:i/>
                <w:sz w:val="16"/>
                <w:lang w:val="en-US"/>
              </w:rPr>
            </w:pPr>
            <w:r w:rsidRPr="00925134">
              <w:rPr>
                <w:rFonts w:cs="Arial"/>
                <w:i/>
                <w:sz w:val="16"/>
                <w:lang w:val="en-US"/>
              </w:rPr>
              <w:t>as a % of revenues</w:t>
            </w:r>
          </w:p>
        </w:tc>
        <w:tc>
          <w:tcPr>
            <w:tcW w:w="1474" w:type="dxa"/>
            <w:tcBorders>
              <w:bottom w:val="dotted" w:sz="4" w:space="0" w:color="30849B"/>
            </w:tcBorders>
            <w:shd w:val="clear" w:color="auto" w:fill="auto"/>
            <w:vAlign w:val="center"/>
          </w:tcPr>
          <w:p w14:paraId="65F2D20B" w14:textId="77777777" w:rsidR="0051797A" w:rsidRPr="00925134" w:rsidRDefault="0051797A" w:rsidP="008E11D2">
            <w:pPr>
              <w:keepNext/>
              <w:ind w:left="-170" w:right="366"/>
              <w:jc w:val="right"/>
              <w:rPr>
                <w:rFonts w:cs="Arial"/>
                <w:i/>
                <w:sz w:val="16"/>
                <w:lang w:val="en-US"/>
              </w:rPr>
            </w:pPr>
            <w:r w:rsidRPr="00925134">
              <w:rPr>
                <w:rFonts w:cs="Arial"/>
                <w:i/>
                <w:sz w:val="16"/>
                <w:lang w:val="en-US"/>
              </w:rPr>
              <w:t>9</w:t>
            </w:r>
            <w:r w:rsidR="00B8529D" w:rsidRPr="00925134">
              <w:rPr>
                <w:rFonts w:cs="Arial"/>
                <w:i/>
                <w:sz w:val="16"/>
                <w:lang w:val="en-US"/>
              </w:rPr>
              <w:t>.</w:t>
            </w:r>
            <w:r w:rsidRPr="00925134">
              <w:rPr>
                <w:rFonts w:cs="Arial"/>
                <w:i/>
                <w:sz w:val="16"/>
                <w:lang w:val="en-US"/>
              </w:rPr>
              <w:t>2%</w:t>
            </w:r>
          </w:p>
        </w:tc>
        <w:tc>
          <w:tcPr>
            <w:tcW w:w="1474" w:type="dxa"/>
            <w:tcBorders>
              <w:bottom w:val="dotted" w:sz="4" w:space="0" w:color="30849B"/>
            </w:tcBorders>
            <w:shd w:val="clear" w:color="auto" w:fill="BBE7FF" w:themeFill="accent1" w:themeFillTint="33"/>
            <w:vAlign w:val="center"/>
          </w:tcPr>
          <w:p w14:paraId="2F70CFAE" w14:textId="77777777" w:rsidR="0051797A" w:rsidRPr="00925134" w:rsidRDefault="0051797A" w:rsidP="008E11D2">
            <w:pPr>
              <w:keepNext/>
              <w:ind w:left="-170" w:right="429"/>
              <w:jc w:val="right"/>
              <w:rPr>
                <w:rFonts w:cs="Arial"/>
                <w:i/>
                <w:sz w:val="16"/>
                <w:lang w:val="en-US"/>
              </w:rPr>
            </w:pPr>
            <w:r w:rsidRPr="00925134">
              <w:rPr>
                <w:rFonts w:cs="Arial"/>
                <w:i/>
                <w:sz w:val="16"/>
                <w:lang w:val="en-US"/>
              </w:rPr>
              <w:t>9</w:t>
            </w:r>
            <w:r w:rsidR="00B8529D" w:rsidRPr="00925134">
              <w:rPr>
                <w:rFonts w:cs="Arial"/>
                <w:i/>
                <w:sz w:val="16"/>
                <w:lang w:val="en-US"/>
              </w:rPr>
              <w:t>.</w:t>
            </w:r>
            <w:r w:rsidR="00126139" w:rsidRPr="00925134">
              <w:rPr>
                <w:rFonts w:cs="Arial"/>
                <w:i/>
                <w:sz w:val="16"/>
                <w:lang w:val="en-US"/>
              </w:rPr>
              <w:t>2</w:t>
            </w:r>
            <w:r w:rsidRPr="00925134">
              <w:rPr>
                <w:rFonts w:cs="Arial"/>
                <w:i/>
                <w:sz w:val="16"/>
                <w:lang w:val="en-US"/>
              </w:rPr>
              <w:t>%</w:t>
            </w:r>
          </w:p>
        </w:tc>
        <w:tc>
          <w:tcPr>
            <w:tcW w:w="2729" w:type="dxa"/>
            <w:tcBorders>
              <w:bottom w:val="dotted" w:sz="4" w:space="0" w:color="30849B"/>
            </w:tcBorders>
            <w:shd w:val="clear" w:color="auto" w:fill="auto"/>
            <w:vAlign w:val="center"/>
          </w:tcPr>
          <w:p w14:paraId="15DC1E54" w14:textId="77777777" w:rsidR="0051797A" w:rsidRPr="00925134" w:rsidRDefault="0051797A" w:rsidP="00142025">
            <w:pPr>
              <w:keepNext/>
              <w:ind w:left="-77"/>
              <w:jc w:val="center"/>
              <w:rPr>
                <w:rFonts w:cs="Arial"/>
                <w:i/>
                <w:sz w:val="16"/>
                <w:lang w:val="en-US"/>
              </w:rPr>
            </w:pPr>
          </w:p>
        </w:tc>
      </w:tr>
      <w:tr w:rsidR="0051797A" w:rsidRPr="00925134" w14:paraId="1C4075F7" w14:textId="77777777" w:rsidTr="00142025">
        <w:trPr>
          <w:trHeight w:val="284"/>
          <w:jc w:val="center"/>
        </w:trPr>
        <w:tc>
          <w:tcPr>
            <w:tcW w:w="3821" w:type="dxa"/>
            <w:tcBorders>
              <w:top w:val="dotted" w:sz="4" w:space="0" w:color="30849B"/>
            </w:tcBorders>
            <w:vAlign w:val="center"/>
          </w:tcPr>
          <w:p w14:paraId="45B2CC98" w14:textId="77777777" w:rsidR="0051797A" w:rsidRPr="00925134" w:rsidRDefault="00B8529D" w:rsidP="00B8529D">
            <w:pPr>
              <w:keepNext/>
              <w:rPr>
                <w:rFonts w:cs="Arial"/>
                <w:b/>
                <w:sz w:val="16"/>
                <w:lang w:val="en-US"/>
              </w:rPr>
            </w:pPr>
            <w:r w:rsidRPr="00925134">
              <w:rPr>
                <w:rFonts w:cs="Arial"/>
                <w:b/>
                <w:sz w:val="16"/>
                <w:lang w:val="en-US"/>
              </w:rPr>
              <w:t>N</w:t>
            </w:r>
            <w:r w:rsidR="0051797A" w:rsidRPr="00925134">
              <w:rPr>
                <w:rFonts w:cs="Arial"/>
                <w:b/>
                <w:sz w:val="16"/>
                <w:lang w:val="en-US"/>
              </w:rPr>
              <w:t>et</w:t>
            </w:r>
            <w:r w:rsidRPr="00925134">
              <w:rPr>
                <w:rFonts w:cs="Arial"/>
                <w:b/>
                <w:sz w:val="16"/>
                <w:lang w:val="en-US"/>
              </w:rPr>
              <w:t xml:space="preserve"> profit (</w:t>
            </w:r>
            <w:r w:rsidR="0051797A" w:rsidRPr="00925134">
              <w:rPr>
                <w:rFonts w:cs="Arial"/>
                <w:b/>
                <w:sz w:val="16"/>
                <w:lang w:val="en-US"/>
              </w:rPr>
              <w:t>Group</w:t>
            </w:r>
            <w:r w:rsidRPr="00925134">
              <w:rPr>
                <w:rFonts w:cs="Arial"/>
                <w:b/>
                <w:sz w:val="16"/>
                <w:lang w:val="en-US"/>
              </w:rPr>
              <w:t xml:space="preserve"> share)</w:t>
            </w:r>
          </w:p>
        </w:tc>
        <w:tc>
          <w:tcPr>
            <w:tcW w:w="1474" w:type="dxa"/>
            <w:tcBorders>
              <w:top w:val="dotted" w:sz="4" w:space="0" w:color="30849B"/>
            </w:tcBorders>
            <w:shd w:val="clear" w:color="auto" w:fill="auto"/>
            <w:vAlign w:val="center"/>
          </w:tcPr>
          <w:p w14:paraId="775FCF30" w14:textId="77777777" w:rsidR="0051797A" w:rsidRPr="00925134" w:rsidRDefault="0051797A" w:rsidP="008E11D2">
            <w:pPr>
              <w:keepNext/>
              <w:ind w:left="-170" w:right="366"/>
              <w:jc w:val="right"/>
              <w:rPr>
                <w:rFonts w:cs="Arial"/>
                <w:b/>
                <w:sz w:val="16"/>
                <w:lang w:val="en-US"/>
              </w:rPr>
            </w:pPr>
            <w:r w:rsidRPr="00925134">
              <w:rPr>
                <w:rFonts w:cs="Arial"/>
                <w:b/>
                <w:sz w:val="16"/>
                <w:lang w:val="en-US"/>
              </w:rPr>
              <w:t>921</w:t>
            </w:r>
          </w:p>
        </w:tc>
        <w:tc>
          <w:tcPr>
            <w:tcW w:w="1474" w:type="dxa"/>
            <w:tcBorders>
              <w:top w:val="dotted" w:sz="4" w:space="0" w:color="30849B"/>
            </w:tcBorders>
            <w:shd w:val="clear" w:color="auto" w:fill="BBE7FF" w:themeFill="accent1" w:themeFillTint="33"/>
            <w:vAlign w:val="center"/>
          </w:tcPr>
          <w:p w14:paraId="319C5AD3" w14:textId="77777777" w:rsidR="0051797A" w:rsidRPr="00925134" w:rsidRDefault="002C6095" w:rsidP="008E11D2">
            <w:pPr>
              <w:keepNext/>
              <w:ind w:left="-170" w:right="429"/>
              <w:jc w:val="right"/>
              <w:rPr>
                <w:rFonts w:cs="Arial"/>
                <w:b/>
                <w:sz w:val="16"/>
                <w:lang w:val="en-US"/>
              </w:rPr>
            </w:pPr>
            <w:r w:rsidRPr="00925134">
              <w:rPr>
                <w:rFonts w:cs="Arial"/>
                <w:b/>
                <w:sz w:val="16"/>
                <w:lang w:val="en-US"/>
              </w:rPr>
              <w:t>820</w:t>
            </w:r>
          </w:p>
        </w:tc>
        <w:tc>
          <w:tcPr>
            <w:tcW w:w="2729" w:type="dxa"/>
            <w:tcBorders>
              <w:top w:val="dotted" w:sz="4" w:space="0" w:color="30849B"/>
            </w:tcBorders>
            <w:shd w:val="clear" w:color="auto" w:fill="auto"/>
            <w:vAlign w:val="center"/>
          </w:tcPr>
          <w:p w14:paraId="56552A31" w14:textId="29B49A35" w:rsidR="0051797A" w:rsidRPr="00925134" w:rsidRDefault="00434D81" w:rsidP="00142025">
            <w:pPr>
              <w:keepNext/>
              <w:ind w:left="-77"/>
              <w:jc w:val="center"/>
              <w:rPr>
                <w:rFonts w:cs="Arial"/>
                <w:b/>
                <w:sz w:val="16"/>
                <w:lang w:val="en-US"/>
              </w:rPr>
            </w:pPr>
            <w:r w:rsidRPr="00925134">
              <w:rPr>
                <w:rFonts w:cs="Arial"/>
                <w:b/>
                <w:sz w:val="16"/>
                <w:lang w:val="en-US"/>
              </w:rPr>
              <w:t>+11%</w:t>
            </w:r>
            <w:r w:rsidRPr="00925134">
              <w:rPr>
                <w:rFonts w:cs="Arial"/>
                <w:sz w:val="16"/>
                <w:vertAlign w:val="superscript"/>
                <w:lang w:val="en-US"/>
              </w:rPr>
              <w:t>a</w:t>
            </w:r>
          </w:p>
        </w:tc>
      </w:tr>
      <w:tr w:rsidR="0051797A" w:rsidRPr="00925134" w14:paraId="5BD06DCD" w14:textId="77777777" w:rsidTr="00142025">
        <w:trPr>
          <w:trHeight w:val="284"/>
          <w:jc w:val="center"/>
        </w:trPr>
        <w:tc>
          <w:tcPr>
            <w:tcW w:w="3821" w:type="dxa"/>
            <w:vAlign w:val="center"/>
          </w:tcPr>
          <w:p w14:paraId="6FFA483D" w14:textId="77777777" w:rsidR="0051797A" w:rsidRPr="00925134" w:rsidRDefault="00B8529D" w:rsidP="00B8529D">
            <w:pPr>
              <w:keepNext/>
              <w:ind w:left="170"/>
              <w:rPr>
                <w:rFonts w:cs="Arial"/>
                <w:sz w:val="16"/>
                <w:lang w:val="en-US"/>
              </w:rPr>
            </w:pPr>
            <w:r w:rsidRPr="00925134">
              <w:rPr>
                <w:rFonts w:cs="Arial"/>
                <w:sz w:val="16"/>
                <w:lang w:val="en-US"/>
              </w:rPr>
              <w:t>Basic earnings per share</w:t>
            </w:r>
            <w:r w:rsidR="0051797A" w:rsidRPr="00925134">
              <w:rPr>
                <w:rFonts w:cs="Arial"/>
                <w:sz w:val="16"/>
                <w:lang w:val="en-US"/>
              </w:rPr>
              <w:t xml:space="preserve"> (€)</w:t>
            </w:r>
          </w:p>
        </w:tc>
        <w:tc>
          <w:tcPr>
            <w:tcW w:w="1474" w:type="dxa"/>
            <w:shd w:val="clear" w:color="auto" w:fill="auto"/>
            <w:vAlign w:val="center"/>
          </w:tcPr>
          <w:p w14:paraId="6FB23F3F" w14:textId="77777777" w:rsidR="0051797A" w:rsidRPr="00925134" w:rsidRDefault="0051797A" w:rsidP="008E11D2">
            <w:pPr>
              <w:keepNext/>
              <w:ind w:left="-170" w:right="366"/>
              <w:jc w:val="right"/>
              <w:rPr>
                <w:rFonts w:cs="Arial"/>
                <w:sz w:val="16"/>
                <w:lang w:val="en-US"/>
              </w:rPr>
            </w:pPr>
            <w:r w:rsidRPr="00925134">
              <w:rPr>
                <w:rFonts w:cs="Arial"/>
                <w:sz w:val="16"/>
                <w:lang w:val="en-US"/>
              </w:rPr>
              <w:t>5</w:t>
            </w:r>
            <w:r w:rsidR="00B8529D" w:rsidRPr="00925134">
              <w:rPr>
                <w:rFonts w:cs="Arial"/>
                <w:sz w:val="16"/>
                <w:lang w:val="en-US"/>
              </w:rPr>
              <w:t>.</w:t>
            </w:r>
            <w:r w:rsidRPr="00925134">
              <w:rPr>
                <w:rFonts w:cs="Arial"/>
                <w:sz w:val="16"/>
                <w:lang w:val="en-US"/>
              </w:rPr>
              <w:t>44</w:t>
            </w:r>
          </w:p>
        </w:tc>
        <w:tc>
          <w:tcPr>
            <w:tcW w:w="1474" w:type="dxa"/>
            <w:shd w:val="clear" w:color="auto" w:fill="BBE7FF" w:themeFill="accent1" w:themeFillTint="33"/>
            <w:vAlign w:val="center"/>
          </w:tcPr>
          <w:p w14:paraId="24315417" w14:textId="77777777" w:rsidR="0051797A" w:rsidRPr="00925134" w:rsidRDefault="002C6095" w:rsidP="008E11D2">
            <w:pPr>
              <w:keepNext/>
              <w:ind w:left="-170" w:right="429"/>
              <w:jc w:val="right"/>
              <w:rPr>
                <w:rFonts w:cs="Arial"/>
                <w:sz w:val="16"/>
                <w:lang w:val="en-US"/>
              </w:rPr>
            </w:pPr>
            <w:r w:rsidRPr="00925134">
              <w:rPr>
                <w:rFonts w:cs="Arial"/>
                <w:sz w:val="16"/>
                <w:lang w:val="en-US"/>
              </w:rPr>
              <w:t>4</w:t>
            </w:r>
            <w:r w:rsidR="00B8529D" w:rsidRPr="00925134">
              <w:rPr>
                <w:rFonts w:cs="Arial"/>
                <w:sz w:val="16"/>
                <w:lang w:val="en-US"/>
              </w:rPr>
              <w:t>.</w:t>
            </w:r>
            <w:r w:rsidRPr="00925134">
              <w:rPr>
                <w:rFonts w:cs="Arial"/>
                <w:sz w:val="16"/>
                <w:lang w:val="en-US"/>
              </w:rPr>
              <w:t>8</w:t>
            </w:r>
            <w:r w:rsidR="006B3036" w:rsidRPr="00925134">
              <w:rPr>
                <w:rFonts w:cs="Arial"/>
                <w:sz w:val="16"/>
                <w:lang w:val="en-US"/>
              </w:rPr>
              <w:t>8</w:t>
            </w:r>
          </w:p>
        </w:tc>
        <w:tc>
          <w:tcPr>
            <w:tcW w:w="2729" w:type="dxa"/>
            <w:shd w:val="clear" w:color="auto" w:fill="auto"/>
            <w:vAlign w:val="center"/>
          </w:tcPr>
          <w:p w14:paraId="1373C81B" w14:textId="00CFF74A" w:rsidR="0051797A" w:rsidRPr="00925134" w:rsidRDefault="00A11836" w:rsidP="00142025">
            <w:pPr>
              <w:keepNext/>
              <w:ind w:left="-77"/>
              <w:jc w:val="center"/>
              <w:rPr>
                <w:rFonts w:cs="Arial"/>
                <w:sz w:val="16"/>
                <w:lang w:val="en-US"/>
              </w:rPr>
            </w:pPr>
            <w:r w:rsidRPr="00925134">
              <w:rPr>
                <w:rFonts w:cs="Arial"/>
                <w:sz w:val="16"/>
                <w:lang w:val="en-US"/>
              </w:rPr>
              <w:t>+</w:t>
            </w:r>
            <w:r w:rsidR="002C6095" w:rsidRPr="00925134">
              <w:rPr>
                <w:rFonts w:cs="Arial"/>
                <w:sz w:val="16"/>
                <w:lang w:val="en-US"/>
              </w:rPr>
              <w:t>1</w:t>
            </w:r>
            <w:r w:rsidR="0099718A" w:rsidRPr="00925134">
              <w:rPr>
                <w:rFonts w:cs="Arial"/>
                <w:sz w:val="16"/>
                <w:lang w:val="en-US"/>
              </w:rPr>
              <w:t>2</w:t>
            </w:r>
            <w:r w:rsidR="0051797A" w:rsidRPr="00925134">
              <w:rPr>
                <w:rFonts w:cs="Arial"/>
                <w:sz w:val="16"/>
                <w:lang w:val="en-US"/>
              </w:rPr>
              <w:t>%</w:t>
            </w:r>
            <w:r w:rsidRPr="00925134">
              <w:rPr>
                <w:rFonts w:cs="Arial"/>
                <w:sz w:val="16"/>
                <w:vertAlign w:val="superscript"/>
                <w:lang w:val="en-US"/>
              </w:rPr>
              <w:t>a</w:t>
            </w:r>
          </w:p>
        </w:tc>
      </w:tr>
      <w:tr w:rsidR="0051797A" w:rsidRPr="00925134" w14:paraId="4083EC73" w14:textId="77777777" w:rsidTr="00142025">
        <w:trPr>
          <w:trHeight w:val="284"/>
          <w:jc w:val="center"/>
        </w:trPr>
        <w:tc>
          <w:tcPr>
            <w:tcW w:w="3821" w:type="dxa"/>
            <w:tcBorders>
              <w:bottom w:val="single" w:sz="4" w:space="0" w:color="0070AD" w:themeColor="accent1"/>
            </w:tcBorders>
            <w:vAlign w:val="center"/>
          </w:tcPr>
          <w:p w14:paraId="661141F0" w14:textId="77777777" w:rsidR="0051797A" w:rsidRPr="00925134" w:rsidRDefault="00B8529D" w:rsidP="00B8529D">
            <w:pPr>
              <w:keepNext/>
              <w:ind w:left="170"/>
              <w:rPr>
                <w:rFonts w:cs="Arial"/>
                <w:sz w:val="16"/>
                <w:lang w:val="en-US"/>
              </w:rPr>
            </w:pPr>
            <w:r w:rsidRPr="00925134">
              <w:rPr>
                <w:rFonts w:cs="Arial"/>
                <w:sz w:val="16"/>
                <w:lang w:val="en-US"/>
              </w:rPr>
              <w:t>Normalized earnings per share</w:t>
            </w:r>
            <w:r w:rsidR="0051797A" w:rsidRPr="00925134">
              <w:rPr>
                <w:rFonts w:cs="Arial"/>
                <w:sz w:val="16"/>
                <w:lang w:val="en-US"/>
              </w:rPr>
              <w:t xml:space="preserve"> (€)</w:t>
            </w:r>
            <w:r w:rsidR="0051797A" w:rsidRPr="00925134">
              <w:rPr>
                <w:rFonts w:cs="Arial"/>
                <w:sz w:val="16"/>
                <w:vertAlign w:val="superscript"/>
                <w:lang w:val="en-US"/>
              </w:rPr>
              <w:t>*</w:t>
            </w:r>
          </w:p>
        </w:tc>
        <w:tc>
          <w:tcPr>
            <w:tcW w:w="1474" w:type="dxa"/>
            <w:tcBorders>
              <w:bottom w:val="single" w:sz="4" w:space="0" w:color="0070AD" w:themeColor="accent1"/>
            </w:tcBorders>
            <w:shd w:val="clear" w:color="auto" w:fill="auto"/>
            <w:vAlign w:val="center"/>
          </w:tcPr>
          <w:p w14:paraId="3F1B86AE" w14:textId="77777777" w:rsidR="0051797A" w:rsidRPr="00925134" w:rsidRDefault="00FE74B6" w:rsidP="008E11D2">
            <w:pPr>
              <w:keepNext/>
              <w:ind w:left="-170" w:right="366"/>
              <w:jc w:val="right"/>
              <w:rPr>
                <w:rFonts w:cs="Arial"/>
                <w:sz w:val="16"/>
                <w:lang w:val="en-US"/>
              </w:rPr>
            </w:pPr>
            <w:r w:rsidRPr="00925134">
              <w:rPr>
                <w:rFonts w:cs="Arial"/>
                <w:sz w:val="16"/>
                <w:lang w:val="en-US"/>
              </w:rPr>
              <w:t>6</w:t>
            </w:r>
            <w:r w:rsidR="00B8529D" w:rsidRPr="00925134">
              <w:rPr>
                <w:rFonts w:cs="Arial"/>
                <w:sz w:val="16"/>
                <w:lang w:val="en-US"/>
              </w:rPr>
              <w:t>.</w:t>
            </w:r>
            <w:r w:rsidRPr="00925134">
              <w:rPr>
                <w:rFonts w:cs="Arial"/>
                <w:sz w:val="16"/>
                <w:lang w:val="en-US"/>
              </w:rPr>
              <w:t>69</w:t>
            </w:r>
          </w:p>
        </w:tc>
        <w:tc>
          <w:tcPr>
            <w:tcW w:w="1474" w:type="dxa"/>
            <w:tcBorders>
              <w:bottom w:val="single" w:sz="4" w:space="0" w:color="0070AD" w:themeColor="accent1"/>
            </w:tcBorders>
            <w:shd w:val="clear" w:color="auto" w:fill="BBE7FF" w:themeFill="accent1" w:themeFillTint="33"/>
            <w:vAlign w:val="center"/>
          </w:tcPr>
          <w:p w14:paraId="1E0A89AB" w14:textId="77777777" w:rsidR="0051797A" w:rsidRPr="00925134" w:rsidRDefault="00FE74B6" w:rsidP="008E11D2">
            <w:pPr>
              <w:keepNext/>
              <w:ind w:left="-170" w:right="429"/>
              <w:jc w:val="right"/>
              <w:rPr>
                <w:rFonts w:cs="Arial"/>
                <w:sz w:val="16"/>
                <w:lang w:val="en-US"/>
              </w:rPr>
            </w:pPr>
            <w:r w:rsidRPr="00925134">
              <w:rPr>
                <w:rFonts w:cs="Arial"/>
                <w:sz w:val="16"/>
                <w:lang w:val="en-US"/>
              </w:rPr>
              <w:t>6</w:t>
            </w:r>
            <w:r w:rsidR="00B8529D" w:rsidRPr="00925134">
              <w:rPr>
                <w:rFonts w:cs="Arial"/>
                <w:sz w:val="16"/>
                <w:lang w:val="en-US"/>
              </w:rPr>
              <w:t>.</w:t>
            </w:r>
            <w:r w:rsidR="00010369" w:rsidRPr="00925134">
              <w:rPr>
                <w:rFonts w:cs="Arial"/>
                <w:sz w:val="16"/>
                <w:lang w:val="en-US"/>
              </w:rPr>
              <w:t>2</w:t>
            </w:r>
            <w:r w:rsidR="00840194" w:rsidRPr="00925134">
              <w:rPr>
                <w:rFonts w:cs="Arial"/>
                <w:sz w:val="16"/>
                <w:lang w:val="en-US"/>
              </w:rPr>
              <w:t>2</w:t>
            </w:r>
          </w:p>
        </w:tc>
        <w:tc>
          <w:tcPr>
            <w:tcW w:w="2729" w:type="dxa"/>
            <w:tcBorders>
              <w:bottom w:val="single" w:sz="4" w:space="0" w:color="0070AD" w:themeColor="accent1"/>
            </w:tcBorders>
            <w:shd w:val="clear" w:color="auto" w:fill="auto"/>
            <w:vAlign w:val="center"/>
          </w:tcPr>
          <w:p w14:paraId="15503167" w14:textId="799A12AF" w:rsidR="0051797A" w:rsidRPr="00925134" w:rsidRDefault="00FE74B6" w:rsidP="00142025">
            <w:pPr>
              <w:keepNext/>
              <w:ind w:left="-77"/>
              <w:jc w:val="center"/>
              <w:rPr>
                <w:rFonts w:cs="Arial"/>
                <w:sz w:val="16"/>
                <w:lang w:val="en-US"/>
              </w:rPr>
            </w:pPr>
            <w:r w:rsidRPr="00925134">
              <w:rPr>
                <w:rFonts w:cs="Arial"/>
                <w:sz w:val="16"/>
                <w:lang w:val="en-US"/>
              </w:rPr>
              <w:t>+11</w:t>
            </w:r>
            <w:r w:rsidR="0051797A" w:rsidRPr="00925134">
              <w:rPr>
                <w:rFonts w:cs="Arial"/>
                <w:sz w:val="16"/>
                <w:lang w:val="en-US"/>
              </w:rPr>
              <w:t>%</w:t>
            </w:r>
            <w:r w:rsidR="00FD2E23" w:rsidRPr="00925134">
              <w:rPr>
                <w:rFonts w:cs="Arial"/>
                <w:sz w:val="16"/>
                <w:vertAlign w:val="superscript"/>
                <w:lang w:val="en-US"/>
              </w:rPr>
              <w:t>a</w:t>
            </w:r>
          </w:p>
        </w:tc>
      </w:tr>
      <w:tr w:rsidR="001B755B" w:rsidRPr="00925134" w14:paraId="2BF33250" w14:textId="77777777" w:rsidTr="00142025">
        <w:trPr>
          <w:trHeight w:val="284"/>
          <w:jc w:val="center"/>
        </w:trPr>
        <w:tc>
          <w:tcPr>
            <w:tcW w:w="3821" w:type="dxa"/>
            <w:tcBorders>
              <w:top w:val="single" w:sz="4" w:space="0" w:color="0070AD" w:themeColor="accent1"/>
            </w:tcBorders>
            <w:vAlign w:val="center"/>
          </w:tcPr>
          <w:p w14:paraId="2012BBD1" w14:textId="77777777" w:rsidR="001B755B" w:rsidRPr="00925134" w:rsidRDefault="00B8529D" w:rsidP="00B8529D">
            <w:pPr>
              <w:keepNext/>
              <w:rPr>
                <w:rFonts w:cs="Arial"/>
                <w:sz w:val="16"/>
                <w:lang w:val="en-US"/>
              </w:rPr>
            </w:pPr>
            <w:r w:rsidRPr="00925134">
              <w:rPr>
                <w:rFonts w:cs="Arial"/>
                <w:b/>
                <w:sz w:val="16"/>
                <w:lang w:val="en-US"/>
              </w:rPr>
              <w:t xml:space="preserve">Organic </w:t>
            </w:r>
            <w:r w:rsidR="001B755B" w:rsidRPr="00925134">
              <w:rPr>
                <w:rFonts w:cs="Arial"/>
                <w:b/>
                <w:sz w:val="16"/>
                <w:lang w:val="en-US"/>
              </w:rPr>
              <w:t>Free cash</w:t>
            </w:r>
            <w:r w:rsidRPr="00925134">
              <w:rPr>
                <w:rFonts w:cs="Arial"/>
                <w:b/>
                <w:sz w:val="16"/>
                <w:lang w:val="en-US"/>
              </w:rPr>
              <w:t xml:space="preserve"> </w:t>
            </w:r>
            <w:r w:rsidR="001B755B" w:rsidRPr="00925134">
              <w:rPr>
                <w:rFonts w:cs="Arial"/>
                <w:b/>
                <w:sz w:val="16"/>
                <w:lang w:val="en-US"/>
              </w:rPr>
              <w:t>flow</w:t>
            </w:r>
            <w:r w:rsidRPr="00925134">
              <w:rPr>
                <w:rFonts w:cs="Arial"/>
                <w:b/>
                <w:sz w:val="16"/>
                <w:lang w:val="en-US"/>
              </w:rPr>
              <w:t>*</w:t>
            </w:r>
          </w:p>
        </w:tc>
        <w:tc>
          <w:tcPr>
            <w:tcW w:w="1474" w:type="dxa"/>
            <w:tcBorders>
              <w:top w:val="single" w:sz="4" w:space="0" w:color="0070AD" w:themeColor="accent1"/>
            </w:tcBorders>
            <w:shd w:val="clear" w:color="auto" w:fill="auto"/>
            <w:vAlign w:val="center"/>
          </w:tcPr>
          <w:p w14:paraId="09BBF1B5" w14:textId="77777777" w:rsidR="001B755B" w:rsidRPr="00925134" w:rsidRDefault="001B755B" w:rsidP="008E11D2">
            <w:pPr>
              <w:keepNext/>
              <w:ind w:left="-170" w:right="366"/>
              <w:jc w:val="right"/>
              <w:rPr>
                <w:rFonts w:cs="Arial"/>
                <w:b/>
                <w:sz w:val="16"/>
                <w:lang w:val="en-US"/>
              </w:rPr>
            </w:pPr>
            <w:r w:rsidRPr="00925134">
              <w:rPr>
                <w:rFonts w:cs="Arial"/>
                <w:b/>
                <w:sz w:val="16"/>
                <w:lang w:val="en-US"/>
              </w:rPr>
              <w:t>1</w:t>
            </w:r>
            <w:r w:rsidR="00B8529D" w:rsidRPr="00925134">
              <w:rPr>
                <w:rFonts w:cs="Arial"/>
                <w:b/>
                <w:sz w:val="16"/>
                <w:lang w:val="en-US"/>
              </w:rPr>
              <w:t>,</w:t>
            </w:r>
            <w:r w:rsidRPr="00925134">
              <w:rPr>
                <w:rFonts w:cs="Arial"/>
                <w:b/>
                <w:sz w:val="16"/>
                <w:lang w:val="en-US"/>
              </w:rPr>
              <w:t>071</w:t>
            </w:r>
          </w:p>
        </w:tc>
        <w:tc>
          <w:tcPr>
            <w:tcW w:w="1474" w:type="dxa"/>
            <w:tcBorders>
              <w:top w:val="single" w:sz="4" w:space="0" w:color="0070AD" w:themeColor="accent1"/>
            </w:tcBorders>
            <w:shd w:val="clear" w:color="auto" w:fill="BBE7FF" w:themeFill="accent1" w:themeFillTint="33"/>
            <w:vAlign w:val="center"/>
          </w:tcPr>
          <w:p w14:paraId="0A3469C0" w14:textId="77777777" w:rsidR="001B755B" w:rsidRPr="00925134" w:rsidRDefault="001B755B" w:rsidP="008E11D2">
            <w:pPr>
              <w:keepNext/>
              <w:ind w:left="-170" w:right="429"/>
              <w:jc w:val="right"/>
              <w:rPr>
                <w:rFonts w:cs="Arial"/>
                <w:b/>
                <w:color w:val="FF0000"/>
                <w:sz w:val="16"/>
                <w:lang w:val="en-US"/>
              </w:rPr>
            </w:pPr>
            <w:r w:rsidRPr="00925134">
              <w:rPr>
                <w:rFonts w:cs="Arial"/>
                <w:b/>
                <w:sz w:val="16"/>
                <w:lang w:val="en-US"/>
              </w:rPr>
              <w:t>1</w:t>
            </w:r>
            <w:r w:rsidR="00B8529D" w:rsidRPr="00925134">
              <w:rPr>
                <w:rFonts w:cs="Arial"/>
                <w:b/>
                <w:sz w:val="16"/>
                <w:lang w:val="en-US"/>
              </w:rPr>
              <w:t>,</w:t>
            </w:r>
            <w:r w:rsidRPr="00925134">
              <w:rPr>
                <w:rFonts w:cs="Arial"/>
                <w:b/>
                <w:sz w:val="16"/>
                <w:lang w:val="en-US"/>
              </w:rPr>
              <w:t>0</w:t>
            </w:r>
            <w:r w:rsidR="00CC23A4" w:rsidRPr="00925134">
              <w:rPr>
                <w:rFonts w:cs="Arial"/>
                <w:b/>
                <w:sz w:val="16"/>
                <w:lang w:val="en-US"/>
              </w:rPr>
              <w:t>80</w:t>
            </w:r>
          </w:p>
        </w:tc>
        <w:tc>
          <w:tcPr>
            <w:tcW w:w="2729" w:type="dxa"/>
            <w:tcBorders>
              <w:top w:val="single" w:sz="4" w:space="0" w:color="0070AD" w:themeColor="accent1"/>
            </w:tcBorders>
            <w:shd w:val="clear" w:color="auto" w:fill="auto"/>
            <w:vAlign w:val="center"/>
          </w:tcPr>
          <w:p w14:paraId="17C998AF" w14:textId="77777777" w:rsidR="001B755B" w:rsidRPr="00925134" w:rsidRDefault="004973E5" w:rsidP="00142025">
            <w:pPr>
              <w:keepNext/>
              <w:ind w:left="-77"/>
              <w:jc w:val="center"/>
              <w:rPr>
                <w:rFonts w:cs="Arial"/>
                <w:b/>
                <w:sz w:val="16"/>
                <w:lang w:val="en-US"/>
              </w:rPr>
            </w:pPr>
            <w:r w:rsidRPr="00925134">
              <w:rPr>
                <w:rFonts w:cs="Arial"/>
                <w:b/>
                <w:sz w:val="16"/>
                <w:lang w:val="en-US"/>
              </w:rPr>
              <w:t>+</w:t>
            </w:r>
            <w:r w:rsidR="00EC1F54" w:rsidRPr="00925134">
              <w:rPr>
                <w:rFonts w:cs="Arial"/>
                <w:b/>
                <w:sz w:val="16"/>
                <w:lang w:val="en-US"/>
              </w:rPr>
              <w:t>9</w:t>
            </w:r>
            <w:r w:rsidRPr="00925134">
              <w:rPr>
                <w:rFonts w:cs="Arial"/>
                <w:b/>
                <w:sz w:val="16"/>
                <w:lang w:val="en-US"/>
              </w:rPr>
              <w:t>M€</w:t>
            </w:r>
          </w:p>
        </w:tc>
      </w:tr>
      <w:tr w:rsidR="0051797A" w:rsidRPr="00925134" w14:paraId="2737F05A" w14:textId="77777777" w:rsidTr="00142025">
        <w:trPr>
          <w:trHeight w:val="284"/>
          <w:jc w:val="center"/>
        </w:trPr>
        <w:tc>
          <w:tcPr>
            <w:tcW w:w="3821" w:type="dxa"/>
            <w:tcBorders>
              <w:bottom w:val="single" w:sz="4" w:space="0" w:color="0070AD" w:themeColor="accent1"/>
            </w:tcBorders>
            <w:vAlign w:val="center"/>
          </w:tcPr>
          <w:p w14:paraId="2BDDFE81" w14:textId="77777777" w:rsidR="0051797A" w:rsidRPr="00925134" w:rsidRDefault="00B8529D" w:rsidP="00B8529D">
            <w:pPr>
              <w:keepNext/>
              <w:rPr>
                <w:rFonts w:cs="Arial"/>
                <w:sz w:val="16"/>
                <w:lang w:val="en-US"/>
              </w:rPr>
            </w:pPr>
            <w:r w:rsidRPr="00925134">
              <w:rPr>
                <w:rFonts w:cs="Arial"/>
                <w:sz w:val="16"/>
                <w:lang w:val="en-US"/>
              </w:rPr>
              <w:t>Net cash and cash equivalents</w:t>
            </w:r>
            <w:r w:rsidR="0051797A" w:rsidRPr="00925134">
              <w:rPr>
                <w:rFonts w:cs="Arial"/>
                <w:sz w:val="16"/>
                <w:lang w:val="en-US"/>
              </w:rPr>
              <w:t xml:space="preserve"> / (</w:t>
            </w:r>
            <w:r w:rsidRPr="00925134">
              <w:rPr>
                <w:rFonts w:cs="Arial"/>
                <w:sz w:val="16"/>
                <w:lang w:val="en-US"/>
              </w:rPr>
              <w:t>Net debt</w:t>
            </w:r>
            <w:r w:rsidR="0051797A" w:rsidRPr="00925134">
              <w:rPr>
                <w:rFonts w:cs="Arial"/>
                <w:sz w:val="16"/>
                <w:lang w:val="en-US"/>
              </w:rPr>
              <w:t>)</w:t>
            </w:r>
          </w:p>
        </w:tc>
        <w:tc>
          <w:tcPr>
            <w:tcW w:w="1474" w:type="dxa"/>
            <w:tcBorders>
              <w:bottom w:val="single" w:sz="4" w:space="0" w:color="0070AD" w:themeColor="accent1"/>
            </w:tcBorders>
            <w:shd w:val="clear" w:color="auto" w:fill="auto"/>
            <w:vAlign w:val="center"/>
          </w:tcPr>
          <w:p w14:paraId="7E7973BA" w14:textId="77777777" w:rsidR="0051797A" w:rsidRPr="00925134" w:rsidRDefault="0051797A" w:rsidP="008E11D2">
            <w:pPr>
              <w:keepNext/>
              <w:ind w:left="-170" w:right="366"/>
              <w:jc w:val="right"/>
              <w:rPr>
                <w:rFonts w:cs="Arial"/>
                <w:sz w:val="16"/>
                <w:lang w:val="en-US"/>
              </w:rPr>
            </w:pPr>
            <w:r w:rsidRPr="00925134">
              <w:rPr>
                <w:rFonts w:cs="Arial"/>
                <w:sz w:val="16"/>
                <w:lang w:val="en-US"/>
              </w:rPr>
              <w:t>(1</w:t>
            </w:r>
            <w:r w:rsidR="00B8529D" w:rsidRPr="00925134">
              <w:rPr>
                <w:rFonts w:cs="Arial"/>
                <w:sz w:val="16"/>
                <w:lang w:val="en-US"/>
              </w:rPr>
              <w:t>,</w:t>
            </w:r>
            <w:r w:rsidRPr="00925134">
              <w:rPr>
                <w:rFonts w:cs="Arial"/>
                <w:sz w:val="16"/>
                <w:lang w:val="en-US"/>
              </w:rPr>
              <w:t>413)</w:t>
            </w:r>
          </w:p>
        </w:tc>
        <w:tc>
          <w:tcPr>
            <w:tcW w:w="1474" w:type="dxa"/>
            <w:tcBorders>
              <w:bottom w:val="single" w:sz="4" w:space="0" w:color="0070AD" w:themeColor="accent1"/>
            </w:tcBorders>
            <w:shd w:val="clear" w:color="auto" w:fill="BBE7FF" w:themeFill="accent1" w:themeFillTint="33"/>
            <w:vAlign w:val="center"/>
          </w:tcPr>
          <w:p w14:paraId="145990BF" w14:textId="77777777" w:rsidR="0051797A" w:rsidRPr="00925134" w:rsidRDefault="0051797A" w:rsidP="008E11D2">
            <w:pPr>
              <w:keepNext/>
              <w:ind w:left="-170" w:right="429"/>
              <w:jc w:val="right"/>
              <w:rPr>
                <w:rFonts w:cs="Arial"/>
                <w:sz w:val="16"/>
                <w:lang w:val="en-US"/>
              </w:rPr>
            </w:pPr>
            <w:r w:rsidRPr="00925134">
              <w:rPr>
                <w:rFonts w:cs="Arial"/>
                <w:sz w:val="16"/>
                <w:lang w:val="en-US"/>
              </w:rPr>
              <w:t>(1</w:t>
            </w:r>
            <w:r w:rsidR="00B8529D" w:rsidRPr="00925134">
              <w:rPr>
                <w:rFonts w:cs="Arial"/>
                <w:sz w:val="16"/>
                <w:lang w:val="en-US"/>
              </w:rPr>
              <w:t>,</w:t>
            </w:r>
            <w:r w:rsidR="00CC23A4" w:rsidRPr="00925134">
              <w:rPr>
                <w:rFonts w:cs="Arial"/>
                <w:sz w:val="16"/>
                <w:lang w:val="en-US"/>
              </w:rPr>
              <w:t>209</w:t>
            </w:r>
            <w:r w:rsidRPr="00925134">
              <w:rPr>
                <w:rFonts w:cs="Arial"/>
                <w:sz w:val="16"/>
                <w:lang w:val="en-US"/>
              </w:rPr>
              <w:t>)</w:t>
            </w:r>
          </w:p>
        </w:tc>
        <w:tc>
          <w:tcPr>
            <w:tcW w:w="2729" w:type="dxa"/>
            <w:tcBorders>
              <w:bottom w:val="single" w:sz="4" w:space="0" w:color="0070AD" w:themeColor="accent1"/>
            </w:tcBorders>
            <w:shd w:val="clear" w:color="auto" w:fill="auto"/>
            <w:vAlign w:val="center"/>
          </w:tcPr>
          <w:p w14:paraId="4B12B1B3" w14:textId="77777777" w:rsidR="0051797A" w:rsidRPr="00925134" w:rsidRDefault="00C13A83" w:rsidP="00142025">
            <w:pPr>
              <w:keepNext/>
              <w:ind w:left="-77"/>
              <w:jc w:val="center"/>
              <w:rPr>
                <w:rFonts w:cs="Arial"/>
                <w:sz w:val="16"/>
                <w:lang w:val="en-US"/>
              </w:rPr>
            </w:pPr>
            <w:r w:rsidRPr="00925134">
              <w:rPr>
                <w:rFonts w:cs="Arial"/>
                <w:sz w:val="16"/>
                <w:lang w:val="en-US"/>
              </w:rPr>
              <w:t>+2</w:t>
            </w:r>
            <w:r w:rsidR="00C644FD" w:rsidRPr="00925134">
              <w:rPr>
                <w:rFonts w:cs="Arial"/>
                <w:sz w:val="16"/>
                <w:lang w:val="en-US"/>
              </w:rPr>
              <w:t>04</w:t>
            </w:r>
            <w:r w:rsidRPr="00925134">
              <w:rPr>
                <w:rFonts w:cs="Arial"/>
                <w:sz w:val="16"/>
                <w:lang w:val="en-US"/>
              </w:rPr>
              <w:t>M€</w:t>
            </w:r>
          </w:p>
        </w:tc>
      </w:tr>
      <w:tr w:rsidR="001B755B" w:rsidRPr="003E4F25" w14:paraId="01F41A12" w14:textId="77777777" w:rsidTr="007370D6">
        <w:trPr>
          <w:trHeight w:val="284"/>
          <w:jc w:val="center"/>
        </w:trPr>
        <w:tc>
          <w:tcPr>
            <w:tcW w:w="9498" w:type="dxa"/>
            <w:gridSpan w:val="4"/>
            <w:tcBorders>
              <w:top w:val="single" w:sz="4" w:space="0" w:color="0070AD" w:themeColor="accent1"/>
            </w:tcBorders>
            <w:vAlign w:val="center"/>
          </w:tcPr>
          <w:p w14:paraId="280C7BBF" w14:textId="77777777" w:rsidR="001B755B" w:rsidRPr="00925134" w:rsidRDefault="001B755B" w:rsidP="00B8529D">
            <w:pPr>
              <w:keepNext/>
              <w:jc w:val="left"/>
              <w:rPr>
                <w:rFonts w:cs="Arial"/>
                <w:sz w:val="16"/>
                <w:lang w:val="en-US"/>
              </w:rPr>
            </w:pPr>
            <w:r w:rsidRPr="00925134">
              <w:rPr>
                <w:rFonts w:cs="Arial"/>
                <w:sz w:val="16"/>
                <w:vertAlign w:val="superscript"/>
                <w:lang w:val="en-US"/>
              </w:rPr>
              <w:t>a</w:t>
            </w:r>
            <w:r w:rsidRPr="00925134">
              <w:rPr>
                <w:rFonts w:cs="Arial"/>
                <w:sz w:val="16"/>
                <w:lang w:val="en-US"/>
              </w:rPr>
              <w:t xml:space="preserve"> </w:t>
            </w:r>
            <w:r w:rsidR="00B8529D" w:rsidRPr="00925134">
              <w:rPr>
                <w:rFonts w:cs="Arial"/>
                <w:sz w:val="12"/>
                <w:lang w:val="en-US"/>
              </w:rPr>
              <w:t>Excluding exceptional tax income of €180 million recognized in 2016</w:t>
            </w:r>
          </w:p>
        </w:tc>
      </w:tr>
    </w:tbl>
    <w:p w14:paraId="0C98C330" w14:textId="77777777" w:rsidR="007942A0" w:rsidRPr="00925134" w:rsidRDefault="007942A0">
      <w:pPr>
        <w:rPr>
          <w:rFonts w:cs="Arial"/>
          <w:lang w:val="en-US"/>
        </w:rPr>
      </w:pPr>
    </w:p>
    <w:p w14:paraId="5B84C714" w14:textId="5317B9E6" w:rsidR="00C91770" w:rsidRPr="00925134" w:rsidRDefault="00067EA2" w:rsidP="00C91770">
      <w:pPr>
        <w:spacing w:before="120" w:after="120" w:line="288" w:lineRule="auto"/>
        <w:rPr>
          <w:rFonts w:cs="Arial"/>
          <w:lang w:val="en-US"/>
        </w:rPr>
      </w:pPr>
      <w:bookmarkStart w:id="1" w:name="_Hlk504930058"/>
      <w:r w:rsidRPr="00925134">
        <w:rPr>
          <w:rFonts w:cs="Arial"/>
          <w:lang w:val="en-US"/>
        </w:rPr>
        <w:t xml:space="preserve">The Group generated </w:t>
      </w:r>
      <w:r w:rsidRPr="00925134">
        <w:rPr>
          <w:rFonts w:cs="Arial"/>
          <w:b/>
          <w:lang w:val="en-US"/>
        </w:rPr>
        <w:t>revenues</w:t>
      </w:r>
      <w:r w:rsidRPr="00925134">
        <w:rPr>
          <w:rFonts w:cs="Arial"/>
          <w:lang w:val="en-US"/>
        </w:rPr>
        <w:t xml:space="preserve"> of €12,792 million in 2017, up 2.0% compared with 2016. Growth is </w:t>
      </w:r>
      <w:r w:rsidR="00A363CD" w:rsidRPr="00925134">
        <w:rPr>
          <w:rFonts w:cs="Arial"/>
          <w:lang w:val="en-US"/>
        </w:rPr>
        <w:t>4.0</w:t>
      </w:r>
      <w:r w:rsidRPr="00925134">
        <w:rPr>
          <w:rFonts w:cs="Arial"/>
          <w:lang w:val="en-US"/>
        </w:rPr>
        <w:t>% at constant exchange rates</w:t>
      </w:r>
      <w:r w:rsidR="00A363CD" w:rsidRPr="00925134">
        <w:rPr>
          <w:rFonts w:cs="Arial"/>
          <w:vertAlign w:val="superscript"/>
          <w:lang w:val="en-US"/>
        </w:rPr>
        <w:t>*</w:t>
      </w:r>
      <w:r w:rsidRPr="00925134">
        <w:rPr>
          <w:rFonts w:cs="Arial"/>
          <w:lang w:val="en-US"/>
        </w:rPr>
        <w:t xml:space="preserve">, </w:t>
      </w:r>
      <w:r w:rsidR="00A363CD" w:rsidRPr="00925134">
        <w:rPr>
          <w:rFonts w:cs="Arial"/>
          <w:lang w:val="en-US"/>
        </w:rPr>
        <w:t>above the 3</w:t>
      </w:r>
      <w:r w:rsidR="007740EA" w:rsidRPr="00925134">
        <w:rPr>
          <w:rFonts w:cs="Arial"/>
          <w:lang w:val="en-US"/>
        </w:rPr>
        <w:t>.0</w:t>
      </w:r>
      <w:r w:rsidR="00A363CD" w:rsidRPr="00925134">
        <w:rPr>
          <w:rFonts w:cs="Arial"/>
          <w:lang w:val="en-US"/>
        </w:rPr>
        <w:t xml:space="preserve">% </w:t>
      </w:r>
      <w:r w:rsidR="009643C5" w:rsidRPr="00925134">
        <w:rPr>
          <w:rFonts w:cs="Arial"/>
          <w:lang w:val="en-US"/>
        </w:rPr>
        <w:t xml:space="preserve">target </w:t>
      </w:r>
      <w:r w:rsidR="00A363CD" w:rsidRPr="00925134">
        <w:rPr>
          <w:rFonts w:cs="Arial"/>
          <w:lang w:val="en-US"/>
        </w:rPr>
        <w:t>set at the beginning of the year</w:t>
      </w:r>
      <w:r w:rsidRPr="00925134">
        <w:rPr>
          <w:rFonts w:cs="Arial"/>
          <w:lang w:val="en-US"/>
        </w:rPr>
        <w:t xml:space="preserve">. </w:t>
      </w:r>
      <w:r w:rsidR="00A363CD" w:rsidRPr="00925134">
        <w:rPr>
          <w:rFonts w:cs="Arial"/>
          <w:lang w:val="en-US"/>
        </w:rPr>
        <w:t>Organic growth</w:t>
      </w:r>
      <w:r w:rsidR="00A363CD" w:rsidRPr="00925134">
        <w:rPr>
          <w:rFonts w:cs="Arial"/>
          <w:vertAlign w:val="superscript"/>
          <w:lang w:val="en-US"/>
        </w:rPr>
        <w:t>*</w:t>
      </w:r>
      <w:r w:rsidR="00A363CD" w:rsidRPr="00925134">
        <w:rPr>
          <w:rFonts w:cs="Arial"/>
          <w:lang w:val="en-US"/>
        </w:rPr>
        <w:t xml:space="preserve"> (i.e. excluding the impact of currency fluctuations an</w:t>
      </w:r>
      <w:r w:rsidR="0022437A" w:rsidRPr="00925134">
        <w:rPr>
          <w:rFonts w:cs="Arial"/>
          <w:lang w:val="en-US"/>
        </w:rPr>
        <w:t>d changes in Group scope) is 3.6</w:t>
      </w:r>
      <w:r w:rsidR="00A363CD" w:rsidRPr="00925134">
        <w:rPr>
          <w:rFonts w:cs="Arial"/>
          <w:lang w:val="en-US"/>
        </w:rPr>
        <w:t xml:space="preserve">%. </w:t>
      </w:r>
      <w:r w:rsidR="00D778A5" w:rsidRPr="00925134">
        <w:rPr>
          <w:rFonts w:cs="Arial"/>
          <w:lang w:val="en-US"/>
        </w:rPr>
        <w:t xml:space="preserve">In </w:t>
      </w:r>
      <w:r w:rsidRPr="00925134">
        <w:rPr>
          <w:rFonts w:cs="Arial"/>
          <w:lang w:val="en-US"/>
        </w:rPr>
        <w:t>Q4</w:t>
      </w:r>
      <w:r w:rsidR="00D778A5" w:rsidRPr="00925134">
        <w:rPr>
          <w:rFonts w:cs="Arial"/>
          <w:lang w:val="en-US"/>
        </w:rPr>
        <w:t>,</w:t>
      </w:r>
      <w:r w:rsidRPr="00925134">
        <w:rPr>
          <w:rFonts w:cs="Arial"/>
          <w:lang w:val="en-US"/>
        </w:rPr>
        <w:t xml:space="preserve"> growth </w:t>
      </w:r>
      <w:r w:rsidR="00D778A5" w:rsidRPr="00925134">
        <w:rPr>
          <w:rFonts w:cs="Arial"/>
          <w:lang w:val="en-US"/>
        </w:rPr>
        <w:t xml:space="preserve">reached </w:t>
      </w:r>
      <w:r w:rsidR="00A363CD" w:rsidRPr="00925134">
        <w:rPr>
          <w:rFonts w:cs="Arial"/>
          <w:lang w:val="en-US"/>
        </w:rPr>
        <w:t>6.2</w:t>
      </w:r>
      <w:r w:rsidRPr="00925134">
        <w:rPr>
          <w:rFonts w:cs="Arial"/>
          <w:lang w:val="en-US"/>
        </w:rPr>
        <w:t>% at constant exchange rates</w:t>
      </w:r>
      <w:r w:rsidR="00C91770" w:rsidRPr="00925134">
        <w:rPr>
          <w:rFonts w:cs="Arial"/>
          <w:lang w:val="en-US"/>
        </w:rPr>
        <w:t xml:space="preserve">. </w:t>
      </w:r>
    </w:p>
    <w:bookmarkEnd w:id="1"/>
    <w:p w14:paraId="0FD63568" w14:textId="19B1D06C" w:rsidR="00C91770" w:rsidRPr="00925134" w:rsidRDefault="00C91770" w:rsidP="00C91770">
      <w:pPr>
        <w:spacing w:before="120" w:after="120" w:line="288" w:lineRule="auto"/>
        <w:rPr>
          <w:rFonts w:cs="Arial"/>
          <w:lang w:val="en-US"/>
        </w:rPr>
      </w:pPr>
      <w:r w:rsidRPr="00925134">
        <w:rPr>
          <w:rFonts w:cs="Arial"/>
          <w:b/>
          <w:lang w:val="en-US"/>
        </w:rPr>
        <w:t xml:space="preserve">Digital </w:t>
      </w:r>
      <w:r w:rsidR="00A363CD" w:rsidRPr="00925134">
        <w:rPr>
          <w:rFonts w:cs="Arial"/>
          <w:lang w:val="en-US"/>
        </w:rPr>
        <w:t>and</w:t>
      </w:r>
      <w:r w:rsidRPr="00925134">
        <w:rPr>
          <w:rFonts w:cs="Arial"/>
          <w:lang w:val="en-US"/>
        </w:rPr>
        <w:t xml:space="preserve"> </w:t>
      </w:r>
      <w:r w:rsidRPr="00925134">
        <w:rPr>
          <w:rFonts w:cs="Arial"/>
          <w:b/>
          <w:lang w:val="en-US"/>
        </w:rPr>
        <w:t>Cloud</w:t>
      </w:r>
      <w:r w:rsidR="00A363CD" w:rsidRPr="00925134">
        <w:rPr>
          <w:rFonts w:cs="Arial"/>
          <w:lang w:val="en-US"/>
        </w:rPr>
        <w:t xml:space="preserve"> revenues continued to expand, growing </w:t>
      </w:r>
      <w:r w:rsidR="001C6D57" w:rsidRPr="00925134">
        <w:rPr>
          <w:rFonts w:cs="Arial"/>
          <w:lang w:val="en-US"/>
        </w:rPr>
        <w:t xml:space="preserve">24% </w:t>
      </w:r>
      <w:r w:rsidR="00A363CD" w:rsidRPr="00925134">
        <w:rPr>
          <w:rFonts w:cs="Arial"/>
          <w:lang w:val="en-US"/>
        </w:rPr>
        <w:t xml:space="preserve">at constant exchange rates to </w:t>
      </w:r>
      <w:r w:rsidR="00D778A5" w:rsidRPr="00925134">
        <w:rPr>
          <w:rFonts w:cs="Arial"/>
          <w:lang w:val="en-US"/>
        </w:rPr>
        <w:t xml:space="preserve">reach </w:t>
      </w:r>
      <w:r w:rsidR="00A363CD" w:rsidRPr="00925134">
        <w:rPr>
          <w:rFonts w:cs="Arial"/>
          <w:lang w:val="en-US"/>
        </w:rPr>
        <w:t>€4.9 billion</w:t>
      </w:r>
      <w:r w:rsidR="00D778A5" w:rsidRPr="00925134">
        <w:rPr>
          <w:rFonts w:cs="Arial"/>
          <w:lang w:val="en-US"/>
        </w:rPr>
        <w:t xml:space="preserve">, representing </w:t>
      </w:r>
      <w:r w:rsidR="00A363CD" w:rsidRPr="00925134">
        <w:rPr>
          <w:rFonts w:cs="Arial"/>
          <w:lang w:val="en-US"/>
        </w:rPr>
        <w:t xml:space="preserve">38% of </w:t>
      </w:r>
      <w:r w:rsidR="004F1E4E" w:rsidRPr="00925134">
        <w:rPr>
          <w:rFonts w:cs="Arial"/>
          <w:lang w:val="en-US"/>
        </w:rPr>
        <w:t xml:space="preserve">2017 </w:t>
      </w:r>
      <w:r w:rsidR="00A363CD" w:rsidRPr="00925134">
        <w:rPr>
          <w:rFonts w:cs="Arial"/>
          <w:lang w:val="en-US"/>
        </w:rPr>
        <w:t>revenues</w:t>
      </w:r>
      <w:r w:rsidR="00CD3F31" w:rsidRPr="00925134">
        <w:rPr>
          <w:rFonts w:cs="Arial"/>
          <w:lang w:val="en-US"/>
        </w:rPr>
        <w:t xml:space="preserve"> (40% in Q4 2017)</w:t>
      </w:r>
      <w:r w:rsidRPr="00925134">
        <w:rPr>
          <w:rFonts w:cs="Arial"/>
          <w:lang w:val="en-US"/>
        </w:rPr>
        <w:t>.</w:t>
      </w:r>
    </w:p>
    <w:p w14:paraId="27CB9799" w14:textId="5F658913" w:rsidR="00C91770" w:rsidRPr="00925134" w:rsidRDefault="00AD523C" w:rsidP="00C91770">
      <w:pPr>
        <w:spacing w:before="120" w:after="120" w:line="288" w:lineRule="auto"/>
        <w:rPr>
          <w:lang w:val="en-US"/>
        </w:rPr>
      </w:pPr>
      <w:r w:rsidRPr="00925134">
        <w:rPr>
          <w:rFonts w:cs="Arial"/>
          <w:b/>
          <w:bCs/>
          <w:lang w:val="en-US"/>
        </w:rPr>
        <w:t>Bookings</w:t>
      </w:r>
      <w:r w:rsidRPr="00925134">
        <w:rPr>
          <w:rFonts w:cs="Arial"/>
          <w:bCs/>
          <w:lang w:val="en-US"/>
        </w:rPr>
        <w:t xml:space="preserve"> totaled €12,890 million during the year, </w:t>
      </w:r>
      <w:r w:rsidR="00D778A5" w:rsidRPr="00925134">
        <w:rPr>
          <w:rFonts w:cs="Arial"/>
          <w:bCs/>
          <w:lang w:val="en-US"/>
        </w:rPr>
        <w:t xml:space="preserve">up </w:t>
      </w:r>
      <w:r w:rsidRPr="00925134">
        <w:rPr>
          <w:rFonts w:cs="Arial"/>
          <w:bCs/>
          <w:lang w:val="en-US"/>
        </w:rPr>
        <w:t xml:space="preserve">slightly </w:t>
      </w:r>
      <w:r w:rsidR="00D778A5" w:rsidRPr="00925134">
        <w:rPr>
          <w:rFonts w:cs="Arial"/>
          <w:bCs/>
          <w:lang w:val="en-US"/>
        </w:rPr>
        <w:t xml:space="preserve">(+1% at constant exchange rates) compared to </w:t>
      </w:r>
      <w:r w:rsidRPr="00925134">
        <w:rPr>
          <w:rFonts w:cs="Arial"/>
          <w:bCs/>
          <w:lang w:val="en-US"/>
        </w:rPr>
        <w:t>€13,027 million</w:t>
      </w:r>
      <w:r w:rsidR="00D778A5" w:rsidRPr="00925134">
        <w:rPr>
          <w:rFonts w:cs="Arial"/>
          <w:bCs/>
          <w:lang w:val="en-US"/>
        </w:rPr>
        <w:t xml:space="preserve"> in 2016. B</w:t>
      </w:r>
      <w:r w:rsidRPr="00925134">
        <w:rPr>
          <w:rFonts w:cs="Arial"/>
          <w:bCs/>
          <w:lang w:val="en-US"/>
        </w:rPr>
        <w:t xml:space="preserve">ook-to-bill ratio </w:t>
      </w:r>
      <w:r w:rsidR="00D778A5" w:rsidRPr="00925134">
        <w:rPr>
          <w:rFonts w:cs="Arial"/>
          <w:bCs/>
          <w:lang w:val="en-US"/>
        </w:rPr>
        <w:t xml:space="preserve">was </w:t>
      </w:r>
      <w:r w:rsidRPr="00925134">
        <w:rPr>
          <w:rFonts w:cs="Arial"/>
          <w:bCs/>
          <w:lang w:val="en-US"/>
        </w:rPr>
        <w:t>1.01</w:t>
      </w:r>
      <w:r w:rsidR="00D778A5" w:rsidRPr="00925134">
        <w:rPr>
          <w:rFonts w:cs="Arial"/>
          <w:bCs/>
          <w:lang w:val="en-US"/>
        </w:rPr>
        <w:t xml:space="preserve"> in 2017 and </w:t>
      </w:r>
      <w:r w:rsidRPr="00925134">
        <w:rPr>
          <w:rFonts w:cs="Arial"/>
          <w:bCs/>
          <w:lang w:val="en-US"/>
        </w:rPr>
        <w:t>1.14</w:t>
      </w:r>
      <w:r w:rsidR="00D778A5" w:rsidRPr="00925134">
        <w:rPr>
          <w:rFonts w:cs="Arial"/>
          <w:bCs/>
          <w:lang w:val="en-US"/>
        </w:rPr>
        <w:t xml:space="preserve"> in Q4</w:t>
      </w:r>
      <w:r w:rsidR="00C91770" w:rsidRPr="00925134">
        <w:rPr>
          <w:rFonts w:cs="Arial"/>
          <w:bCs/>
          <w:lang w:val="en-US"/>
        </w:rPr>
        <w:t>.</w:t>
      </w:r>
    </w:p>
    <w:p w14:paraId="488380A1" w14:textId="69859EDF" w:rsidR="00C91770" w:rsidRPr="00925134" w:rsidRDefault="00AD523C" w:rsidP="00C91770">
      <w:pPr>
        <w:spacing w:before="120" w:after="120" w:line="288" w:lineRule="auto"/>
        <w:rPr>
          <w:rFonts w:cs="Arial"/>
          <w:lang w:val="en-US"/>
        </w:rPr>
      </w:pPr>
      <w:bookmarkStart w:id="2" w:name="_Hlk504930109"/>
      <w:r w:rsidRPr="00925134">
        <w:rPr>
          <w:rFonts w:cs="Arial"/>
          <w:lang w:val="en-US"/>
        </w:rPr>
        <w:t xml:space="preserve">The </w:t>
      </w:r>
      <w:r w:rsidR="0022437A" w:rsidRPr="00925134">
        <w:rPr>
          <w:rFonts w:cs="Arial"/>
          <w:b/>
          <w:lang w:val="en-US"/>
        </w:rPr>
        <w:t>o</w:t>
      </w:r>
      <w:r w:rsidRPr="00925134">
        <w:rPr>
          <w:rFonts w:cs="Arial"/>
          <w:b/>
          <w:lang w:val="en-US"/>
        </w:rPr>
        <w:t>perating margin</w:t>
      </w:r>
      <w:r w:rsidRPr="00925134">
        <w:rPr>
          <w:rFonts w:cs="Arial"/>
          <w:lang w:val="en-US"/>
        </w:rPr>
        <w:t>* is €1,493 million, or 11.7% of revenues</w:t>
      </w:r>
      <w:r w:rsidR="00814A7F" w:rsidRPr="00925134">
        <w:rPr>
          <w:rFonts w:cs="Arial"/>
          <w:lang w:val="en-US"/>
        </w:rPr>
        <w:t>, an increase of</w:t>
      </w:r>
      <w:r w:rsidRPr="00925134">
        <w:rPr>
          <w:rFonts w:cs="Arial"/>
          <w:lang w:val="en-US"/>
        </w:rPr>
        <w:t xml:space="preserve"> 4%</w:t>
      </w:r>
      <w:r w:rsidR="00814A7F" w:rsidRPr="00925134">
        <w:rPr>
          <w:rFonts w:cs="Arial"/>
          <w:lang w:val="en-US"/>
        </w:rPr>
        <w:t xml:space="preserve"> </w:t>
      </w:r>
      <w:r w:rsidRPr="00925134">
        <w:rPr>
          <w:rFonts w:cs="Arial"/>
          <w:lang w:val="en-US"/>
        </w:rPr>
        <w:t>or 20 basis point</w:t>
      </w:r>
      <w:r w:rsidR="00814A7F" w:rsidRPr="00925134">
        <w:rPr>
          <w:rFonts w:cs="Arial"/>
          <w:lang w:val="en-US"/>
        </w:rPr>
        <w:t>s year-on-year,</w:t>
      </w:r>
      <w:r w:rsidRPr="00925134">
        <w:rPr>
          <w:rFonts w:cs="Arial"/>
          <w:lang w:val="en-US"/>
        </w:rPr>
        <w:t xml:space="preserve"> in line with annual objectives. </w:t>
      </w:r>
      <w:r w:rsidR="00814A7F" w:rsidRPr="00925134">
        <w:rPr>
          <w:rFonts w:cs="Arial"/>
          <w:lang w:val="en-US"/>
        </w:rPr>
        <w:t>Profitability continues to improve, reflecting</w:t>
      </w:r>
      <w:r w:rsidR="00190602" w:rsidRPr="00925134">
        <w:rPr>
          <w:rFonts w:cs="Arial"/>
          <w:lang w:val="en-US"/>
        </w:rPr>
        <w:t xml:space="preserve"> the Group’s ability to </w:t>
      </w:r>
      <w:r w:rsidR="00D778A5" w:rsidRPr="00925134">
        <w:rPr>
          <w:rFonts w:cs="Arial"/>
          <w:lang w:val="en-US"/>
        </w:rPr>
        <w:t>pursue industrialization</w:t>
      </w:r>
      <w:r w:rsidR="00190602" w:rsidRPr="00925134">
        <w:rPr>
          <w:rFonts w:cs="Arial"/>
          <w:lang w:val="en-US"/>
        </w:rPr>
        <w:t xml:space="preserve"> </w:t>
      </w:r>
      <w:r w:rsidRPr="00925134">
        <w:rPr>
          <w:rFonts w:cs="Arial"/>
          <w:lang w:val="en-US"/>
        </w:rPr>
        <w:t xml:space="preserve">(rightshore model, standardization of operations, increased automation) </w:t>
      </w:r>
      <w:r w:rsidR="00D778A5" w:rsidRPr="00925134">
        <w:rPr>
          <w:rFonts w:cs="Arial"/>
          <w:lang w:val="en-US"/>
        </w:rPr>
        <w:t xml:space="preserve">while rapidly expanding </w:t>
      </w:r>
      <w:r w:rsidR="00BA1BDA" w:rsidRPr="00925134">
        <w:rPr>
          <w:rFonts w:cs="Arial"/>
          <w:lang w:val="en-US"/>
        </w:rPr>
        <w:t xml:space="preserve">its </w:t>
      </w:r>
      <w:r w:rsidR="00D778A5" w:rsidRPr="00925134">
        <w:rPr>
          <w:rFonts w:cs="Arial"/>
          <w:lang w:val="en-US"/>
        </w:rPr>
        <w:t>innovation</w:t>
      </w:r>
      <w:r w:rsidRPr="00925134">
        <w:rPr>
          <w:rFonts w:cs="Arial"/>
          <w:lang w:val="en-US"/>
        </w:rPr>
        <w:t xml:space="preserve"> businesses. Geographically, this improvement </w:t>
      </w:r>
      <w:r w:rsidR="00645531" w:rsidRPr="00925134">
        <w:rPr>
          <w:rFonts w:cs="Arial"/>
          <w:lang w:val="en-US"/>
        </w:rPr>
        <w:t>is</w:t>
      </w:r>
      <w:r w:rsidRPr="00925134">
        <w:rPr>
          <w:rFonts w:cs="Arial"/>
          <w:lang w:val="en-US"/>
        </w:rPr>
        <w:t xml:space="preserve"> driven</w:t>
      </w:r>
      <w:r w:rsidR="00645531" w:rsidRPr="00925134">
        <w:rPr>
          <w:rFonts w:cs="Arial"/>
          <w:lang w:val="en-US"/>
        </w:rPr>
        <w:t xml:space="preserve"> primarily</w:t>
      </w:r>
      <w:r w:rsidRPr="00925134">
        <w:rPr>
          <w:rFonts w:cs="Arial"/>
          <w:lang w:val="en-US"/>
        </w:rPr>
        <w:t xml:space="preserve"> by higher profitability in Europe</w:t>
      </w:r>
      <w:r w:rsidR="003352FA" w:rsidRPr="00925134">
        <w:rPr>
          <w:rFonts w:cs="Arial"/>
          <w:lang w:val="en-US"/>
        </w:rPr>
        <w:t>,</w:t>
      </w:r>
      <w:r w:rsidRPr="00925134">
        <w:rPr>
          <w:rFonts w:cs="Arial"/>
          <w:lang w:val="en-US"/>
        </w:rPr>
        <w:t xml:space="preserve"> </w:t>
      </w:r>
      <w:r w:rsidR="00BA1BDA" w:rsidRPr="00925134">
        <w:rPr>
          <w:rFonts w:cs="Arial"/>
          <w:lang w:val="en-US"/>
        </w:rPr>
        <w:t>combin</w:t>
      </w:r>
      <w:r w:rsidR="003352FA" w:rsidRPr="00925134">
        <w:rPr>
          <w:rFonts w:cs="Arial"/>
          <w:lang w:val="en-US"/>
        </w:rPr>
        <w:t>ing</w:t>
      </w:r>
      <w:r w:rsidR="00BA1BDA" w:rsidRPr="00925134">
        <w:rPr>
          <w:rFonts w:cs="Arial"/>
          <w:lang w:val="en-US"/>
        </w:rPr>
        <w:t xml:space="preserve"> </w:t>
      </w:r>
      <w:r w:rsidRPr="00925134">
        <w:rPr>
          <w:rFonts w:cs="Arial"/>
          <w:lang w:val="en-US"/>
        </w:rPr>
        <w:t xml:space="preserve">remarkable </w:t>
      </w:r>
      <w:r w:rsidR="00920F59" w:rsidRPr="00925134">
        <w:rPr>
          <w:rFonts w:cs="Arial"/>
          <w:lang w:val="en-US"/>
        </w:rPr>
        <w:t>Digital</w:t>
      </w:r>
      <w:r w:rsidRPr="00925134">
        <w:rPr>
          <w:rFonts w:cs="Arial"/>
          <w:lang w:val="en-US"/>
        </w:rPr>
        <w:t xml:space="preserve"> and </w:t>
      </w:r>
      <w:r w:rsidR="003E1B05" w:rsidRPr="00925134">
        <w:rPr>
          <w:rFonts w:cs="Arial"/>
          <w:lang w:val="en-US"/>
        </w:rPr>
        <w:t>Cloud</w:t>
      </w:r>
      <w:r w:rsidRPr="00925134">
        <w:rPr>
          <w:rFonts w:cs="Arial"/>
          <w:lang w:val="en-US"/>
        </w:rPr>
        <w:t xml:space="preserve"> growth and strong</w:t>
      </w:r>
      <w:r w:rsidR="003E1B05" w:rsidRPr="00925134">
        <w:rPr>
          <w:rFonts w:cs="Arial"/>
          <w:lang w:val="en-US"/>
        </w:rPr>
        <w:t xml:space="preserve"> </w:t>
      </w:r>
      <w:r w:rsidR="00447828" w:rsidRPr="00925134">
        <w:rPr>
          <w:rFonts w:cs="Arial"/>
          <w:lang w:val="en-US"/>
        </w:rPr>
        <w:t>offshoring demand</w:t>
      </w:r>
      <w:r w:rsidR="00920F59" w:rsidRPr="00925134">
        <w:rPr>
          <w:rFonts w:cs="Arial"/>
          <w:lang w:val="en-US"/>
        </w:rPr>
        <w:t>.</w:t>
      </w:r>
    </w:p>
    <w:p w14:paraId="77EA753B" w14:textId="77777777" w:rsidR="00C91770" w:rsidRPr="00925134" w:rsidRDefault="00B70CBE" w:rsidP="00C91770">
      <w:pPr>
        <w:spacing w:before="120" w:after="120" w:line="288" w:lineRule="auto"/>
        <w:rPr>
          <w:rFonts w:cs="Arial"/>
          <w:lang w:val="en-US"/>
        </w:rPr>
      </w:pPr>
      <w:bookmarkStart w:id="3" w:name="_Hlk504930151"/>
      <w:bookmarkEnd w:id="2"/>
      <w:r w:rsidRPr="00925134">
        <w:rPr>
          <w:rFonts w:cs="Arial"/>
          <w:lang w:val="en-US"/>
        </w:rPr>
        <w:t>Other operating income and expenses total €310 million, compared with €292 million in 2016. Higher restructuring costs of €131 million are offset by low</w:t>
      </w:r>
      <w:r w:rsidR="0089452A" w:rsidRPr="00925134">
        <w:rPr>
          <w:rFonts w:cs="Arial"/>
          <w:lang w:val="en-US"/>
        </w:rPr>
        <w:t>er</w:t>
      </w:r>
      <w:r w:rsidRPr="00925134">
        <w:rPr>
          <w:rFonts w:cs="Arial"/>
          <w:lang w:val="en-US"/>
        </w:rPr>
        <w:t xml:space="preserve"> acquisition and integration costs of €38 million</w:t>
      </w:r>
      <w:r w:rsidR="002E26E7" w:rsidRPr="00925134">
        <w:rPr>
          <w:rFonts w:cs="Arial"/>
          <w:lang w:val="en-US"/>
        </w:rPr>
        <w:t xml:space="preserve">. </w:t>
      </w:r>
    </w:p>
    <w:p w14:paraId="78A042FA" w14:textId="6C87B903" w:rsidR="00B70CBE" w:rsidRPr="00925134" w:rsidRDefault="00D778A5" w:rsidP="00B70CBE">
      <w:pPr>
        <w:spacing w:before="120" w:after="120" w:line="288" w:lineRule="auto"/>
        <w:rPr>
          <w:rFonts w:cs="Arial"/>
          <w:lang w:val="en-US"/>
        </w:rPr>
      </w:pPr>
      <w:bookmarkStart w:id="4" w:name="_Hlk504936249"/>
      <w:bookmarkEnd w:id="3"/>
      <w:r w:rsidRPr="00925134">
        <w:rPr>
          <w:rFonts w:cs="Arial"/>
          <w:b/>
          <w:lang w:val="en-US"/>
        </w:rPr>
        <w:t>O</w:t>
      </w:r>
      <w:r w:rsidR="00B70CBE" w:rsidRPr="00925134">
        <w:rPr>
          <w:rFonts w:cs="Arial"/>
          <w:b/>
          <w:lang w:val="en-US"/>
        </w:rPr>
        <w:t>perating profit</w:t>
      </w:r>
      <w:r w:rsidR="00B70CBE" w:rsidRPr="00925134">
        <w:rPr>
          <w:rFonts w:cs="Arial"/>
          <w:lang w:val="en-US"/>
        </w:rPr>
        <w:t xml:space="preserve"> </w:t>
      </w:r>
      <w:r w:rsidRPr="00925134">
        <w:rPr>
          <w:rFonts w:cs="Arial"/>
          <w:lang w:val="en-US"/>
        </w:rPr>
        <w:t>totaled</w:t>
      </w:r>
      <w:r w:rsidR="00645531" w:rsidRPr="00925134">
        <w:rPr>
          <w:rFonts w:cs="Arial"/>
          <w:lang w:val="en-US"/>
        </w:rPr>
        <w:t xml:space="preserve"> €1,183 million, or </w:t>
      </w:r>
      <w:r w:rsidR="00B70CBE" w:rsidRPr="00925134">
        <w:rPr>
          <w:rFonts w:cs="Arial"/>
          <w:lang w:val="en-US"/>
        </w:rPr>
        <w:t xml:space="preserve">9.2% of revenues, compared with </w:t>
      </w:r>
      <w:r w:rsidR="00645531" w:rsidRPr="00925134">
        <w:rPr>
          <w:rFonts w:cs="Arial"/>
          <w:lang w:val="en-US"/>
        </w:rPr>
        <w:t>€1,148 million in 2016</w:t>
      </w:r>
      <w:r w:rsidR="00B70CBE" w:rsidRPr="00925134">
        <w:rPr>
          <w:rFonts w:cs="Arial"/>
          <w:lang w:val="en-US"/>
        </w:rPr>
        <w:t>.</w:t>
      </w:r>
    </w:p>
    <w:p w14:paraId="37367C6A" w14:textId="18CEE3F1" w:rsidR="00B70CBE" w:rsidRPr="00925134" w:rsidRDefault="00D778A5" w:rsidP="00B70CBE">
      <w:pPr>
        <w:spacing w:before="120" w:after="120" w:line="288" w:lineRule="auto"/>
        <w:rPr>
          <w:rFonts w:cs="Arial"/>
          <w:lang w:val="en-US"/>
        </w:rPr>
      </w:pPr>
      <w:r w:rsidRPr="00925134">
        <w:rPr>
          <w:rFonts w:cs="Arial"/>
          <w:b/>
          <w:lang w:val="en-US"/>
        </w:rPr>
        <w:t>F</w:t>
      </w:r>
      <w:r w:rsidR="00B70CBE" w:rsidRPr="00925134">
        <w:rPr>
          <w:rFonts w:cs="Arial"/>
          <w:b/>
          <w:lang w:val="en-US"/>
        </w:rPr>
        <w:t>inancial expense</w:t>
      </w:r>
      <w:r w:rsidR="00746EAB" w:rsidRPr="00925134">
        <w:rPr>
          <w:rFonts w:cs="Arial"/>
          <w:b/>
          <w:lang w:val="en-US"/>
        </w:rPr>
        <w:t>s</w:t>
      </w:r>
      <w:r w:rsidR="00B70CBE" w:rsidRPr="00925134">
        <w:rPr>
          <w:rFonts w:cs="Arial"/>
          <w:lang w:val="en-US"/>
        </w:rPr>
        <w:t xml:space="preserve"> </w:t>
      </w:r>
      <w:r w:rsidR="00746EAB" w:rsidRPr="00925134">
        <w:rPr>
          <w:rFonts w:cs="Arial"/>
          <w:lang w:val="en-US"/>
        </w:rPr>
        <w:t>represent</w:t>
      </w:r>
      <w:r w:rsidRPr="00925134">
        <w:rPr>
          <w:rFonts w:cs="Arial"/>
          <w:lang w:val="en-US"/>
        </w:rPr>
        <w:t xml:space="preserve"> a net charge of </w:t>
      </w:r>
      <w:r w:rsidR="00B70CBE" w:rsidRPr="00925134">
        <w:rPr>
          <w:rFonts w:cs="Arial"/>
          <w:lang w:val="en-US"/>
        </w:rPr>
        <w:t>€</w:t>
      </w:r>
      <w:r w:rsidR="00645531" w:rsidRPr="00925134">
        <w:rPr>
          <w:rFonts w:cs="Arial"/>
          <w:lang w:val="en-US"/>
        </w:rPr>
        <w:t>72</w:t>
      </w:r>
      <w:r w:rsidR="00B70CBE" w:rsidRPr="00925134">
        <w:rPr>
          <w:rFonts w:cs="Arial"/>
          <w:lang w:val="en-US"/>
        </w:rPr>
        <w:t xml:space="preserve"> million, </w:t>
      </w:r>
      <w:r w:rsidR="00645531" w:rsidRPr="00925134">
        <w:rPr>
          <w:rFonts w:cs="Arial"/>
          <w:lang w:val="en-US"/>
        </w:rPr>
        <w:t xml:space="preserve">down </w:t>
      </w:r>
      <w:r w:rsidRPr="00925134">
        <w:rPr>
          <w:rFonts w:cs="Arial"/>
          <w:lang w:val="en-US"/>
        </w:rPr>
        <w:t xml:space="preserve">from </w:t>
      </w:r>
      <w:r w:rsidR="00645531" w:rsidRPr="00925134">
        <w:rPr>
          <w:rFonts w:cs="Arial"/>
          <w:lang w:val="en-US"/>
        </w:rPr>
        <w:t>€146</w:t>
      </w:r>
      <w:r w:rsidR="00B70CBE" w:rsidRPr="00925134">
        <w:rPr>
          <w:rFonts w:cs="Arial"/>
          <w:lang w:val="en-US"/>
        </w:rPr>
        <w:t xml:space="preserve"> million in 201</w:t>
      </w:r>
      <w:r w:rsidR="00645531" w:rsidRPr="00925134">
        <w:rPr>
          <w:rFonts w:cs="Arial"/>
          <w:lang w:val="en-US"/>
        </w:rPr>
        <w:t>6</w:t>
      </w:r>
      <w:r w:rsidR="00175C5A" w:rsidRPr="00925134">
        <w:rPr>
          <w:rFonts w:cs="Arial"/>
          <w:lang w:val="en-US"/>
        </w:rPr>
        <w:t xml:space="preserve">. This follows </w:t>
      </w:r>
      <w:r w:rsidR="00645531" w:rsidRPr="00925134">
        <w:rPr>
          <w:rFonts w:cs="Arial"/>
          <w:lang w:val="en-US"/>
        </w:rPr>
        <w:t xml:space="preserve">a reduction in interest </w:t>
      </w:r>
      <w:r w:rsidRPr="00925134">
        <w:rPr>
          <w:rFonts w:cs="Arial"/>
          <w:lang w:val="en-US"/>
        </w:rPr>
        <w:t xml:space="preserve">charge </w:t>
      </w:r>
      <w:r w:rsidR="00645531" w:rsidRPr="00925134">
        <w:rPr>
          <w:rFonts w:cs="Arial"/>
          <w:lang w:val="en-US"/>
        </w:rPr>
        <w:t xml:space="preserve">on borrowings </w:t>
      </w:r>
      <w:r w:rsidRPr="00925134">
        <w:rPr>
          <w:rFonts w:cs="Arial"/>
          <w:lang w:val="en-US"/>
        </w:rPr>
        <w:t xml:space="preserve">following </w:t>
      </w:r>
      <w:r w:rsidR="00645531" w:rsidRPr="00925134">
        <w:rPr>
          <w:rFonts w:cs="Arial"/>
          <w:lang w:val="en-US"/>
        </w:rPr>
        <w:t xml:space="preserve">the early </w:t>
      </w:r>
      <w:r w:rsidR="003518C8" w:rsidRPr="00925134">
        <w:rPr>
          <w:rFonts w:cs="Arial"/>
          <w:lang w:val="en-US"/>
        </w:rPr>
        <w:t>redemption</w:t>
      </w:r>
      <w:r w:rsidR="000252F9" w:rsidRPr="00925134">
        <w:rPr>
          <w:rFonts w:cs="Arial"/>
          <w:lang w:val="en-US"/>
        </w:rPr>
        <w:t xml:space="preserve"> </w:t>
      </w:r>
      <w:r w:rsidR="00645531" w:rsidRPr="00925134">
        <w:rPr>
          <w:rFonts w:cs="Arial"/>
          <w:lang w:val="en-US"/>
        </w:rPr>
        <w:t xml:space="preserve">of the ORNANE bonds at the end of 2016 and the early unwinding </w:t>
      </w:r>
      <w:r w:rsidR="004B1C34" w:rsidRPr="00925134">
        <w:rPr>
          <w:rFonts w:cs="Arial"/>
          <w:lang w:val="en-US"/>
        </w:rPr>
        <w:t>of USD debt hedging instruments in 2017</w:t>
      </w:r>
      <w:r w:rsidR="00B70CBE" w:rsidRPr="00925134">
        <w:rPr>
          <w:rFonts w:cs="Arial"/>
          <w:lang w:val="en-US"/>
        </w:rPr>
        <w:t>.</w:t>
      </w:r>
    </w:p>
    <w:p w14:paraId="404FB145" w14:textId="32397758" w:rsidR="00B70CBE" w:rsidRPr="00925134" w:rsidRDefault="00B70CBE" w:rsidP="00343621">
      <w:pPr>
        <w:spacing w:before="120" w:after="120" w:line="288" w:lineRule="auto"/>
        <w:rPr>
          <w:rFonts w:cs="Arial"/>
          <w:lang w:val="en-US"/>
        </w:rPr>
      </w:pPr>
      <w:bookmarkStart w:id="5" w:name="_Hlk505868420"/>
      <w:r w:rsidRPr="00925134">
        <w:rPr>
          <w:rFonts w:cs="Arial"/>
          <w:lang w:val="en-US"/>
        </w:rPr>
        <w:t>The Group recorded a tax expense of €</w:t>
      </w:r>
      <w:r w:rsidR="00175C5A" w:rsidRPr="00925134">
        <w:rPr>
          <w:rFonts w:cs="Arial"/>
          <w:lang w:val="en-US"/>
        </w:rPr>
        <w:t>303</w:t>
      </w:r>
      <w:r w:rsidRPr="00925134">
        <w:rPr>
          <w:rFonts w:cs="Arial"/>
          <w:lang w:val="en-US"/>
        </w:rPr>
        <w:t xml:space="preserve"> million</w:t>
      </w:r>
      <w:r w:rsidR="0089452A" w:rsidRPr="00925134">
        <w:rPr>
          <w:rFonts w:cs="Arial"/>
          <w:lang w:val="en-US"/>
        </w:rPr>
        <w:t xml:space="preserve"> in 2017</w:t>
      </w:r>
      <w:r w:rsidR="00343621" w:rsidRPr="00925134">
        <w:rPr>
          <w:rFonts w:cs="Arial"/>
          <w:lang w:val="en-US"/>
        </w:rPr>
        <w:t xml:space="preserve">, representing </w:t>
      </w:r>
      <w:r w:rsidR="00175C5A" w:rsidRPr="00925134">
        <w:rPr>
          <w:rFonts w:cs="Arial"/>
          <w:lang w:val="en-US"/>
        </w:rPr>
        <w:t>an effective tax rate of 27.3%</w:t>
      </w:r>
      <w:r w:rsidR="00343621" w:rsidRPr="00925134">
        <w:rPr>
          <w:rFonts w:cs="Arial"/>
          <w:lang w:val="en-US"/>
        </w:rPr>
        <w:t>.</w:t>
      </w:r>
      <w:r w:rsidR="0077767C" w:rsidRPr="00925134">
        <w:rPr>
          <w:rFonts w:cs="Arial"/>
          <w:lang w:val="en-US"/>
        </w:rPr>
        <w:t xml:space="preserve"> </w:t>
      </w:r>
      <w:r w:rsidR="00343621" w:rsidRPr="00925134">
        <w:rPr>
          <w:rFonts w:cs="Arial"/>
          <w:lang w:val="en-US"/>
        </w:rPr>
        <w:t>This amount includes the net impact of changes in deferred tax assets in the United States</w:t>
      </w:r>
      <w:r w:rsidR="00343621" w:rsidRPr="00925134">
        <w:rPr>
          <w:rStyle w:val="Fotnotereferanse"/>
          <w:rFonts w:cs="Arial"/>
          <w:lang w:val="en-US"/>
        </w:rPr>
        <w:footnoteReference w:id="5"/>
      </w:r>
      <w:r w:rsidR="00343621" w:rsidRPr="00925134">
        <w:rPr>
          <w:rFonts w:cs="Arial"/>
          <w:lang w:val="en-US"/>
        </w:rPr>
        <w:t xml:space="preserve">, notably resulting from the </w:t>
      </w:r>
      <w:r w:rsidR="00EF2975" w:rsidRPr="00925134">
        <w:rPr>
          <w:rFonts w:cs="Arial"/>
          <w:lang w:val="en-US"/>
        </w:rPr>
        <w:t xml:space="preserve">changes to </w:t>
      </w:r>
      <w:r w:rsidR="00343621" w:rsidRPr="00925134">
        <w:rPr>
          <w:rFonts w:cs="Arial"/>
          <w:lang w:val="en-US"/>
        </w:rPr>
        <w:t>tax rates under the U.S. tax reform.</w:t>
      </w:r>
      <w:r w:rsidR="0089452A" w:rsidRPr="00925134">
        <w:rPr>
          <w:rFonts w:cs="Arial"/>
          <w:lang w:val="en-US"/>
        </w:rPr>
        <w:t xml:space="preserve"> </w:t>
      </w:r>
      <w:bookmarkEnd w:id="5"/>
      <w:r w:rsidR="0089452A" w:rsidRPr="00925134">
        <w:rPr>
          <w:rFonts w:cs="Arial"/>
          <w:lang w:val="en-US"/>
        </w:rPr>
        <w:t>In 2016, t</w:t>
      </w:r>
      <w:r w:rsidR="00175C5A" w:rsidRPr="00925134">
        <w:rPr>
          <w:rFonts w:cs="Arial"/>
          <w:lang w:val="en-US"/>
        </w:rPr>
        <w:t xml:space="preserve">he tax expense was €94 million, </w:t>
      </w:r>
      <w:r w:rsidR="00263BCB" w:rsidRPr="00925134">
        <w:rPr>
          <w:rFonts w:cs="Arial"/>
          <w:lang w:val="en-US"/>
        </w:rPr>
        <w:t>following</w:t>
      </w:r>
      <w:r w:rsidR="00175C5A" w:rsidRPr="00925134">
        <w:rPr>
          <w:rFonts w:cs="Arial"/>
          <w:lang w:val="en-US"/>
        </w:rPr>
        <w:t xml:space="preserve"> the recognition of </w:t>
      </w:r>
      <w:r w:rsidR="004B1C34" w:rsidRPr="00925134">
        <w:rPr>
          <w:rFonts w:cs="Arial"/>
          <w:lang w:val="en-US"/>
        </w:rPr>
        <w:t xml:space="preserve">non-cash </w:t>
      </w:r>
      <w:r w:rsidRPr="00925134">
        <w:rPr>
          <w:rFonts w:cs="Arial"/>
          <w:lang w:val="en-US"/>
        </w:rPr>
        <w:t>tax income (net) of €180 million</w:t>
      </w:r>
      <w:r w:rsidR="00175C5A" w:rsidRPr="00925134">
        <w:rPr>
          <w:rFonts w:cs="Arial"/>
          <w:lang w:val="en-US"/>
        </w:rPr>
        <w:t xml:space="preserve"> in respect of </w:t>
      </w:r>
      <w:r w:rsidRPr="00925134">
        <w:rPr>
          <w:rFonts w:cs="Arial"/>
          <w:lang w:val="en-US"/>
        </w:rPr>
        <w:t xml:space="preserve">goodwill arising </w:t>
      </w:r>
      <w:r w:rsidR="00746EAB" w:rsidRPr="00925134">
        <w:rPr>
          <w:rFonts w:cs="Arial"/>
          <w:lang w:val="en-US"/>
        </w:rPr>
        <w:t>from</w:t>
      </w:r>
      <w:r w:rsidR="00175C5A" w:rsidRPr="00925134">
        <w:rPr>
          <w:rFonts w:cs="Arial"/>
          <w:lang w:val="en-US"/>
        </w:rPr>
        <w:t xml:space="preserve"> </w:t>
      </w:r>
      <w:r w:rsidRPr="00925134">
        <w:rPr>
          <w:rFonts w:cs="Arial"/>
          <w:lang w:val="en-US"/>
        </w:rPr>
        <w:t>legal reorganizations.</w:t>
      </w:r>
    </w:p>
    <w:p w14:paraId="4C5077D6" w14:textId="79FBDB78" w:rsidR="00C91770" w:rsidRPr="00925134" w:rsidRDefault="00B70CBE" w:rsidP="00443190">
      <w:pPr>
        <w:spacing w:before="120" w:after="120" w:line="288" w:lineRule="auto"/>
        <w:rPr>
          <w:rFonts w:cs="Arial"/>
          <w:lang w:val="en-US"/>
        </w:rPr>
      </w:pPr>
      <w:r w:rsidRPr="00925134">
        <w:rPr>
          <w:rFonts w:cs="Arial"/>
          <w:b/>
          <w:lang w:val="en-US"/>
        </w:rPr>
        <w:t>Net profit (Group share)</w:t>
      </w:r>
      <w:r w:rsidRPr="00925134">
        <w:rPr>
          <w:rFonts w:cs="Arial"/>
          <w:lang w:val="en-US"/>
        </w:rPr>
        <w:t xml:space="preserve"> </w:t>
      </w:r>
      <w:r w:rsidR="00746EAB" w:rsidRPr="00925134">
        <w:rPr>
          <w:rFonts w:cs="Arial"/>
          <w:lang w:val="en-US"/>
        </w:rPr>
        <w:t>amounted to</w:t>
      </w:r>
      <w:r w:rsidRPr="00925134">
        <w:rPr>
          <w:rFonts w:cs="Arial"/>
          <w:lang w:val="en-US"/>
        </w:rPr>
        <w:t xml:space="preserve"> €</w:t>
      </w:r>
      <w:r w:rsidR="00175C5A" w:rsidRPr="00925134">
        <w:rPr>
          <w:rFonts w:cs="Arial"/>
          <w:lang w:val="en-US"/>
        </w:rPr>
        <w:t>820</w:t>
      </w:r>
      <w:r w:rsidRPr="00925134">
        <w:rPr>
          <w:rFonts w:cs="Arial"/>
          <w:lang w:val="en-US"/>
        </w:rPr>
        <w:t xml:space="preserve"> million for 201</w:t>
      </w:r>
      <w:r w:rsidR="00175C5A" w:rsidRPr="00925134">
        <w:rPr>
          <w:rFonts w:cs="Arial"/>
          <w:lang w:val="en-US"/>
        </w:rPr>
        <w:t>7</w:t>
      </w:r>
      <w:r w:rsidRPr="00925134">
        <w:rPr>
          <w:rFonts w:cs="Arial"/>
          <w:lang w:val="en-US"/>
        </w:rPr>
        <w:t>, compared with €</w:t>
      </w:r>
      <w:r w:rsidR="00175C5A" w:rsidRPr="00925134">
        <w:rPr>
          <w:rFonts w:cs="Arial"/>
          <w:lang w:val="en-US"/>
        </w:rPr>
        <w:t>921</w:t>
      </w:r>
      <w:r w:rsidRPr="00925134">
        <w:rPr>
          <w:rFonts w:cs="Arial"/>
          <w:lang w:val="en-US"/>
        </w:rPr>
        <w:t xml:space="preserve"> million for 201</w:t>
      </w:r>
      <w:r w:rsidR="00175C5A" w:rsidRPr="00925134">
        <w:rPr>
          <w:rFonts w:cs="Arial"/>
          <w:lang w:val="en-US"/>
        </w:rPr>
        <w:t xml:space="preserve">6. </w:t>
      </w:r>
      <w:r w:rsidR="00175C5A" w:rsidRPr="00925134">
        <w:rPr>
          <w:rFonts w:cs="Arial"/>
          <w:b/>
          <w:lang w:val="en-US"/>
        </w:rPr>
        <w:t>B</w:t>
      </w:r>
      <w:r w:rsidRPr="00925134">
        <w:rPr>
          <w:rFonts w:cs="Arial"/>
          <w:b/>
          <w:lang w:val="en-US"/>
        </w:rPr>
        <w:t>asic EPS</w:t>
      </w:r>
      <w:r w:rsidRPr="00925134">
        <w:rPr>
          <w:rFonts w:cs="Arial"/>
          <w:lang w:val="en-US"/>
        </w:rPr>
        <w:t xml:space="preserve"> (earnings per share) is €</w:t>
      </w:r>
      <w:r w:rsidR="00175C5A" w:rsidRPr="00925134">
        <w:rPr>
          <w:rFonts w:cs="Arial"/>
          <w:lang w:val="en-US"/>
        </w:rPr>
        <w:t xml:space="preserve">4.88 and </w:t>
      </w:r>
      <w:r w:rsidR="00CA2585" w:rsidRPr="00925134">
        <w:rPr>
          <w:rFonts w:cs="Arial"/>
          <w:b/>
          <w:lang w:val="en-US"/>
        </w:rPr>
        <w:t xml:space="preserve">Normalized </w:t>
      </w:r>
      <w:r w:rsidRPr="00925134">
        <w:rPr>
          <w:rFonts w:cs="Arial"/>
          <w:b/>
          <w:lang w:val="en-US"/>
        </w:rPr>
        <w:t>EPS</w:t>
      </w:r>
      <w:r w:rsidR="00CA2585" w:rsidRPr="00925134">
        <w:rPr>
          <w:rFonts w:cs="Arial"/>
          <w:b/>
          <w:vertAlign w:val="superscript"/>
          <w:lang w:val="en-US"/>
        </w:rPr>
        <w:t>*</w:t>
      </w:r>
      <w:r w:rsidR="00175C5A" w:rsidRPr="00925134">
        <w:rPr>
          <w:rFonts w:cs="Arial"/>
          <w:lang w:val="en-US"/>
        </w:rPr>
        <w:t xml:space="preserve"> is €6.22,</w:t>
      </w:r>
      <w:r w:rsidR="00263BCB" w:rsidRPr="00925134">
        <w:rPr>
          <w:rFonts w:cs="Arial"/>
          <w:lang w:val="en-US"/>
        </w:rPr>
        <w:t xml:space="preserve"> representing an increase (excluding one-off tax income) of</w:t>
      </w:r>
      <w:r w:rsidRPr="00925134">
        <w:rPr>
          <w:rFonts w:cs="Arial"/>
          <w:lang w:val="en-US"/>
        </w:rPr>
        <w:t xml:space="preserve"> 1</w:t>
      </w:r>
      <w:r w:rsidR="00175C5A" w:rsidRPr="00925134">
        <w:rPr>
          <w:rFonts w:cs="Arial"/>
          <w:lang w:val="en-US"/>
        </w:rPr>
        <w:t>1</w:t>
      </w:r>
      <w:r w:rsidRPr="00925134">
        <w:rPr>
          <w:rFonts w:cs="Arial"/>
          <w:lang w:val="en-US"/>
        </w:rPr>
        <w:t>% year-on-year</w:t>
      </w:r>
      <w:bookmarkStart w:id="6" w:name="_Hlk504937186"/>
      <w:bookmarkEnd w:id="4"/>
      <w:r w:rsidR="007B32D6" w:rsidRPr="00925134">
        <w:rPr>
          <w:rFonts w:cs="Arial"/>
          <w:lang w:val="en-US"/>
        </w:rPr>
        <w:t>.</w:t>
      </w:r>
    </w:p>
    <w:bookmarkEnd w:id="6"/>
    <w:p w14:paraId="4612296E" w14:textId="7952A9DD" w:rsidR="00263BCB" w:rsidRPr="00925134" w:rsidRDefault="003352FA" w:rsidP="00263BCB">
      <w:pPr>
        <w:spacing w:before="120" w:after="120" w:line="288" w:lineRule="auto"/>
        <w:rPr>
          <w:rFonts w:cs="Arial"/>
          <w:lang w:val="en-US"/>
        </w:rPr>
      </w:pPr>
      <w:r w:rsidRPr="00925134">
        <w:rPr>
          <w:rFonts w:cs="Arial"/>
          <w:b/>
          <w:lang w:val="en-US"/>
        </w:rPr>
        <w:t>O</w:t>
      </w:r>
      <w:r w:rsidR="00263BCB" w:rsidRPr="00925134">
        <w:rPr>
          <w:rFonts w:cs="Arial"/>
          <w:b/>
          <w:lang w:val="en-US"/>
        </w:rPr>
        <w:t>rganic free cash flow</w:t>
      </w:r>
      <w:r w:rsidR="00263BCB" w:rsidRPr="00925134">
        <w:rPr>
          <w:rFonts w:cs="Arial"/>
          <w:lang w:val="en-US"/>
        </w:rPr>
        <w:t xml:space="preserve">* </w:t>
      </w:r>
      <w:r w:rsidR="00746EAB" w:rsidRPr="00925134">
        <w:rPr>
          <w:rFonts w:cs="Arial"/>
          <w:lang w:val="en-US"/>
        </w:rPr>
        <w:t>reached</w:t>
      </w:r>
      <w:r w:rsidRPr="00925134">
        <w:rPr>
          <w:rFonts w:cs="Arial"/>
          <w:lang w:val="en-US"/>
        </w:rPr>
        <w:t xml:space="preserve"> </w:t>
      </w:r>
      <w:r w:rsidR="00263BCB" w:rsidRPr="00925134">
        <w:rPr>
          <w:rFonts w:cs="Arial"/>
          <w:lang w:val="en-US"/>
        </w:rPr>
        <w:t>€1,080 million, exceeding the €950 million</w:t>
      </w:r>
      <w:r w:rsidR="000F3D27" w:rsidRPr="00925134">
        <w:rPr>
          <w:rFonts w:cs="Arial"/>
          <w:lang w:val="en-US"/>
        </w:rPr>
        <w:t xml:space="preserve"> </w:t>
      </w:r>
      <w:r w:rsidR="003B478C" w:rsidRPr="00925134">
        <w:rPr>
          <w:rFonts w:cs="Arial"/>
          <w:lang w:val="en-US"/>
        </w:rPr>
        <w:t>objective</w:t>
      </w:r>
      <w:r w:rsidR="00263BCB" w:rsidRPr="00925134">
        <w:rPr>
          <w:rFonts w:cs="Arial"/>
          <w:lang w:val="en-US"/>
        </w:rPr>
        <w:t xml:space="preserve"> set at the beginning of the year. In 2017, Capgemini paid a dividend of €262 million, devoted €176 million to the multi-year share buyback program and spent </w:t>
      </w:r>
      <w:r w:rsidR="00746EAB" w:rsidRPr="00925134">
        <w:rPr>
          <w:rFonts w:cs="Arial"/>
          <w:lang w:val="en-US"/>
        </w:rPr>
        <w:t xml:space="preserve">a net amount of </w:t>
      </w:r>
      <w:r w:rsidR="00263BCB" w:rsidRPr="00925134">
        <w:rPr>
          <w:rFonts w:cs="Arial"/>
          <w:lang w:val="en-US"/>
        </w:rPr>
        <w:t>€</w:t>
      </w:r>
      <w:r w:rsidR="00A95D0A" w:rsidRPr="00925134">
        <w:rPr>
          <w:rFonts w:cs="Arial"/>
          <w:lang w:val="en-US"/>
        </w:rPr>
        <w:t>238</w:t>
      </w:r>
      <w:r w:rsidR="00263BCB" w:rsidRPr="00925134">
        <w:rPr>
          <w:rFonts w:cs="Arial"/>
          <w:lang w:val="en-US"/>
        </w:rPr>
        <w:t xml:space="preserve"> million</w:t>
      </w:r>
      <w:r w:rsidR="00746EAB" w:rsidRPr="00925134">
        <w:rPr>
          <w:rFonts w:cs="Arial"/>
          <w:lang w:val="en-US"/>
        </w:rPr>
        <w:t xml:space="preserve"> </w:t>
      </w:r>
      <w:r w:rsidR="00263BCB" w:rsidRPr="00925134">
        <w:rPr>
          <w:rFonts w:cs="Arial"/>
          <w:lang w:val="en-US"/>
        </w:rPr>
        <w:t>on acquisitions.</w:t>
      </w:r>
    </w:p>
    <w:p w14:paraId="41CC2EE3" w14:textId="76B2C955" w:rsidR="00263BCB" w:rsidRPr="00925134" w:rsidRDefault="00263BCB" w:rsidP="00263BCB">
      <w:pPr>
        <w:spacing w:before="120" w:after="120" w:line="288" w:lineRule="auto"/>
        <w:rPr>
          <w:lang w:val="en-US"/>
        </w:rPr>
      </w:pPr>
      <w:r w:rsidRPr="00925134">
        <w:rPr>
          <w:rFonts w:cs="Arial"/>
          <w:lang w:val="en-US"/>
        </w:rPr>
        <w:t>The Board of Directors decided to recommend the payment of a dividend of €1.</w:t>
      </w:r>
      <w:r w:rsidR="008305DD">
        <w:rPr>
          <w:rFonts w:cs="Arial"/>
          <w:lang w:val="en-US"/>
        </w:rPr>
        <w:t>70</w:t>
      </w:r>
      <w:r w:rsidRPr="00925134">
        <w:rPr>
          <w:rFonts w:cs="Arial"/>
          <w:lang w:val="en-US"/>
        </w:rPr>
        <w:t xml:space="preserve"> per share at the next Shareholder</w:t>
      </w:r>
      <w:r w:rsidR="008305DD">
        <w:rPr>
          <w:rFonts w:cs="Arial"/>
          <w:lang w:val="en-US"/>
        </w:rPr>
        <w:t>s’ Meeting on May 23, 2018, up 15</w:t>
      </w:r>
      <w:r w:rsidRPr="00925134">
        <w:rPr>
          <w:rFonts w:cs="Arial"/>
          <w:lang w:val="en-US"/>
        </w:rPr>
        <w:t xml:space="preserve"> cents year-on-year. The </w:t>
      </w:r>
      <w:r w:rsidR="008305DD">
        <w:rPr>
          <w:rFonts w:cs="Arial"/>
          <w:lang w:val="en-US"/>
        </w:rPr>
        <w:t>corresponding payout ratio is 35</w:t>
      </w:r>
      <w:r w:rsidRPr="00925134">
        <w:rPr>
          <w:rFonts w:cs="Arial"/>
          <w:lang w:val="en-US"/>
        </w:rPr>
        <w:t>% of net profit (Group share), in line with the Group’s distribution policy</w:t>
      </w:r>
      <w:r w:rsidR="00501DF4" w:rsidRPr="00925134">
        <w:rPr>
          <w:rFonts w:cs="Arial"/>
          <w:lang w:val="en-US"/>
        </w:rPr>
        <w:t>.</w:t>
      </w:r>
    </w:p>
    <w:p w14:paraId="28CF4C38" w14:textId="77777777" w:rsidR="00C91770" w:rsidRPr="00925134" w:rsidRDefault="00C91770" w:rsidP="00925134">
      <w:pPr>
        <w:pStyle w:val="Brdtekst"/>
        <w:rPr>
          <w:lang w:val="en-US"/>
        </w:rPr>
      </w:pPr>
    </w:p>
    <w:p w14:paraId="02E69BAB" w14:textId="77777777" w:rsidR="00351724" w:rsidRPr="00925134" w:rsidRDefault="00351724" w:rsidP="00351724">
      <w:pPr>
        <w:pStyle w:val="Overskrift1"/>
        <w:rPr>
          <w:lang w:val="en-US"/>
        </w:rPr>
      </w:pPr>
      <w:bookmarkStart w:id="7" w:name="_Hlk506226775"/>
      <w:r w:rsidRPr="00925134">
        <w:rPr>
          <w:lang w:val="en-US"/>
        </w:rPr>
        <w:lastRenderedPageBreak/>
        <w:t>APPLICATION OF IFRS 15 FROM JANUARY 1, 2018</w:t>
      </w:r>
    </w:p>
    <w:p w14:paraId="77B26FCE" w14:textId="77777777" w:rsidR="00343621" w:rsidRPr="00925134" w:rsidRDefault="00746EAB" w:rsidP="00351724">
      <w:pPr>
        <w:spacing w:before="120" w:after="120" w:line="288" w:lineRule="auto"/>
        <w:rPr>
          <w:rFonts w:cs="Arial"/>
          <w:lang w:val="en-US"/>
        </w:rPr>
      </w:pPr>
      <w:bookmarkStart w:id="8" w:name="_Hlk505868459"/>
      <w:r w:rsidRPr="00925134">
        <w:rPr>
          <w:rFonts w:cs="Arial"/>
          <w:lang w:val="en-US"/>
        </w:rPr>
        <w:t>T</w:t>
      </w:r>
      <w:r w:rsidR="006D7664" w:rsidRPr="00925134">
        <w:rPr>
          <w:rFonts w:cs="Arial"/>
          <w:lang w:val="en-US"/>
        </w:rPr>
        <w:t xml:space="preserve">he application of </w:t>
      </w:r>
      <w:r w:rsidR="00351724" w:rsidRPr="00925134">
        <w:rPr>
          <w:rFonts w:cs="Arial"/>
          <w:lang w:val="en-US"/>
        </w:rPr>
        <w:t xml:space="preserve">IFRS 15 </w:t>
      </w:r>
      <w:r w:rsidRPr="00925134">
        <w:rPr>
          <w:rFonts w:cs="Arial"/>
          <w:lang w:val="en-US"/>
        </w:rPr>
        <w:t>on</w:t>
      </w:r>
      <w:r w:rsidR="00AD298C" w:rsidRPr="00925134">
        <w:rPr>
          <w:rFonts w:cs="Arial"/>
          <w:lang w:val="en-US"/>
        </w:rPr>
        <w:t xml:space="preserve"> January 1, 2018 will primarily impact </w:t>
      </w:r>
      <w:r w:rsidR="006D7664" w:rsidRPr="00925134">
        <w:rPr>
          <w:rFonts w:cs="Arial"/>
          <w:lang w:val="en-US"/>
        </w:rPr>
        <w:t xml:space="preserve">the resale </w:t>
      </w:r>
      <w:r w:rsidR="00AD298C" w:rsidRPr="00925134">
        <w:rPr>
          <w:rFonts w:cs="Arial"/>
          <w:lang w:val="en-US"/>
        </w:rPr>
        <w:t xml:space="preserve">of </w:t>
      </w:r>
      <w:r w:rsidR="006D7664" w:rsidRPr="00925134">
        <w:rPr>
          <w:rFonts w:cs="Arial"/>
          <w:lang w:val="en-US"/>
        </w:rPr>
        <w:t>hardware, software and services</w:t>
      </w:r>
      <w:r w:rsidR="00AD298C" w:rsidRPr="00925134">
        <w:rPr>
          <w:rFonts w:cs="Arial"/>
          <w:lang w:val="en-US"/>
        </w:rPr>
        <w:t xml:space="preserve">, </w:t>
      </w:r>
      <w:r w:rsidR="006D7664" w:rsidRPr="00925134">
        <w:rPr>
          <w:rFonts w:cs="Arial"/>
          <w:lang w:val="en-US"/>
        </w:rPr>
        <w:t xml:space="preserve">that the Group may </w:t>
      </w:r>
      <w:r w:rsidR="00AD298C" w:rsidRPr="00925134">
        <w:rPr>
          <w:rFonts w:cs="Arial"/>
          <w:lang w:val="en-US"/>
        </w:rPr>
        <w:t>carry out</w:t>
      </w:r>
      <w:r w:rsidR="006D7664" w:rsidRPr="00925134">
        <w:rPr>
          <w:rFonts w:cs="Arial"/>
          <w:lang w:val="en-US"/>
        </w:rPr>
        <w:t>, particularly at the request of customers. From now on, a larger proportion of these revenues will be recorded on a net basis (i.e. revenues invoiced to clients less amounts invoiced by suppliers).</w:t>
      </w:r>
    </w:p>
    <w:p w14:paraId="10C255FC" w14:textId="26D06578" w:rsidR="00351724" w:rsidRPr="00925134" w:rsidRDefault="00343621" w:rsidP="00351724">
      <w:pPr>
        <w:spacing w:before="120" w:after="120" w:line="288" w:lineRule="auto"/>
        <w:rPr>
          <w:rFonts w:cs="Arial"/>
          <w:lang w:val="en-US"/>
        </w:rPr>
      </w:pPr>
      <w:bookmarkStart w:id="9" w:name="_Hlk505947491"/>
      <w:r w:rsidRPr="00925134">
        <w:rPr>
          <w:rFonts w:cs="Arial"/>
          <w:lang w:val="en-US"/>
        </w:rPr>
        <w:t xml:space="preserve">The assessment of the impact that application of IFRS 15 would have </w:t>
      </w:r>
      <w:r w:rsidR="00EF2975" w:rsidRPr="00925134">
        <w:rPr>
          <w:rFonts w:cs="Arial"/>
          <w:lang w:val="en-US"/>
        </w:rPr>
        <w:t xml:space="preserve">had in </w:t>
      </w:r>
      <w:r w:rsidRPr="00925134">
        <w:rPr>
          <w:rFonts w:cs="Arial"/>
          <w:lang w:val="en-US"/>
        </w:rPr>
        <w:t>2017 shows</w:t>
      </w:r>
      <w:bookmarkEnd w:id="9"/>
      <w:r w:rsidRPr="00925134">
        <w:rPr>
          <w:rFonts w:cs="Arial"/>
          <w:lang w:val="en-US"/>
        </w:rPr>
        <w:t>:</w:t>
      </w:r>
      <w:r w:rsidR="006D7664" w:rsidRPr="00925134">
        <w:rPr>
          <w:rFonts w:cs="Arial"/>
          <w:lang w:val="en-US"/>
        </w:rPr>
        <w:t xml:space="preserve"> </w:t>
      </w:r>
    </w:p>
    <w:p w14:paraId="49A87E64" w14:textId="366A35A8" w:rsidR="00351724" w:rsidRPr="00925134" w:rsidRDefault="00351724" w:rsidP="00F9266C">
      <w:pPr>
        <w:pStyle w:val="Listeavsnitt"/>
        <w:numPr>
          <w:ilvl w:val="0"/>
          <w:numId w:val="45"/>
        </w:numPr>
        <w:spacing w:line="288" w:lineRule="auto"/>
        <w:ind w:left="425" w:hanging="357"/>
        <w:rPr>
          <w:rFonts w:cs="Arial"/>
          <w:lang w:val="en-US"/>
        </w:rPr>
      </w:pPr>
      <w:r w:rsidRPr="00925134">
        <w:rPr>
          <w:rFonts w:cs="Arial"/>
          <w:lang w:val="en-US"/>
        </w:rPr>
        <w:t xml:space="preserve">a reduction in revenues </w:t>
      </w:r>
      <w:r w:rsidR="009D605B" w:rsidRPr="00925134">
        <w:rPr>
          <w:rFonts w:cs="Arial"/>
          <w:lang w:val="en-US"/>
        </w:rPr>
        <w:t>of</w:t>
      </w:r>
      <w:r w:rsidRPr="00925134">
        <w:rPr>
          <w:rFonts w:cs="Arial"/>
          <w:lang w:val="en-US"/>
        </w:rPr>
        <w:t xml:space="preserve"> €270 million, or 2.1% of </w:t>
      </w:r>
      <w:r w:rsidR="006D7664" w:rsidRPr="00925134">
        <w:rPr>
          <w:rFonts w:cs="Arial"/>
          <w:lang w:val="en-US"/>
        </w:rPr>
        <w:t xml:space="preserve">published </w:t>
      </w:r>
      <w:r w:rsidRPr="00925134">
        <w:rPr>
          <w:rFonts w:cs="Arial"/>
          <w:lang w:val="en-US"/>
        </w:rPr>
        <w:t>revenues, in line with the information communicated in July 2017;</w:t>
      </w:r>
    </w:p>
    <w:p w14:paraId="600598A5" w14:textId="7D09EE79" w:rsidR="00351724" w:rsidRPr="00925134" w:rsidRDefault="00351724" w:rsidP="00F9266C">
      <w:pPr>
        <w:pStyle w:val="Listeavsnitt"/>
        <w:numPr>
          <w:ilvl w:val="0"/>
          <w:numId w:val="45"/>
        </w:numPr>
        <w:spacing w:line="288" w:lineRule="auto"/>
        <w:ind w:left="425" w:hanging="357"/>
        <w:rPr>
          <w:rFonts w:cs="Arial"/>
          <w:lang w:val="en-US"/>
        </w:rPr>
      </w:pPr>
      <w:r w:rsidRPr="00925134">
        <w:rPr>
          <w:rFonts w:cs="Arial"/>
          <w:lang w:val="en-US"/>
        </w:rPr>
        <w:t>no change in the operating margin in euros</w:t>
      </w:r>
      <w:r w:rsidR="00EB4294" w:rsidRPr="00925134">
        <w:rPr>
          <w:rFonts w:cs="Arial"/>
          <w:lang w:val="en-US"/>
        </w:rPr>
        <w:t xml:space="preserve">, </w:t>
      </w:r>
      <w:r w:rsidR="00FA55F5" w:rsidRPr="00925134">
        <w:rPr>
          <w:rFonts w:cs="Arial"/>
          <w:lang w:val="en-US"/>
        </w:rPr>
        <w:t xml:space="preserve">leading to a reported </w:t>
      </w:r>
      <w:r w:rsidR="00EB4294" w:rsidRPr="00925134">
        <w:rPr>
          <w:rFonts w:cs="Arial"/>
          <w:lang w:val="en-US"/>
        </w:rPr>
        <w:t xml:space="preserve">operating margin rate of 11.9%, </w:t>
      </w:r>
      <w:r w:rsidR="008D1B0A" w:rsidRPr="00925134">
        <w:rPr>
          <w:rFonts w:cs="Arial"/>
          <w:lang w:val="en-US"/>
        </w:rPr>
        <w:t>compared with</w:t>
      </w:r>
      <w:r w:rsidR="00EB4294" w:rsidRPr="00925134">
        <w:rPr>
          <w:rFonts w:cs="Arial"/>
          <w:lang w:val="en-US"/>
        </w:rPr>
        <w:t xml:space="preserve"> the 11.7% published</w:t>
      </w:r>
      <w:r w:rsidRPr="00925134">
        <w:rPr>
          <w:rFonts w:cs="Arial"/>
          <w:lang w:val="en-US"/>
        </w:rPr>
        <w:t xml:space="preserve">; </w:t>
      </w:r>
    </w:p>
    <w:p w14:paraId="51BDD55F" w14:textId="77777777" w:rsidR="00351724" w:rsidRPr="00925134" w:rsidRDefault="00351724" w:rsidP="00F9266C">
      <w:pPr>
        <w:pStyle w:val="Listeavsnitt"/>
        <w:numPr>
          <w:ilvl w:val="0"/>
          <w:numId w:val="45"/>
        </w:numPr>
        <w:spacing w:line="288" w:lineRule="auto"/>
        <w:ind w:left="425" w:hanging="357"/>
        <w:rPr>
          <w:rFonts w:cs="Arial"/>
          <w:lang w:val="en-US"/>
        </w:rPr>
      </w:pPr>
      <w:r w:rsidRPr="00925134">
        <w:rPr>
          <w:rFonts w:cs="Arial"/>
          <w:lang w:val="en-US"/>
        </w:rPr>
        <w:t>no change in the euro amount of net profit, earnings per share (basic, diluted or normalized) or organic free cash flow.</w:t>
      </w:r>
    </w:p>
    <w:bookmarkEnd w:id="8"/>
    <w:p w14:paraId="7AAF78C5" w14:textId="4B51322C" w:rsidR="00351724" w:rsidRPr="00925134" w:rsidRDefault="00605CD2" w:rsidP="00351724">
      <w:pPr>
        <w:spacing w:before="120" w:after="120" w:line="288" w:lineRule="auto"/>
        <w:rPr>
          <w:rFonts w:cs="Arial"/>
          <w:lang w:val="en-US"/>
        </w:rPr>
      </w:pPr>
      <w:r w:rsidRPr="00925134">
        <w:rPr>
          <w:rFonts w:cs="Arial"/>
          <w:lang w:val="en-US"/>
        </w:rPr>
        <w:t>The audit of the results of this assessment will be finalized for the publication of the 2018 half-year results.</w:t>
      </w:r>
    </w:p>
    <w:p w14:paraId="04FE9D53" w14:textId="77777777" w:rsidR="00605CD2" w:rsidRPr="00925134" w:rsidRDefault="00605CD2" w:rsidP="00351724">
      <w:pPr>
        <w:spacing w:before="120" w:after="120" w:line="288" w:lineRule="auto"/>
        <w:rPr>
          <w:rFonts w:cs="Arial"/>
          <w:lang w:val="en-US"/>
        </w:rPr>
      </w:pPr>
    </w:p>
    <w:bookmarkEnd w:id="7"/>
    <w:p w14:paraId="33ABB95E" w14:textId="77777777" w:rsidR="00C91770" w:rsidRPr="00925134" w:rsidRDefault="00263BCB" w:rsidP="00C91770">
      <w:pPr>
        <w:pStyle w:val="Overskrift1"/>
        <w:rPr>
          <w:lang w:val="en-US"/>
        </w:rPr>
      </w:pPr>
      <w:r w:rsidRPr="00925134">
        <w:rPr>
          <w:lang w:val="en-US"/>
        </w:rPr>
        <w:t>OUTLOOK</w:t>
      </w:r>
    </w:p>
    <w:p w14:paraId="24079E32" w14:textId="1F3256DA" w:rsidR="00746EAB" w:rsidRPr="00925134" w:rsidRDefault="00746EAB" w:rsidP="00F9266C">
      <w:pPr>
        <w:spacing w:before="120" w:after="120" w:line="288" w:lineRule="auto"/>
        <w:rPr>
          <w:rFonts w:cs="Arial"/>
          <w:lang w:val="en-US"/>
        </w:rPr>
      </w:pPr>
      <w:bookmarkStart w:id="10" w:name="_Hlk505868507"/>
      <w:bookmarkStart w:id="11" w:name="_Hlk504942398"/>
      <w:r w:rsidRPr="00925134">
        <w:rPr>
          <w:rFonts w:cs="Arial"/>
          <w:lang w:val="en-US"/>
        </w:rPr>
        <w:t xml:space="preserve">For 2018, the Group </w:t>
      </w:r>
      <w:r w:rsidR="005610DE" w:rsidRPr="00925134">
        <w:rPr>
          <w:rFonts w:cs="Arial"/>
          <w:lang w:val="en-US"/>
        </w:rPr>
        <w:t>aims to accelerate its</w:t>
      </w:r>
      <w:r w:rsidRPr="00925134">
        <w:rPr>
          <w:rFonts w:cs="Arial"/>
          <w:lang w:val="en-US"/>
        </w:rPr>
        <w:t xml:space="preserve"> </w:t>
      </w:r>
      <w:r w:rsidR="00C77EE2" w:rsidRPr="00925134">
        <w:rPr>
          <w:rFonts w:cs="Arial"/>
          <w:lang w:val="en-US"/>
        </w:rPr>
        <w:t>growth</w:t>
      </w:r>
      <w:r w:rsidR="00652AB2" w:rsidRPr="00925134">
        <w:rPr>
          <w:rFonts w:cs="Arial"/>
          <w:lang w:val="en-US"/>
        </w:rPr>
        <w:t xml:space="preserve"> </w:t>
      </w:r>
      <w:r w:rsidR="005610DE" w:rsidRPr="00925134">
        <w:rPr>
          <w:rFonts w:cs="Arial"/>
          <w:lang w:val="en-US"/>
        </w:rPr>
        <w:t xml:space="preserve">with revenue </w:t>
      </w:r>
      <w:r w:rsidR="00652AB2" w:rsidRPr="00925134">
        <w:rPr>
          <w:rFonts w:cs="Arial"/>
          <w:lang w:val="en-US"/>
        </w:rPr>
        <w:t xml:space="preserve">progression </w:t>
      </w:r>
      <w:r w:rsidRPr="00925134">
        <w:rPr>
          <w:rFonts w:cs="Arial"/>
          <w:lang w:val="en-US"/>
        </w:rPr>
        <w:t xml:space="preserve">of 6% to 7% at constant exchange rates, </w:t>
      </w:r>
      <w:r w:rsidR="00675659" w:rsidRPr="00925134">
        <w:rPr>
          <w:rFonts w:cs="Arial"/>
          <w:lang w:val="en-US"/>
        </w:rPr>
        <w:t>to increase profitability</w:t>
      </w:r>
      <w:r w:rsidRPr="00925134">
        <w:rPr>
          <w:rFonts w:cs="Arial"/>
          <w:lang w:val="en-US"/>
        </w:rPr>
        <w:t xml:space="preserve"> </w:t>
      </w:r>
      <w:bookmarkStart w:id="12" w:name="_Hlk506375683"/>
      <w:r w:rsidR="00675659" w:rsidRPr="00925134">
        <w:rPr>
          <w:rFonts w:cs="Arial"/>
          <w:lang w:val="en-US"/>
        </w:rPr>
        <w:t xml:space="preserve">with an operating </w:t>
      </w:r>
      <w:r w:rsidRPr="00925134">
        <w:rPr>
          <w:rFonts w:cs="Arial"/>
          <w:lang w:val="en-US"/>
        </w:rPr>
        <w:t xml:space="preserve">margin </w:t>
      </w:r>
      <w:r w:rsidR="00675659" w:rsidRPr="00925134">
        <w:rPr>
          <w:rFonts w:cs="Arial"/>
          <w:lang w:val="en-US"/>
        </w:rPr>
        <w:t xml:space="preserve">of </w:t>
      </w:r>
      <w:r w:rsidR="008305DD">
        <w:rPr>
          <w:rFonts w:cs="Arial"/>
          <w:lang w:val="en-US"/>
        </w:rPr>
        <w:t xml:space="preserve">12.0% to </w:t>
      </w:r>
      <w:r w:rsidRPr="00925134">
        <w:rPr>
          <w:rFonts w:cs="Arial"/>
          <w:lang w:val="en-US"/>
        </w:rPr>
        <w:t>12.</w:t>
      </w:r>
      <w:r w:rsidR="008305DD">
        <w:rPr>
          <w:rFonts w:cs="Arial"/>
          <w:lang w:val="en-US"/>
        </w:rPr>
        <w:t>2</w:t>
      </w:r>
      <w:r w:rsidRPr="00925134">
        <w:rPr>
          <w:rFonts w:cs="Arial"/>
          <w:lang w:val="en-US"/>
        </w:rPr>
        <w:t xml:space="preserve">% </w:t>
      </w:r>
      <w:bookmarkEnd w:id="12"/>
      <w:r w:rsidRPr="00925134">
        <w:rPr>
          <w:rFonts w:cs="Arial"/>
          <w:lang w:val="en-US"/>
        </w:rPr>
        <w:t xml:space="preserve">and to generate an organic free cash flow in excess of </w:t>
      </w:r>
      <w:r w:rsidR="00E7043A" w:rsidRPr="00925134">
        <w:rPr>
          <w:rFonts w:cs="Arial"/>
          <w:lang w:val="en-US"/>
        </w:rPr>
        <w:t>€</w:t>
      </w:r>
      <w:r w:rsidRPr="00925134">
        <w:rPr>
          <w:rFonts w:cs="Arial"/>
          <w:lang w:val="en-US"/>
        </w:rPr>
        <w:t>1 billion.</w:t>
      </w:r>
    </w:p>
    <w:p w14:paraId="7F28FDB4" w14:textId="5E06B1B6" w:rsidR="00263BCB" w:rsidRPr="00925134" w:rsidRDefault="00263BCB" w:rsidP="00F9266C">
      <w:pPr>
        <w:spacing w:before="120" w:after="120" w:line="288" w:lineRule="auto"/>
        <w:rPr>
          <w:rFonts w:cs="Arial"/>
          <w:lang w:val="en-US"/>
        </w:rPr>
      </w:pPr>
      <w:r w:rsidRPr="00925134">
        <w:rPr>
          <w:rFonts w:cs="Arial"/>
          <w:lang w:val="en-US"/>
        </w:rPr>
        <w:t>In additio</w:t>
      </w:r>
      <w:r w:rsidR="00EB4294" w:rsidRPr="00925134">
        <w:rPr>
          <w:rFonts w:cs="Arial"/>
          <w:lang w:val="en-US"/>
        </w:rPr>
        <w:t xml:space="preserve">n, </w:t>
      </w:r>
      <w:r w:rsidR="005F49E3" w:rsidRPr="00925134">
        <w:rPr>
          <w:rFonts w:cs="Arial"/>
          <w:lang w:val="en-US"/>
        </w:rPr>
        <w:t>t</w:t>
      </w:r>
      <w:r w:rsidRPr="00925134">
        <w:rPr>
          <w:rFonts w:cs="Arial"/>
          <w:lang w:val="en-US"/>
        </w:rPr>
        <w:t xml:space="preserve">he Group expects currency movements </w:t>
      </w:r>
      <w:r w:rsidR="005F49E3" w:rsidRPr="00925134">
        <w:rPr>
          <w:rFonts w:cs="Arial"/>
          <w:lang w:val="en-US"/>
        </w:rPr>
        <w:t xml:space="preserve">to negatively impact </w:t>
      </w:r>
      <w:r w:rsidRPr="00925134">
        <w:rPr>
          <w:rFonts w:cs="Arial"/>
          <w:lang w:val="en-US"/>
        </w:rPr>
        <w:t xml:space="preserve">revenues </w:t>
      </w:r>
      <w:r w:rsidR="005F49E3" w:rsidRPr="00925134">
        <w:rPr>
          <w:rFonts w:cs="Arial"/>
          <w:lang w:val="en-US"/>
        </w:rPr>
        <w:t xml:space="preserve">by around </w:t>
      </w:r>
      <w:r w:rsidR="00746EAB" w:rsidRPr="00925134">
        <w:rPr>
          <w:rFonts w:cs="Arial"/>
          <w:lang w:val="en-US"/>
        </w:rPr>
        <w:t>3.5</w:t>
      </w:r>
      <w:r w:rsidR="005F49E3" w:rsidRPr="00925134">
        <w:rPr>
          <w:rFonts w:cs="Arial"/>
          <w:lang w:val="en-US"/>
        </w:rPr>
        <w:t xml:space="preserve"> points, mainly due to the </w:t>
      </w:r>
      <w:r w:rsidRPr="00925134">
        <w:rPr>
          <w:rFonts w:cs="Arial"/>
          <w:lang w:val="en-US"/>
        </w:rPr>
        <w:t>appreciation of the</w:t>
      </w:r>
      <w:r w:rsidR="005F49E3" w:rsidRPr="00925134">
        <w:rPr>
          <w:rFonts w:cs="Arial"/>
          <w:lang w:val="en-US"/>
        </w:rPr>
        <w:t xml:space="preserve"> euro against the</w:t>
      </w:r>
      <w:r w:rsidRPr="00925134">
        <w:rPr>
          <w:rFonts w:cs="Arial"/>
          <w:lang w:val="en-US"/>
        </w:rPr>
        <w:t xml:space="preserve"> U</w:t>
      </w:r>
      <w:r w:rsidR="005F49E3" w:rsidRPr="00925134">
        <w:rPr>
          <w:rFonts w:cs="Arial"/>
          <w:lang w:val="en-US"/>
        </w:rPr>
        <w:t>.</w:t>
      </w:r>
      <w:r w:rsidRPr="00925134">
        <w:rPr>
          <w:rFonts w:cs="Arial"/>
          <w:lang w:val="en-US"/>
        </w:rPr>
        <w:t>S</w:t>
      </w:r>
      <w:r w:rsidR="005F49E3" w:rsidRPr="00925134">
        <w:rPr>
          <w:rFonts w:cs="Arial"/>
          <w:lang w:val="en-US"/>
        </w:rPr>
        <w:t>.</w:t>
      </w:r>
      <w:r w:rsidRPr="00925134">
        <w:rPr>
          <w:rFonts w:cs="Arial"/>
          <w:lang w:val="en-US"/>
        </w:rPr>
        <w:t xml:space="preserve"> dollar</w:t>
      </w:r>
      <w:r w:rsidR="00501DF4" w:rsidRPr="00925134">
        <w:rPr>
          <w:rFonts w:cs="Arial"/>
          <w:lang w:val="en-US"/>
        </w:rPr>
        <w:t>.</w:t>
      </w:r>
    </w:p>
    <w:p w14:paraId="43AAFD92" w14:textId="74E9D16E" w:rsidR="00EC116F" w:rsidRPr="00925134" w:rsidRDefault="005F49E3" w:rsidP="005F49E3">
      <w:pPr>
        <w:spacing w:before="120" w:after="120" w:line="288" w:lineRule="auto"/>
        <w:rPr>
          <w:rFonts w:cs="Arial"/>
          <w:lang w:val="en-US"/>
        </w:rPr>
      </w:pPr>
      <w:r w:rsidRPr="00925134">
        <w:rPr>
          <w:rFonts w:cs="Arial"/>
          <w:lang w:val="en-US"/>
        </w:rPr>
        <w:t xml:space="preserve">This outlook takes </w:t>
      </w:r>
      <w:r w:rsidR="00746EAB" w:rsidRPr="00925134">
        <w:rPr>
          <w:rFonts w:cs="Arial"/>
          <w:lang w:val="en-US"/>
        </w:rPr>
        <w:t xml:space="preserve">into </w:t>
      </w:r>
      <w:r w:rsidRPr="00925134">
        <w:rPr>
          <w:rFonts w:cs="Arial"/>
          <w:lang w:val="en-US"/>
        </w:rPr>
        <w:t xml:space="preserve">account the application of </w:t>
      </w:r>
      <w:r w:rsidR="00EC116F" w:rsidRPr="00925134">
        <w:rPr>
          <w:rFonts w:cs="Arial"/>
          <w:lang w:val="en-US"/>
        </w:rPr>
        <w:t xml:space="preserve">IFRS 15 </w:t>
      </w:r>
      <w:r w:rsidRPr="00925134">
        <w:rPr>
          <w:rFonts w:cs="Arial"/>
          <w:lang w:val="en-US"/>
        </w:rPr>
        <w:t xml:space="preserve">from January 1, 2018. </w:t>
      </w:r>
    </w:p>
    <w:bookmarkEnd w:id="10"/>
    <w:p w14:paraId="11CEA30F" w14:textId="77777777" w:rsidR="001B755B" w:rsidRPr="00925134" w:rsidRDefault="001B755B" w:rsidP="001B755B">
      <w:pPr>
        <w:spacing w:before="120" w:after="120" w:line="288" w:lineRule="auto"/>
        <w:rPr>
          <w:rFonts w:cs="Arial"/>
          <w:lang w:val="en-US"/>
        </w:rPr>
      </w:pPr>
    </w:p>
    <w:bookmarkEnd w:id="11"/>
    <w:p w14:paraId="02132D2B" w14:textId="77777777" w:rsidR="00A806AA" w:rsidRPr="00925134" w:rsidRDefault="00064D5A" w:rsidP="00C91770">
      <w:pPr>
        <w:pStyle w:val="Overskrift1"/>
        <w:rPr>
          <w:lang w:val="en-US"/>
        </w:rPr>
      </w:pPr>
      <w:r w:rsidRPr="00925134">
        <w:rPr>
          <w:lang w:val="en-US"/>
        </w:rPr>
        <w:t>OPERATIONS BY MAJOR REGION</w:t>
      </w:r>
    </w:p>
    <w:p w14:paraId="34B888F6" w14:textId="6B32AB42" w:rsidR="0036160F" w:rsidRPr="00925134" w:rsidRDefault="00892F4C" w:rsidP="00E44332">
      <w:pPr>
        <w:spacing w:before="120" w:after="120" w:line="288" w:lineRule="auto"/>
        <w:rPr>
          <w:rFonts w:cs="Arial"/>
          <w:lang w:val="en-US"/>
        </w:rPr>
      </w:pPr>
      <w:bookmarkStart w:id="13" w:name="_Hlk504942918"/>
      <w:r w:rsidRPr="00925134">
        <w:rPr>
          <w:rFonts w:cs="Arial"/>
          <w:b/>
          <w:lang w:val="en-US"/>
        </w:rPr>
        <w:t xml:space="preserve">North America </w:t>
      </w:r>
      <w:r w:rsidRPr="00925134">
        <w:rPr>
          <w:rFonts w:cs="Arial"/>
          <w:lang w:val="en-US"/>
        </w:rPr>
        <w:t>revenues</w:t>
      </w:r>
      <w:r w:rsidR="00E44332" w:rsidRPr="00925134">
        <w:rPr>
          <w:rFonts w:cs="Arial"/>
          <w:lang w:val="en-US"/>
        </w:rPr>
        <w:t xml:space="preserve"> </w:t>
      </w:r>
      <w:r w:rsidRPr="00925134">
        <w:rPr>
          <w:rFonts w:cs="Arial"/>
          <w:lang w:val="en-US"/>
        </w:rPr>
        <w:t xml:space="preserve">(31% of Group revenues) grew 5.0% at constant exchange rates </w:t>
      </w:r>
      <w:r w:rsidR="00E62DE4" w:rsidRPr="00925134">
        <w:rPr>
          <w:rFonts w:cs="Arial"/>
          <w:lang w:val="en-US"/>
        </w:rPr>
        <w:t xml:space="preserve">in 2017 with a strong acceleration </w:t>
      </w:r>
      <w:r w:rsidRPr="00925134">
        <w:rPr>
          <w:rFonts w:cs="Arial"/>
          <w:lang w:val="en-US"/>
        </w:rPr>
        <w:t>in the second half</w:t>
      </w:r>
      <w:r w:rsidR="00E62DE4" w:rsidRPr="00925134">
        <w:rPr>
          <w:rFonts w:cs="Arial"/>
          <w:lang w:val="en-US"/>
        </w:rPr>
        <w:t xml:space="preserve"> of the year,</w:t>
      </w:r>
      <w:r w:rsidRPr="00925134">
        <w:rPr>
          <w:rFonts w:cs="Arial"/>
          <w:lang w:val="en-US"/>
        </w:rPr>
        <w:t xml:space="preserve"> </w:t>
      </w:r>
      <w:bookmarkStart w:id="14" w:name="_Hlk506279359"/>
      <w:r w:rsidR="00E62DE4" w:rsidRPr="00925134">
        <w:rPr>
          <w:rFonts w:cs="Arial"/>
          <w:lang w:val="en-US"/>
        </w:rPr>
        <w:t>reflecting the impact of recent investments</w:t>
      </w:r>
      <w:bookmarkEnd w:id="14"/>
      <w:r w:rsidRPr="00925134">
        <w:rPr>
          <w:rFonts w:cs="Arial"/>
          <w:lang w:val="en-US"/>
        </w:rPr>
        <w:t xml:space="preserve">. </w:t>
      </w:r>
      <w:r w:rsidR="00E62DE4" w:rsidRPr="00925134">
        <w:rPr>
          <w:rFonts w:cs="Arial"/>
          <w:lang w:val="en-US"/>
        </w:rPr>
        <w:t xml:space="preserve">This </w:t>
      </w:r>
      <w:r w:rsidRPr="00925134">
        <w:rPr>
          <w:rFonts w:cs="Arial"/>
          <w:lang w:val="en-US"/>
        </w:rPr>
        <w:t>was mainly driven by the Manufacturing</w:t>
      </w:r>
      <w:r w:rsidR="005610DE" w:rsidRPr="00925134">
        <w:rPr>
          <w:rFonts w:cs="Arial"/>
          <w:lang w:val="en-US"/>
        </w:rPr>
        <w:t xml:space="preserve">, </w:t>
      </w:r>
      <w:r w:rsidRPr="00925134">
        <w:rPr>
          <w:rFonts w:cs="Arial"/>
          <w:lang w:val="en-US"/>
        </w:rPr>
        <w:t xml:space="preserve">Retail &amp; Consumer Goods </w:t>
      </w:r>
      <w:r w:rsidR="00E44332" w:rsidRPr="00925134">
        <w:rPr>
          <w:rFonts w:cs="Arial"/>
          <w:lang w:val="en-US"/>
        </w:rPr>
        <w:t>and Financial Services</w:t>
      </w:r>
      <w:r w:rsidR="005610DE" w:rsidRPr="00925134">
        <w:rPr>
          <w:rFonts w:cs="Arial"/>
          <w:lang w:val="en-US"/>
        </w:rPr>
        <w:t xml:space="preserve"> sectors</w:t>
      </w:r>
      <w:r w:rsidR="00E44332" w:rsidRPr="00925134">
        <w:rPr>
          <w:rFonts w:cs="Arial"/>
          <w:lang w:val="en-US"/>
        </w:rPr>
        <w:t xml:space="preserve">. The </w:t>
      </w:r>
      <w:r w:rsidRPr="00925134">
        <w:rPr>
          <w:rFonts w:cs="Arial"/>
          <w:lang w:val="en-US"/>
        </w:rPr>
        <w:t>Energy &amp; Utilities sector</w:t>
      </w:r>
      <w:r w:rsidR="00E44332" w:rsidRPr="00925134">
        <w:rPr>
          <w:rFonts w:cs="Arial"/>
          <w:lang w:val="en-US"/>
        </w:rPr>
        <w:t xml:space="preserve"> </w:t>
      </w:r>
      <w:r w:rsidR="00C914F7" w:rsidRPr="00925134">
        <w:rPr>
          <w:rFonts w:cs="Arial"/>
          <w:lang w:val="en-US"/>
        </w:rPr>
        <w:t xml:space="preserve">full year revenues </w:t>
      </w:r>
      <w:r w:rsidR="00FA55F5" w:rsidRPr="00925134">
        <w:rPr>
          <w:rFonts w:cs="Arial"/>
          <w:lang w:val="en-US"/>
        </w:rPr>
        <w:t xml:space="preserve">were down </w:t>
      </w:r>
      <w:r w:rsidR="00E44332" w:rsidRPr="00925134">
        <w:rPr>
          <w:rFonts w:cs="Arial"/>
          <w:lang w:val="en-US"/>
        </w:rPr>
        <w:t>but return</w:t>
      </w:r>
      <w:r w:rsidR="00C914F7" w:rsidRPr="00925134">
        <w:rPr>
          <w:rFonts w:cs="Arial"/>
          <w:lang w:val="en-US"/>
        </w:rPr>
        <w:t>ed</w:t>
      </w:r>
      <w:r w:rsidR="00E44332" w:rsidRPr="00925134">
        <w:rPr>
          <w:rFonts w:cs="Arial"/>
          <w:lang w:val="en-US"/>
        </w:rPr>
        <w:t xml:space="preserve"> to growth </w:t>
      </w:r>
      <w:r w:rsidR="00C914F7" w:rsidRPr="00925134">
        <w:rPr>
          <w:rFonts w:cs="Arial"/>
          <w:lang w:val="en-US"/>
        </w:rPr>
        <w:t xml:space="preserve">as of </w:t>
      </w:r>
      <w:r w:rsidR="00E44332" w:rsidRPr="00925134">
        <w:rPr>
          <w:rFonts w:cs="Arial"/>
          <w:lang w:val="en-US"/>
        </w:rPr>
        <w:t xml:space="preserve">Q3. In line with half-year results, the operating margin </w:t>
      </w:r>
      <w:r w:rsidR="00C914F7" w:rsidRPr="00925134">
        <w:rPr>
          <w:rFonts w:cs="Arial"/>
          <w:lang w:val="en-US"/>
        </w:rPr>
        <w:t xml:space="preserve">decreased </w:t>
      </w:r>
      <w:r w:rsidR="00E44332" w:rsidRPr="00925134">
        <w:rPr>
          <w:rFonts w:cs="Arial"/>
          <w:lang w:val="en-US"/>
        </w:rPr>
        <w:t xml:space="preserve">190 basis points year-on-year to 13.5%, impacted by strong price pressure on </w:t>
      </w:r>
      <w:r w:rsidR="00C914F7" w:rsidRPr="00925134">
        <w:rPr>
          <w:rFonts w:cs="Arial"/>
          <w:lang w:val="en-US"/>
        </w:rPr>
        <w:t xml:space="preserve">some </w:t>
      </w:r>
      <w:r w:rsidR="00E44332" w:rsidRPr="00925134">
        <w:rPr>
          <w:rFonts w:cs="Arial"/>
          <w:lang w:val="en-US"/>
        </w:rPr>
        <w:t>large contract renewals in the first-half and investment</w:t>
      </w:r>
      <w:r w:rsidR="005610DE" w:rsidRPr="00925134">
        <w:rPr>
          <w:rFonts w:cs="Arial"/>
          <w:lang w:val="en-US"/>
        </w:rPr>
        <w:t>s</w:t>
      </w:r>
      <w:r w:rsidR="00E44332" w:rsidRPr="00925134">
        <w:rPr>
          <w:rFonts w:cs="Arial"/>
          <w:lang w:val="en-US"/>
        </w:rPr>
        <w:t xml:space="preserve"> to </w:t>
      </w:r>
      <w:r w:rsidR="005610DE" w:rsidRPr="00925134">
        <w:rPr>
          <w:rFonts w:cs="Arial"/>
          <w:lang w:val="en-US"/>
        </w:rPr>
        <w:t xml:space="preserve">accelerate </w:t>
      </w:r>
      <w:r w:rsidR="00E44332" w:rsidRPr="00925134">
        <w:rPr>
          <w:rFonts w:cs="Arial"/>
          <w:lang w:val="en-US"/>
        </w:rPr>
        <w:t>growth in the region</w:t>
      </w:r>
      <w:r w:rsidR="00CD66A5" w:rsidRPr="00925134">
        <w:rPr>
          <w:rFonts w:cs="Arial"/>
          <w:lang w:val="en-US"/>
        </w:rPr>
        <w:t>.</w:t>
      </w:r>
    </w:p>
    <w:p w14:paraId="266B2401" w14:textId="72B80D4E" w:rsidR="00C216ED" w:rsidRPr="00925134" w:rsidRDefault="00E44332" w:rsidP="00C216ED">
      <w:pPr>
        <w:spacing w:before="120" w:after="120" w:line="288" w:lineRule="auto"/>
        <w:rPr>
          <w:rFonts w:cs="Arial"/>
          <w:lang w:val="en-US"/>
        </w:rPr>
      </w:pPr>
      <w:bookmarkStart w:id="15" w:name="_Hlk504944238"/>
      <w:bookmarkEnd w:id="13"/>
      <w:r w:rsidRPr="00925134">
        <w:rPr>
          <w:rFonts w:cs="Arial"/>
          <w:lang w:val="en-US"/>
        </w:rPr>
        <w:t xml:space="preserve">The </w:t>
      </w:r>
      <w:r w:rsidRPr="00925134">
        <w:rPr>
          <w:rFonts w:cs="Arial"/>
          <w:b/>
          <w:lang w:val="en-US"/>
        </w:rPr>
        <w:t>United Kingdom and Ireland</w:t>
      </w:r>
      <w:r w:rsidRPr="00925134">
        <w:rPr>
          <w:rFonts w:cs="Arial"/>
          <w:lang w:val="en-US"/>
        </w:rPr>
        <w:t xml:space="preserve"> (13% of Group revenues) reported revenues down 9.6% at constant exchange rates, </w:t>
      </w:r>
      <w:bookmarkStart w:id="16" w:name="_Hlk505618531"/>
      <w:r w:rsidRPr="00925134">
        <w:rPr>
          <w:rFonts w:cs="Arial"/>
          <w:lang w:val="en-US"/>
        </w:rPr>
        <w:t xml:space="preserve">reflecting the decline in the public sector </w:t>
      </w:r>
      <w:r w:rsidR="00B45B6A" w:rsidRPr="00925134">
        <w:rPr>
          <w:rFonts w:cs="Arial"/>
          <w:lang w:val="en-US"/>
        </w:rPr>
        <w:t xml:space="preserve">anticipated </w:t>
      </w:r>
      <w:r w:rsidRPr="00925134">
        <w:rPr>
          <w:rFonts w:cs="Arial"/>
          <w:lang w:val="en-US"/>
        </w:rPr>
        <w:t>from the beginning of the year</w:t>
      </w:r>
      <w:r w:rsidR="004F1E4E" w:rsidRPr="00925134">
        <w:rPr>
          <w:rFonts w:cs="Arial"/>
          <w:lang w:val="en-US"/>
        </w:rPr>
        <w:t xml:space="preserve"> while the </w:t>
      </w:r>
      <w:r w:rsidRPr="00925134">
        <w:rPr>
          <w:rFonts w:cs="Arial"/>
          <w:lang w:val="en-US"/>
        </w:rPr>
        <w:t xml:space="preserve">private sector </w:t>
      </w:r>
      <w:r w:rsidR="004F1E4E" w:rsidRPr="00925134">
        <w:rPr>
          <w:rFonts w:cs="Arial"/>
          <w:lang w:val="en-US"/>
        </w:rPr>
        <w:t>(63% of region</w:t>
      </w:r>
      <w:r w:rsidR="00EF2975" w:rsidRPr="00925134">
        <w:rPr>
          <w:rFonts w:cs="Arial"/>
          <w:lang w:val="en-US"/>
        </w:rPr>
        <w:t xml:space="preserve"> revenues</w:t>
      </w:r>
      <w:r w:rsidR="004F1E4E" w:rsidRPr="00925134">
        <w:rPr>
          <w:rFonts w:cs="Arial"/>
          <w:lang w:val="en-US"/>
        </w:rPr>
        <w:t>) is growing</w:t>
      </w:r>
      <w:bookmarkEnd w:id="16"/>
      <w:r w:rsidR="005610DE" w:rsidRPr="00925134">
        <w:rPr>
          <w:rFonts w:cs="Arial"/>
          <w:lang w:val="en-US"/>
        </w:rPr>
        <w:t xml:space="preserve"> slightly</w:t>
      </w:r>
      <w:r w:rsidRPr="00925134">
        <w:rPr>
          <w:rFonts w:cs="Arial"/>
          <w:lang w:val="en-US"/>
        </w:rPr>
        <w:t xml:space="preserve">. The operating margin improved 50 basis points year-on-year to 15.1%. </w:t>
      </w:r>
      <w:bookmarkStart w:id="17" w:name="_Hlk505618630"/>
      <w:r w:rsidR="004F1E4E" w:rsidRPr="00925134">
        <w:rPr>
          <w:rFonts w:cs="Arial"/>
          <w:lang w:val="en-US"/>
        </w:rPr>
        <w:t>T</w:t>
      </w:r>
      <w:r w:rsidR="00AC131D" w:rsidRPr="00925134">
        <w:rPr>
          <w:rFonts w:cs="Arial"/>
          <w:lang w:val="en-US"/>
        </w:rPr>
        <w:t xml:space="preserve">he Group noted </w:t>
      </w:r>
      <w:r w:rsidR="004F1E4E" w:rsidRPr="00925134">
        <w:rPr>
          <w:rFonts w:cs="Arial"/>
          <w:lang w:val="en-US"/>
        </w:rPr>
        <w:t xml:space="preserve">a </w:t>
      </w:r>
      <w:r w:rsidR="005610DE" w:rsidRPr="00925134">
        <w:rPr>
          <w:rFonts w:cs="Arial"/>
          <w:lang w:val="en-US"/>
        </w:rPr>
        <w:t xml:space="preserve">business </w:t>
      </w:r>
      <w:r w:rsidR="004F1E4E" w:rsidRPr="00925134">
        <w:rPr>
          <w:rFonts w:cs="Arial"/>
          <w:lang w:val="en-US"/>
        </w:rPr>
        <w:t xml:space="preserve">slowdown in the second half with </w:t>
      </w:r>
      <w:r w:rsidR="005610DE" w:rsidRPr="00925134">
        <w:rPr>
          <w:rFonts w:cs="Arial"/>
          <w:lang w:val="en-US"/>
        </w:rPr>
        <w:t xml:space="preserve">notably longer </w:t>
      </w:r>
      <w:r w:rsidR="004F1E4E" w:rsidRPr="00925134">
        <w:rPr>
          <w:rFonts w:cs="Arial"/>
          <w:lang w:val="en-US"/>
        </w:rPr>
        <w:t xml:space="preserve">client </w:t>
      </w:r>
      <w:r w:rsidR="00AC131D" w:rsidRPr="00925134">
        <w:rPr>
          <w:rFonts w:cs="Arial"/>
          <w:lang w:val="en-US"/>
        </w:rPr>
        <w:t xml:space="preserve">decision </w:t>
      </w:r>
      <w:r w:rsidR="00D64D62" w:rsidRPr="00925134">
        <w:rPr>
          <w:rFonts w:cs="Arial"/>
          <w:lang w:val="en-US"/>
        </w:rPr>
        <w:t>cycles</w:t>
      </w:r>
      <w:r w:rsidR="001D05A1" w:rsidRPr="00925134">
        <w:rPr>
          <w:rFonts w:cs="Arial"/>
          <w:lang w:val="en-US"/>
        </w:rPr>
        <w:t>.</w:t>
      </w:r>
      <w:bookmarkEnd w:id="17"/>
    </w:p>
    <w:p w14:paraId="775114A6" w14:textId="543F9394" w:rsidR="00C91770" w:rsidRPr="00925134" w:rsidRDefault="00C91770" w:rsidP="00C91770">
      <w:pPr>
        <w:spacing w:before="120" w:after="120" w:line="288" w:lineRule="auto"/>
        <w:rPr>
          <w:rFonts w:cs="Arial"/>
          <w:lang w:val="en-US"/>
        </w:rPr>
      </w:pPr>
      <w:bookmarkStart w:id="18" w:name="_Hlk504978443"/>
      <w:bookmarkEnd w:id="15"/>
      <w:r w:rsidRPr="00925134">
        <w:rPr>
          <w:rFonts w:cs="Arial"/>
          <w:b/>
          <w:lang w:val="en-US"/>
        </w:rPr>
        <w:t>France</w:t>
      </w:r>
      <w:r w:rsidRPr="00925134">
        <w:rPr>
          <w:rFonts w:cs="Arial"/>
          <w:lang w:val="en-US"/>
        </w:rPr>
        <w:t xml:space="preserve"> (2</w:t>
      </w:r>
      <w:r w:rsidR="0039001A" w:rsidRPr="00925134">
        <w:rPr>
          <w:rFonts w:cs="Arial"/>
          <w:lang w:val="en-US"/>
        </w:rPr>
        <w:t>1</w:t>
      </w:r>
      <w:r w:rsidRPr="00925134">
        <w:rPr>
          <w:rFonts w:cs="Arial"/>
          <w:lang w:val="en-US"/>
        </w:rPr>
        <w:t xml:space="preserve">% </w:t>
      </w:r>
      <w:r w:rsidR="00755C4F" w:rsidRPr="00925134">
        <w:rPr>
          <w:rFonts w:cs="Arial"/>
          <w:lang w:val="en-US"/>
        </w:rPr>
        <w:t>of Group revenues</w:t>
      </w:r>
      <w:r w:rsidRPr="00925134">
        <w:rPr>
          <w:rFonts w:cs="Arial"/>
          <w:lang w:val="en-US"/>
        </w:rPr>
        <w:t>)</w:t>
      </w:r>
      <w:r w:rsidR="007D26FD" w:rsidRPr="00925134">
        <w:rPr>
          <w:rFonts w:cs="Arial"/>
          <w:lang w:val="en-US"/>
        </w:rPr>
        <w:t xml:space="preserve"> </w:t>
      </w:r>
      <w:r w:rsidR="00755C4F" w:rsidRPr="00925134">
        <w:rPr>
          <w:rFonts w:cs="Arial"/>
          <w:lang w:val="en-US"/>
        </w:rPr>
        <w:t>grew 5.2%</w:t>
      </w:r>
      <w:r w:rsidR="007D26FD" w:rsidRPr="00925134">
        <w:rPr>
          <w:rFonts w:cs="Arial"/>
          <w:lang w:val="en-US"/>
        </w:rPr>
        <w:t xml:space="preserve">, </w:t>
      </w:r>
      <w:r w:rsidR="00755C4F" w:rsidRPr="00925134">
        <w:rPr>
          <w:rFonts w:cs="Arial"/>
          <w:lang w:val="en-US"/>
        </w:rPr>
        <w:t>with Digital and Cloud demand driving strong momentum in Application Services and Consulting Services</w:t>
      </w:r>
      <w:r w:rsidR="007D26FD" w:rsidRPr="00925134">
        <w:rPr>
          <w:rFonts w:cs="Arial"/>
          <w:lang w:val="en-US"/>
        </w:rPr>
        <w:t xml:space="preserve">. </w:t>
      </w:r>
      <w:r w:rsidR="00755C4F" w:rsidRPr="00925134">
        <w:rPr>
          <w:rFonts w:cs="Arial"/>
          <w:lang w:val="en-US"/>
        </w:rPr>
        <w:t xml:space="preserve">The Financial Services and Retail &amp; Consumer Goods sectors reported growth in excess of 10%. The operating margin increased 80 basis points to </w:t>
      </w:r>
      <w:r w:rsidRPr="00925134">
        <w:rPr>
          <w:rFonts w:cs="Arial"/>
          <w:lang w:val="en-US"/>
        </w:rPr>
        <w:t>9</w:t>
      </w:r>
      <w:r w:rsidR="00755C4F" w:rsidRPr="00925134">
        <w:rPr>
          <w:rFonts w:cs="Arial"/>
          <w:lang w:val="en-US"/>
        </w:rPr>
        <w:t>.</w:t>
      </w:r>
      <w:r w:rsidR="00920F59" w:rsidRPr="00925134">
        <w:rPr>
          <w:rFonts w:cs="Arial"/>
          <w:lang w:val="en-US"/>
        </w:rPr>
        <w:t>9</w:t>
      </w:r>
      <w:r w:rsidRPr="00925134">
        <w:rPr>
          <w:rFonts w:cs="Arial"/>
          <w:lang w:val="en-US"/>
        </w:rPr>
        <w:t>%.</w:t>
      </w:r>
    </w:p>
    <w:p w14:paraId="7C921FC8" w14:textId="5E9F7418" w:rsidR="00396FA6" w:rsidRPr="00925134" w:rsidRDefault="00B01E95" w:rsidP="00C91770">
      <w:pPr>
        <w:spacing w:before="120" w:after="120" w:line="288" w:lineRule="auto"/>
        <w:rPr>
          <w:rFonts w:cs="Arial"/>
          <w:lang w:val="en-US"/>
        </w:rPr>
      </w:pPr>
      <w:bookmarkStart w:id="19" w:name="_Hlk504980317"/>
      <w:bookmarkEnd w:id="18"/>
      <w:r w:rsidRPr="00925134">
        <w:rPr>
          <w:rFonts w:cs="Arial"/>
          <w:lang w:val="en-US"/>
        </w:rPr>
        <w:t>The</w:t>
      </w:r>
      <w:r w:rsidRPr="00925134">
        <w:rPr>
          <w:rFonts w:cs="Arial"/>
          <w:b/>
          <w:lang w:val="en-US"/>
        </w:rPr>
        <w:t xml:space="preserve"> Rest of Europe</w:t>
      </w:r>
      <w:r w:rsidRPr="00925134">
        <w:rPr>
          <w:rFonts w:cs="Arial"/>
          <w:lang w:val="en-US"/>
        </w:rPr>
        <w:t xml:space="preserve"> </w:t>
      </w:r>
      <w:r w:rsidR="00C91770" w:rsidRPr="00925134">
        <w:rPr>
          <w:rFonts w:cs="Arial"/>
          <w:lang w:val="en-US"/>
        </w:rPr>
        <w:t>(2</w:t>
      </w:r>
      <w:r w:rsidR="00883119" w:rsidRPr="00925134">
        <w:rPr>
          <w:rFonts w:cs="Arial"/>
          <w:lang w:val="en-US"/>
        </w:rPr>
        <w:t>7</w:t>
      </w:r>
      <w:r w:rsidR="00C91770" w:rsidRPr="00925134">
        <w:rPr>
          <w:rFonts w:cs="Arial"/>
          <w:lang w:val="en-US"/>
        </w:rPr>
        <w:t xml:space="preserve">% </w:t>
      </w:r>
      <w:r w:rsidRPr="00925134">
        <w:rPr>
          <w:rFonts w:cs="Arial"/>
          <w:lang w:val="en-US"/>
        </w:rPr>
        <w:t>of Group revenues</w:t>
      </w:r>
      <w:r w:rsidR="00C91770" w:rsidRPr="00925134">
        <w:rPr>
          <w:rFonts w:cs="Arial"/>
          <w:lang w:val="en-US"/>
        </w:rPr>
        <w:t xml:space="preserve">) </w:t>
      </w:r>
      <w:r w:rsidRPr="00925134">
        <w:rPr>
          <w:rFonts w:cs="Arial"/>
          <w:lang w:val="en-US"/>
        </w:rPr>
        <w:t xml:space="preserve">reported revenue growth of </w:t>
      </w:r>
      <w:r w:rsidR="0066695C" w:rsidRPr="00925134">
        <w:rPr>
          <w:rFonts w:cs="Arial"/>
          <w:lang w:val="en-US"/>
        </w:rPr>
        <w:t>8</w:t>
      </w:r>
      <w:r w:rsidRPr="00925134">
        <w:rPr>
          <w:rFonts w:cs="Arial"/>
          <w:lang w:val="en-US"/>
        </w:rPr>
        <w:t>.</w:t>
      </w:r>
      <w:r w:rsidR="0066695C" w:rsidRPr="00925134">
        <w:rPr>
          <w:rFonts w:cs="Arial"/>
          <w:lang w:val="en-US"/>
        </w:rPr>
        <w:t>6%</w:t>
      </w:r>
      <w:r w:rsidR="00396FA6" w:rsidRPr="00925134">
        <w:rPr>
          <w:rFonts w:cs="Arial"/>
          <w:lang w:val="en-US"/>
        </w:rPr>
        <w:t xml:space="preserve"> </w:t>
      </w:r>
      <w:r w:rsidRPr="00925134">
        <w:rPr>
          <w:rFonts w:cs="Arial"/>
          <w:lang w:val="en-US"/>
        </w:rPr>
        <w:t xml:space="preserve">at constant exchange rates, driven by Germany, Scandinavia and Italy, where growth </w:t>
      </w:r>
      <w:r w:rsidR="00D64D62" w:rsidRPr="00925134">
        <w:rPr>
          <w:rFonts w:cs="Arial"/>
          <w:lang w:val="en-US"/>
        </w:rPr>
        <w:t xml:space="preserve">rates </w:t>
      </w:r>
      <w:r w:rsidRPr="00925134">
        <w:rPr>
          <w:rFonts w:cs="Arial"/>
          <w:lang w:val="en-US"/>
        </w:rPr>
        <w:t>came close to or exceeded</w:t>
      </w:r>
      <w:r w:rsidR="00E85205" w:rsidRPr="00925134">
        <w:rPr>
          <w:rFonts w:cs="Arial"/>
          <w:lang w:val="en-US"/>
        </w:rPr>
        <w:t xml:space="preserve"> 10%. B</w:t>
      </w:r>
      <w:r w:rsidR="00195A85" w:rsidRPr="00925134">
        <w:rPr>
          <w:rFonts w:cs="Arial"/>
          <w:lang w:val="en-US"/>
        </w:rPr>
        <w:t>e</w:t>
      </w:r>
      <w:r w:rsidR="00E85205" w:rsidRPr="00925134">
        <w:rPr>
          <w:rFonts w:cs="Arial"/>
          <w:lang w:val="en-US"/>
        </w:rPr>
        <w:t>n</w:t>
      </w:r>
      <w:r w:rsidR="00195A85" w:rsidRPr="00925134">
        <w:rPr>
          <w:rFonts w:cs="Arial"/>
          <w:lang w:val="en-US"/>
        </w:rPr>
        <w:t>e</w:t>
      </w:r>
      <w:r w:rsidR="00E85205" w:rsidRPr="00925134">
        <w:rPr>
          <w:rFonts w:cs="Arial"/>
          <w:lang w:val="en-US"/>
        </w:rPr>
        <w:t>lux</w:t>
      </w:r>
      <w:r w:rsidR="00195A85" w:rsidRPr="00925134">
        <w:rPr>
          <w:rFonts w:cs="Arial"/>
          <w:lang w:val="en-US"/>
        </w:rPr>
        <w:t xml:space="preserve"> and Spain </w:t>
      </w:r>
      <w:r w:rsidR="000F3D27" w:rsidRPr="00925134">
        <w:rPr>
          <w:rFonts w:cs="Arial"/>
          <w:lang w:val="en-US"/>
        </w:rPr>
        <w:t xml:space="preserve">also </w:t>
      </w:r>
      <w:r w:rsidR="00195A85" w:rsidRPr="00925134">
        <w:rPr>
          <w:rFonts w:cs="Arial"/>
          <w:lang w:val="en-US"/>
        </w:rPr>
        <w:t xml:space="preserve">grew in 2017. Business </w:t>
      </w:r>
      <w:r w:rsidR="005610DE" w:rsidRPr="00925134">
        <w:rPr>
          <w:rFonts w:cs="Arial"/>
          <w:lang w:val="en-US"/>
        </w:rPr>
        <w:t xml:space="preserve">mix continued to evolve </w:t>
      </w:r>
      <w:r w:rsidR="00195A85" w:rsidRPr="00925134">
        <w:rPr>
          <w:rFonts w:cs="Arial"/>
          <w:lang w:val="en-US"/>
        </w:rPr>
        <w:t>rapidly, with increased offshoring demand</w:t>
      </w:r>
      <w:r w:rsidR="00F31B63" w:rsidRPr="00925134">
        <w:rPr>
          <w:rFonts w:cs="Arial"/>
          <w:lang w:val="en-US"/>
        </w:rPr>
        <w:t xml:space="preserve"> </w:t>
      </w:r>
      <w:bookmarkStart w:id="20" w:name="_Hlk505091381"/>
      <w:r w:rsidR="00F31B63" w:rsidRPr="00925134">
        <w:rPr>
          <w:rFonts w:cs="Arial"/>
          <w:lang w:val="en-US"/>
        </w:rPr>
        <w:t xml:space="preserve">(+20% </w:t>
      </w:r>
      <w:r w:rsidR="005610DE" w:rsidRPr="00925134">
        <w:rPr>
          <w:rFonts w:cs="Arial"/>
          <w:lang w:val="en-US"/>
        </w:rPr>
        <w:t xml:space="preserve">growth </w:t>
      </w:r>
      <w:r w:rsidR="00195A85" w:rsidRPr="00925134">
        <w:rPr>
          <w:rFonts w:cs="Arial"/>
          <w:lang w:val="en-US"/>
        </w:rPr>
        <w:t>in</w:t>
      </w:r>
      <w:r w:rsidR="00F31B63" w:rsidRPr="00925134">
        <w:rPr>
          <w:rFonts w:cs="Arial"/>
          <w:lang w:val="en-US"/>
        </w:rPr>
        <w:t xml:space="preserve"> volume</w:t>
      </w:r>
      <w:r w:rsidR="00F04E59" w:rsidRPr="00925134">
        <w:rPr>
          <w:rFonts w:cs="Arial"/>
          <w:lang w:val="en-US"/>
        </w:rPr>
        <w:t xml:space="preserve"> </w:t>
      </w:r>
      <w:r w:rsidR="005610DE" w:rsidRPr="00925134">
        <w:rPr>
          <w:rFonts w:cs="Arial"/>
          <w:lang w:val="en-US"/>
        </w:rPr>
        <w:t>year-on-</w:t>
      </w:r>
      <w:r w:rsidR="00195A85" w:rsidRPr="00925134">
        <w:rPr>
          <w:rFonts w:cs="Arial"/>
          <w:lang w:val="en-US"/>
        </w:rPr>
        <w:t xml:space="preserve">year) and </w:t>
      </w:r>
      <w:r w:rsidR="00D64D62" w:rsidRPr="00925134">
        <w:rPr>
          <w:rFonts w:cs="Arial"/>
          <w:lang w:val="en-US"/>
        </w:rPr>
        <w:t xml:space="preserve">growing </w:t>
      </w:r>
      <w:r w:rsidR="005610DE" w:rsidRPr="00925134">
        <w:rPr>
          <w:rFonts w:cs="Arial"/>
          <w:lang w:val="en-US"/>
        </w:rPr>
        <w:t>activity</w:t>
      </w:r>
      <w:r w:rsidR="00195A85" w:rsidRPr="00925134">
        <w:rPr>
          <w:rFonts w:cs="Arial"/>
          <w:lang w:val="en-US"/>
        </w:rPr>
        <w:t xml:space="preserve"> </w:t>
      </w:r>
      <w:bookmarkEnd w:id="20"/>
      <w:r w:rsidR="005610DE" w:rsidRPr="00925134">
        <w:rPr>
          <w:rFonts w:cs="Arial"/>
          <w:lang w:val="en-US"/>
        </w:rPr>
        <w:t xml:space="preserve">in </w:t>
      </w:r>
      <w:r w:rsidR="00E85205" w:rsidRPr="00925134">
        <w:rPr>
          <w:rFonts w:cs="Arial"/>
          <w:lang w:val="en-US"/>
        </w:rPr>
        <w:t>Digital</w:t>
      </w:r>
      <w:r w:rsidR="00195A85" w:rsidRPr="00925134">
        <w:rPr>
          <w:rFonts w:cs="Arial"/>
          <w:lang w:val="en-US"/>
        </w:rPr>
        <w:t xml:space="preserve"> and</w:t>
      </w:r>
      <w:r w:rsidR="00E85205" w:rsidRPr="00925134">
        <w:rPr>
          <w:rFonts w:cs="Arial"/>
          <w:lang w:val="en-US"/>
        </w:rPr>
        <w:t xml:space="preserve"> Cloud. </w:t>
      </w:r>
      <w:r w:rsidR="00195A85" w:rsidRPr="00925134">
        <w:rPr>
          <w:rFonts w:cs="Arial"/>
          <w:lang w:val="en-US"/>
        </w:rPr>
        <w:t xml:space="preserve">The operating margin increased </w:t>
      </w:r>
      <w:r w:rsidR="00142025" w:rsidRPr="00925134">
        <w:rPr>
          <w:rFonts w:cs="Arial"/>
          <w:lang w:val="en-US"/>
        </w:rPr>
        <w:t>150 </w:t>
      </w:r>
      <w:r w:rsidR="00195A85" w:rsidRPr="00925134">
        <w:rPr>
          <w:rFonts w:cs="Arial"/>
          <w:lang w:val="en-US"/>
        </w:rPr>
        <w:t xml:space="preserve">basis points year-on-year to </w:t>
      </w:r>
      <w:r w:rsidR="00A1032F" w:rsidRPr="00925134">
        <w:rPr>
          <w:rFonts w:cs="Arial"/>
          <w:lang w:val="en-US"/>
        </w:rPr>
        <w:t>12</w:t>
      </w:r>
      <w:r w:rsidR="00195A85" w:rsidRPr="00925134">
        <w:rPr>
          <w:rFonts w:cs="Arial"/>
          <w:lang w:val="en-US"/>
        </w:rPr>
        <w:t>.</w:t>
      </w:r>
      <w:r w:rsidR="00A1032F" w:rsidRPr="00925134">
        <w:rPr>
          <w:rFonts w:cs="Arial"/>
          <w:lang w:val="en-US"/>
        </w:rPr>
        <w:t>0%.</w:t>
      </w:r>
    </w:p>
    <w:p w14:paraId="0CDA490D" w14:textId="158BEF84" w:rsidR="00C91770" w:rsidRPr="00925134" w:rsidRDefault="00F12568" w:rsidP="00C91770">
      <w:pPr>
        <w:spacing w:before="120" w:after="120" w:line="288" w:lineRule="auto"/>
        <w:rPr>
          <w:rFonts w:cs="Arial"/>
          <w:lang w:val="en-US"/>
        </w:rPr>
      </w:pPr>
      <w:bookmarkStart w:id="21" w:name="_Hlk504980456"/>
      <w:bookmarkEnd w:id="19"/>
      <w:r w:rsidRPr="00925134">
        <w:rPr>
          <w:rFonts w:cs="Arial"/>
          <w:lang w:val="en-US"/>
        </w:rPr>
        <w:t xml:space="preserve">The </w:t>
      </w:r>
      <w:r w:rsidRPr="00925134">
        <w:rPr>
          <w:rFonts w:cs="Arial"/>
          <w:b/>
          <w:lang w:val="en-US"/>
        </w:rPr>
        <w:t>Asia-Pacific and Latin American</w:t>
      </w:r>
      <w:r w:rsidRPr="00925134">
        <w:rPr>
          <w:rFonts w:cs="Arial"/>
          <w:lang w:val="en-US"/>
        </w:rPr>
        <w:t xml:space="preserve"> region (8% of Group revenues) reported growth of 7.9% at constant exchange rates in 2017, with contrasting trends</w:t>
      </w:r>
      <w:r w:rsidR="00E31618" w:rsidRPr="00925134">
        <w:rPr>
          <w:rFonts w:cs="Arial"/>
          <w:lang w:val="en-US"/>
        </w:rPr>
        <w:t xml:space="preserve"> again this year</w:t>
      </w:r>
      <w:r w:rsidRPr="00925134">
        <w:rPr>
          <w:rFonts w:cs="Arial"/>
          <w:lang w:val="en-US"/>
        </w:rPr>
        <w:t xml:space="preserve">. Growth in the Asia-Pacific region remains very strong, supported by the development of </w:t>
      </w:r>
      <w:r w:rsidR="00EF2975" w:rsidRPr="00925134">
        <w:rPr>
          <w:rFonts w:cs="Arial"/>
          <w:lang w:val="en-US"/>
        </w:rPr>
        <w:t xml:space="preserve">the </w:t>
      </w:r>
      <w:r w:rsidRPr="00925134">
        <w:rPr>
          <w:rFonts w:cs="Arial"/>
          <w:lang w:val="en-US"/>
        </w:rPr>
        <w:t>Financial Services</w:t>
      </w:r>
      <w:r w:rsidR="0057710E" w:rsidRPr="00925134">
        <w:rPr>
          <w:rFonts w:cs="Arial"/>
          <w:lang w:val="en-US"/>
        </w:rPr>
        <w:t xml:space="preserve">, </w:t>
      </w:r>
      <w:r w:rsidRPr="00925134">
        <w:rPr>
          <w:rFonts w:cs="Arial"/>
          <w:lang w:val="en-US"/>
        </w:rPr>
        <w:t xml:space="preserve">Retail &amp; Consumer Goods and Energy sectors. </w:t>
      </w:r>
      <w:r w:rsidR="004F1E4E" w:rsidRPr="00925134">
        <w:rPr>
          <w:rFonts w:cs="Arial"/>
          <w:lang w:val="en-US"/>
        </w:rPr>
        <w:t xml:space="preserve">Business </w:t>
      </w:r>
      <w:r w:rsidRPr="00925134">
        <w:rPr>
          <w:rFonts w:cs="Arial"/>
          <w:lang w:val="en-US"/>
        </w:rPr>
        <w:t>declined further in Latin America</w:t>
      </w:r>
      <w:bookmarkStart w:id="22" w:name="_Hlk505618693"/>
      <w:r w:rsidR="00EF2975" w:rsidRPr="00925134">
        <w:rPr>
          <w:rFonts w:cs="Arial"/>
          <w:lang w:val="en-US"/>
        </w:rPr>
        <w:t>.</w:t>
      </w:r>
      <w:r w:rsidRPr="00925134">
        <w:rPr>
          <w:rFonts w:cs="Arial"/>
          <w:lang w:val="en-US"/>
        </w:rPr>
        <w:t xml:space="preserve"> </w:t>
      </w:r>
      <w:r w:rsidR="00EF2975" w:rsidRPr="00925134">
        <w:rPr>
          <w:rFonts w:cs="Arial"/>
          <w:lang w:val="en-US"/>
        </w:rPr>
        <w:t>However,</w:t>
      </w:r>
      <w:r w:rsidR="0057710E" w:rsidRPr="00925134">
        <w:rPr>
          <w:rFonts w:cs="Arial"/>
          <w:lang w:val="en-US"/>
        </w:rPr>
        <w:t xml:space="preserve"> following </w:t>
      </w:r>
      <w:r w:rsidR="004F1E4E" w:rsidRPr="00925134">
        <w:rPr>
          <w:rFonts w:cs="Arial"/>
          <w:lang w:val="en-US"/>
        </w:rPr>
        <w:t xml:space="preserve">the stabilization of the situation in Brazil </w:t>
      </w:r>
      <w:r w:rsidR="004F11DD" w:rsidRPr="00925134">
        <w:rPr>
          <w:rFonts w:cs="Arial"/>
          <w:lang w:val="en-US"/>
        </w:rPr>
        <w:t>toward the</w:t>
      </w:r>
      <w:r w:rsidR="004F1E4E" w:rsidRPr="00925134">
        <w:rPr>
          <w:rFonts w:cs="Arial"/>
          <w:lang w:val="en-US"/>
        </w:rPr>
        <w:t xml:space="preserve"> end of the year and </w:t>
      </w:r>
      <w:r w:rsidR="004F11DD" w:rsidRPr="00925134">
        <w:rPr>
          <w:rFonts w:cs="Arial"/>
          <w:lang w:val="en-US"/>
        </w:rPr>
        <w:t xml:space="preserve">vibrant </w:t>
      </w:r>
      <w:r w:rsidR="0057710E" w:rsidRPr="00925134">
        <w:rPr>
          <w:rFonts w:cs="Arial"/>
          <w:lang w:val="en-US"/>
        </w:rPr>
        <w:t xml:space="preserve">activity in Mexico, Latin America is </w:t>
      </w:r>
      <w:r w:rsidR="004F1E4E" w:rsidRPr="00925134">
        <w:rPr>
          <w:rFonts w:cs="Arial"/>
          <w:lang w:val="en-US"/>
        </w:rPr>
        <w:t>back to growth in the 4</w:t>
      </w:r>
      <w:r w:rsidR="004F1E4E" w:rsidRPr="00925134">
        <w:rPr>
          <w:rFonts w:cs="Arial"/>
          <w:vertAlign w:val="superscript"/>
          <w:lang w:val="en-US"/>
        </w:rPr>
        <w:t>th</w:t>
      </w:r>
      <w:r w:rsidR="004F1E4E" w:rsidRPr="00925134">
        <w:rPr>
          <w:rFonts w:cs="Arial"/>
          <w:lang w:val="en-US"/>
        </w:rPr>
        <w:t xml:space="preserve"> quarter</w:t>
      </w:r>
      <w:bookmarkEnd w:id="22"/>
      <w:r w:rsidRPr="00925134">
        <w:rPr>
          <w:rFonts w:cs="Arial"/>
          <w:lang w:val="en-US"/>
        </w:rPr>
        <w:t xml:space="preserve">. The operating margin for the region improved significantly to </w:t>
      </w:r>
      <w:r w:rsidR="00CA4B1E" w:rsidRPr="00925134">
        <w:rPr>
          <w:rFonts w:cs="Arial"/>
          <w:lang w:val="en-US"/>
        </w:rPr>
        <w:t>9</w:t>
      </w:r>
      <w:r w:rsidRPr="00925134">
        <w:rPr>
          <w:rFonts w:cs="Arial"/>
          <w:lang w:val="en-US"/>
        </w:rPr>
        <w:t>.</w:t>
      </w:r>
      <w:r w:rsidR="00CA4B1E" w:rsidRPr="00925134">
        <w:rPr>
          <w:rFonts w:cs="Arial"/>
          <w:lang w:val="en-US"/>
        </w:rPr>
        <w:t>8</w:t>
      </w:r>
      <w:r w:rsidR="00C91770" w:rsidRPr="00925134">
        <w:rPr>
          <w:rFonts w:cs="Arial"/>
          <w:lang w:val="en-US"/>
        </w:rPr>
        <w:t xml:space="preserve">% </w:t>
      </w:r>
      <w:r w:rsidRPr="00925134">
        <w:rPr>
          <w:rFonts w:cs="Arial"/>
          <w:lang w:val="en-US"/>
        </w:rPr>
        <w:t xml:space="preserve">in </w:t>
      </w:r>
      <w:r w:rsidR="008959F4" w:rsidRPr="00925134">
        <w:rPr>
          <w:rFonts w:cs="Arial"/>
          <w:lang w:val="en-US"/>
        </w:rPr>
        <w:t>2017</w:t>
      </w:r>
      <w:r w:rsidRPr="00925134">
        <w:rPr>
          <w:rFonts w:cs="Arial"/>
          <w:lang w:val="en-US"/>
        </w:rPr>
        <w:t xml:space="preserve">, from </w:t>
      </w:r>
      <w:r w:rsidR="00CA4B1E" w:rsidRPr="00925134">
        <w:rPr>
          <w:rFonts w:cs="Arial"/>
          <w:lang w:val="en-US"/>
        </w:rPr>
        <w:t>6</w:t>
      </w:r>
      <w:r w:rsidRPr="00925134">
        <w:rPr>
          <w:rFonts w:cs="Arial"/>
          <w:lang w:val="en-US"/>
        </w:rPr>
        <w:t>.</w:t>
      </w:r>
      <w:r w:rsidR="00CA4B1E" w:rsidRPr="00925134">
        <w:rPr>
          <w:rFonts w:cs="Arial"/>
          <w:lang w:val="en-US"/>
        </w:rPr>
        <w:t>6</w:t>
      </w:r>
      <w:r w:rsidR="00C91770" w:rsidRPr="00925134">
        <w:rPr>
          <w:rFonts w:cs="Arial"/>
          <w:lang w:val="en-US"/>
        </w:rPr>
        <w:t xml:space="preserve">% </w:t>
      </w:r>
      <w:r w:rsidRPr="00925134">
        <w:rPr>
          <w:rFonts w:cs="Arial"/>
          <w:lang w:val="en-US"/>
        </w:rPr>
        <w:t>i</w:t>
      </w:r>
      <w:r w:rsidR="00C91770" w:rsidRPr="00925134">
        <w:rPr>
          <w:rFonts w:cs="Arial"/>
          <w:lang w:val="en-US"/>
        </w:rPr>
        <w:t xml:space="preserve">n </w:t>
      </w:r>
      <w:r w:rsidR="008959F4" w:rsidRPr="00925134">
        <w:rPr>
          <w:rFonts w:cs="Arial"/>
          <w:lang w:val="en-US"/>
        </w:rPr>
        <w:t>2016</w:t>
      </w:r>
      <w:r w:rsidR="00C91770" w:rsidRPr="00925134">
        <w:rPr>
          <w:rFonts w:cs="Arial"/>
          <w:lang w:val="en-US"/>
        </w:rPr>
        <w:t>.</w:t>
      </w:r>
    </w:p>
    <w:bookmarkEnd w:id="21"/>
    <w:p w14:paraId="2D3121E9" w14:textId="77777777" w:rsidR="00371F4C" w:rsidRPr="00925134" w:rsidRDefault="00371F4C" w:rsidP="00C91770">
      <w:pPr>
        <w:spacing w:before="120" w:after="120" w:line="288" w:lineRule="auto"/>
        <w:rPr>
          <w:rFonts w:cs="Arial"/>
          <w:lang w:val="en-US"/>
        </w:rPr>
      </w:pPr>
    </w:p>
    <w:p w14:paraId="5B5FC8D5" w14:textId="77777777" w:rsidR="00EB4294" w:rsidRPr="00925134" w:rsidRDefault="00EB4294" w:rsidP="00EB4294">
      <w:pPr>
        <w:pStyle w:val="Overskrift1"/>
        <w:rPr>
          <w:lang w:val="en-US"/>
        </w:rPr>
      </w:pPr>
      <w:r w:rsidRPr="00925134">
        <w:rPr>
          <w:lang w:val="en-US"/>
        </w:rPr>
        <w:lastRenderedPageBreak/>
        <w:t>OPERATIONS BY BUSINESS</w:t>
      </w:r>
    </w:p>
    <w:p w14:paraId="04A87829" w14:textId="6E4E600D" w:rsidR="00EB4294" w:rsidRPr="00925134" w:rsidRDefault="00EB4294" w:rsidP="00EB4294">
      <w:pPr>
        <w:spacing w:before="120" w:after="120" w:line="288" w:lineRule="auto"/>
        <w:rPr>
          <w:rFonts w:cs="Arial"/>
          <w:lang w:val="en-US"/>
        </w:rPr>
      </w:pPr>
      <w:r w:rsidRPr="00925134">
        <w:rPr>
          <w:rFonts w:cs="Arial"/>
          <w:b/>
          <w:lang w:val="en-US"/>
        </w:rPr>
        <w:t>Consulting Services</w:t>
      </w:r>
      <w:r w:rsidRPr="00925134">
        <w:rPr>
          <w:rFonts w:cs="Arial"/>
          <w:lang w:val="en-US"/>
        </w:rPr>
        <w:t xml:space="preserve"> (5% of Group revenues) grew 14% at constant exchange rates, with </w:t>
      </w:r>
      <w:r w:rsidR="0057710E" w:rsidRPr="00925134">
        <w:rPr>
          <w:rFonts w:cs="Arial"/>
          <w:lang w:val="en-US"/>
        </w:rPr>
        <w:t xml:space="preserve">sustained demand </w:t>
      </w:r>
      <w:r w:rsidRPr="00925134">
        <w:rPr>
          <w:rFonts w:cs="Arial"/>
          <w:lang w:val="en-US"/>
        </w:rPr>
        <w:t xml:space="preserve">in the main continental European countries. Activity is fueled by the Digital Transformation needs of </w:t>
      </w:r>
      <w:r w:rsidR="00F9266C" w:rsidRPr="00925134">
        <w:rPr>
          <w:rFonts w:cs="Arial"/>
          <w:lang w:val="en-US"/>
        </w:rPr>
        <w:t xml:space="preserve">the </w:t>
      </w:r>
      <w:r w:rsidRPr="00925134">
        <w:rPr>
          <w:rFonts w:cs="Arial"/>
          <w:lang w:val="en-US"/>
        </w:rPr>
        <w:t>Group</w:t>
      </w:r>
      <w:r w:rsidR="00FA55F5" w:rsidRPr="00925134">
        <w:rPr>
          <w:rFonts w:cs="Arial"/>
          <w:lang w:val="en-US"/>
        </w:rPr>
        <w:t>’s</w:t>
      </w:r>
      <w:r w:rsidRPr="00925134">
        <w:rPr>
          <w:rFonts w:cs="Arial"/>
          <w:lang w:val="en-US"/>
        </w:rPr>
        <w:t xml:space="preserve"> clients, </w:t>
      </w:r>
      <w:r w:rsidR="0057710E" w:rsidRPr="00925134">
        <w:rPr>
          <w:rFonts w:cs="Arial"/>
          <w:lang w:val="en-US"/>
        </w:rPr>
        <w:t>notably</w:t>
      </w:r>
      <w:r w:rsidRPr="00925134">
        <w:rPr>
          <w:rFonts w:cs="Arial"/>
          <w:lang w:val="en-US"/>
        </w:rPr>
        <w:t xml:space="preserve"> in the Manufacturing, Financial Services and Retail &amp; Consumer Goods sectors. The operating margin </w:t>
      </w:r>
      <w:r w:rsidR="00FA55F5" w:rsidRPr="00925134">
        <w:rPr>
          <w:rFonts w:cs="Arial"/>
          <w:lang w:val="en-US"/>
        </w:rPr>
        <w:t>stands at</w:t>
      </w:r>
      <w:r w:rsidRPr="00925134">
        <w:rPr>
          <w:rFonts w:cs="Arial"/>
          <w:lang w:val="en-US"/>
        </w:rPr>
        <w:t xml:space="preserve"> 11.2% of revenues, up 50 basis points year-on-year.</w:t>
      </w:r>
    </w:p>
    <w:p w14:paraId="4E167C22" w14:textId="7170D3B6" w:rsidR="00EB4294" w:rsidRPr="00925134" w:rsidRDefault="00EB4294" w:rsidP="00EB4294">
      <w:pPr>
        <w:spacing w:before="120" w:after="120" w:line="288" w:lineRule="auto"/>
        <w:rPr>
          <w:rFonts w:cs="Arial"/>
          <w:lang w:val="en-US"/>
        </w:rPr>
      </w:pPr>
      <w:r w:rsidRPr="00925134">
        <w:rPr>
          <w:rFonts w:cs="Arial"/>
          <w:b/>
          <w:lang w:val="en-US"/>
        </w:rPr>
        <w:t>Technology &amp; Engineering Services</w:t>
      </w:r>
      <w:r w:rsidRPr="00925134">
        <w:rPr>
          <w:rFonts w:cs="Arial"/>
          <w:lang w:val="en-US"/>
        </w:rPr>
        <w:t xml:space="preserve"> (15% of Group revenues) </w:t>
      </w:r>
      <w:r w:rsidR="0057710E" w:rsidRPr="00925134">
        <w:rPr>
          <w:rFonts w:cs="Arial"/>
          <w:lang w:val="en-US"/>
        </w:rPr>
        <w:t>progressed</w:t>
      </w:r>
      <w:r w:rsidRPr="00925134">
        <w:rPr>
          <w:rFonts w:cs="Arial"/>
          <w:lang w:val="en-US"/>
        </w:rPr>
        <w:t xml:space="preserve"> 4.7% at constant exchange rates. France and Scandinavia </w:t>
      </w:r>
      <w:r w:rsidR="0057710E" w:rsidRPr="00925134">
        <w:rPr>
          <w:rFonts w:cs="Arial"/>
          <w:lang w:val="en-US"/>
        </w:rPr>
        <w:t>carried the momentum</w:t>
      </w:r>
      <w:r w:rsidRPr="00925134">
        <w:rPr>
          <w:rFonts w:cs="Arial"/>
          <w:lang w:val="en-US"/>
        </w:rPr>
        <w:t xml:space="preserve"> this year</w:t>
      </w:r>
      <w:r w:rsidR="00602AD1" w:rsidRPr="00925134">
        <w:rPr>
          <w:rFonts w:cs="Arial"/>
          <w:lang w:val="en-US"/>
        </w:rPr>
        <w:t>. T</w:t>
      </w:r>
      <w:r w:rsidRPr="00925134">
        <w:rPr>
          <w:rFonts w:cs="Arial"/>
          <w:lang w:val="en-US"/>
        </w:rPr>
        <w:t xml:space="preserve">he </w:t>
      </w:r>
      <w:r w:rsidR="00602AD1" w:rsidRPr="00925134">
        <w:rPr>
          <w:rFonts w:cs="Arial"/>
          <w:lang w:val="en-US"/>
        </w:rPr>
        <w:t>Energy</w:t>
      </w:r>
      <w:r w:rsidRPr="00925134">
        <w:rPr>
          <w:rFonts w:cs="Arial"/>
          <w:lang w:val="en-US"/>
        </w:rPr>
        <w:t xml:space="preserve"> &amp; Utilities sector </w:t>
      </w:r>
      <w:r w:rsidR="00602AD1" w:rsidRPr="00925134">
        <w:rPr>
          <w:rFonts w:cs="Arial"/>
          <w:lang w:val="en-US"/>
        </w:rPr>
        <w:t xml:space="preserve">also stood out with </w:t>
      </w:r>
      <w:r w:rsidR="0057710E" w:rsidRPr="00925134">
        <w:rPr>
          <w:rFonts w:cs="Arial"/>
          <w:lang w:val="en-US"/>
        </w:rPr>
        <w:t>double digit growth</w:t>
      </w:r>
      <w:r w:rsidRPr="00925134">
        <w:rPr>
          <w:rFonts w:cs="Arial"/>
          <w:lang w:val="en-US"/>
        </w:rPr>
        <w:t xml:space="preserve">. The operating margin improved 80 basis points to 13.6%. </w:t>
      </w:r>
    </w:p>
    <w:p w14:paraId="4FA509E1" w14:textId="208D4ECA" w:rsidR="00EB4294" w:rsidRPr="00925134" w:rsidRDefault="00EB4294" w:rsidP="00EB4294">
      <w:pPr>
        <w:spacing w:before="120" w:after="120" w:line="288" w:lineRule="auto"/>
        <w:rPr>
          <w:rFonts w:cs="Arial"/>
          <w:lang w:val="en-US"/>
        </w:rPr>
      </w:pPr>
      <w:r w:rsidRPr="00925134">
        <w:rPr>
          <w:rFonts w:cs="Arial"/>
          <w:b/>
          <w:lang w:val="en-US"/>
        </w:rPr>
        <w:t xml:space="preserve">Application </w:t>
      </w:r>
      <w:r w:rsidR="00501DF4" w:rsidRPr="00925134">
        <w:rPr>
          <w:rFonts w:cs="Arial"/>
          <w:b/>
          <w:lang w:val="en-US"/>
        </w:rPr>
        <w:t>S</w:t>
      </w:r>
      <w:r w:rsidRPr="00925134">
        <w:rPr>
          <w:rFonts w:cs="Arial"/>
          <w:b/>
          <w:lang w:val="en-US"/>
        </w:rPr>
        <w:t>ervices</w:t>
      </w:r>
      <w:r w:rsidRPr="00925134">
        <w:rPr>
          <w:rFonts w:cs="Arial"/>
          <w:lang w:val="en-US"/>
        </w:rPr>
        <w:t xml:space="preserve"> revenues (62% of Group revenues) increased 6.6%, with growth of </w:t>
      </w:r>
      <w:r w:rsidR="00F9266C" w:rsidRPr="00925134">
        <w:rPr>
          <w:rFonts w:cs="Arial"/>
          <w:lang w:val="en-US"/>
        </w:rPr>
        <w:t>around</w:t>
      </w:r>
      <w:r w:rsidRPr="00925134">
        <w:rPr>
          <w:rFonts w:cs="Arial"/>
          <w:lang w:val="en-US"/>
        </w:rPr>
        <w:t xml:space="preserve"> 10% in France, Germany, Italy, Scandinavia and Asia. Strong Digital and Cloud demand continues to drive business</w:t>
      </w:r>
      <w:r w:rsidR="00451256" w:rsidRPr="00925134">
        <w:rPr>
          <w:rFonts w:cs="Arial"/>
          <w:lang w:val="en-US"/>
        </w:rPr>
        <w:t xml:space="preserve"> activity</w:t>
      </w:r>
      <w:r w:rsidRPr="00925134">
        <w:rPr>
          <w:rFonts w:cs="Arial"/>
          <w:lang w:val="en-US"/>
        </w:rPr>
        <w:t xml:space="preserve">. </w:t>
      </w:r>
      <w:r w:rsidR="00451256" w:rsidRPr="00925134">
        <w:rPr>
          <w:rFonts w:cs="Arial"/>
          <w:lang w:val="en-US"/>
        </w:rPr>
        <w:t xml:space="preserve">Like </w:t>
      </w:r>
      <w:r w:rsidRPr="00925134">
        <w:rPr>
          <w:rFonts w:cs="Arial"/>
          <w:lang w:val="en-US"/>
        </w:rPr>
        <w:t xml:space="preserve">for the </w:t>
      </w:r>
      <w:r w:rsidR="00451256" w:rsidRPr="00925134">
        <w:rPr>
          <w:rFonts w:cs="Arial"/>
          <w:lang w:val="en-US"/>
        </w:rPr>
        <w:t xml:space="preserve">rest of the </w:t>
      </w:r>
      <w:r w:rsidRPr="00925134">
        <w:rPr>
          <w:rFonts w:cs="Arial"/>
          <w:lang w:val="en-US"/>
        </w:rPr>
        <w:t xml:space="preserve">Group, the Manufacturing and Retail &amp; Consumer Goods sectors reported the highest growth. The operating margin rate is 12.9%, up 20 basis points on 2016. </w:t>
      </w:r>
    </w:p>
    <w:p w14:paraId="0978DB4D" w14:textId="5F732910" w:rsidR="00EB4294" w:rsidRPr="00925134" w:rsidRDefault="00EB4294" w:rsidP="00EB4294">
      <w:pPr>
        <w:spacing w:before="120" w:after="120" w:line="288" w:lineRule="auto"/>
        <w:rPr>
          <w:rFonts w:cs="Arial"/>
          <w:lang w:val="en-US"/>
        </w:rPr>
      </w:pPr>
      <w:r w:rsidRPr="00925134">
        <w:rPr>
          <w:rFonts w:cs="Arial"/>
          <w:b/>
          <w:lang w:val="en-US"/>
        </w:rPr>
        <w:t>Other Managed Services</w:t>
      </w:r>
      <w:r w:rsidRPr="00925134">
        <w:rPr>
          <w:rFonts w:cs="Arial"/>
          <w:lang w:val="en-US"/>
        </w:rPr>
        <w:t xml:space="preserve"> (18% of Group revenues) contracted 6.4% at constant exchange rates. The anticipated decline in the UK public sector and </w:t>
      </w:r>
      <w:r w:rsidR="00141418" w:rsidRPr="00925134">
        <w:rPr>
          <w:rFonts w:cs="Arial"/>
          <w:lang w:val="en-US"/>
        </w:rPr>
        <w:t xml:space="preserve">in </w:t>
      </w:r>
      <w:r w:rsidRPr="00925134">
        <w:rPr>
          <w:rFonts w:cs="Arial"/>
          <w:lang w:val="en-US"/>
        </w:rPr>
        <w:t xml:space="preserve">infrastructure services </w:t>
      </w:r>
      <w:r w:rsidR="00A82067" w:rsidRPr="00925134">
        <w:rPr>
          <w:rFonts w:cs="Arial"/>
          <w:lang w:val="en-US"/>
        </w:rPr>
        <w:t xml:space="preserve">- </w:t>
      </w:r>
      <w:r w:rsidRPr="00925134">
        <w:rPr>
          <w:rFonts w:cs="Arial"/>
          <w:lang w:val="en-US"/>
        </w:rPr>
        <w:t xml:space="preserve">where </w:t>
      </w:r>
      <w:r w:rsidR="00451256" w:rsidRPr="00925134">
        <w:rPr>
          <w:rFonts w:cs="Arial"/>
          <w:lang w:val="en-US"/>
        </w:rPr>
        <w:t>the</w:t>
      </w:r>
      <w:r w:rsidRPr="00925134">
        <w:rPr>
          <w:rFonts w:cs="Arial"/>
          <w:lang w:val="en-US"/>
        </w:rPr>
        <w:t xml:space="preserve"> portfolio transition continues to exert pressure</w:t>
      </w:r>
      <w:r w:rsidR="00A82067" w:rsidRPr="00925134">
        <w:rPr>
          <w:rFonts w:cs="Arial"/>
          <w:lang w:val="en-US"/>
        </w:rPr>
        <w:t xml:space="preserve"> -</w:t>
      </w:r>
      <w:r w:rsidRPr="00925134">
        <w:rPr>
          <w:rFonts w:cs="Arial"/>
          <w:lang w:val="en-US"/>
        </w:rPr>
        <w:t xml:space="preserve"> were the primary causes. Business Services (Business Process Outsourcing and platforms) remained generally stable. The operating margin fell 80 basis points year-on-year to 9.2%.</w:t>
      </w:r>
    </w:p>
    <w:p w14:paraId="7C81D549" w14:textId="77777777" w:rsidR="00EB4294" w:rsidRPr="00925134" w:rsidRDefault="00EB4294" w:rsidP="00EB4294">
      <w:pPr>
        <w:spacing w:before="120" w:after="120" w:line="288" w:lineRule="auto"/>
        <w:rPr>
          <w:rFonts w:cs="Arial"/>
          <w:b/>
          <w:lang w:val="en-US"/>
        </w:rPr>
      </w:pPr>
    </w:p>
    <w:p w14:paraId="50EEA53C" w14:textId="77777777" w:rsidR="00371F4C" w:rsidRPr="00925134" w:rsidRDefault="00064D5A" w:rsidP="00CC23A4">
      <w:pPr>
        <w:keepNext/>
        <w:spacing w:before="120" w:after="120" w:line="288" w:lineRule="auto"/>
        <w:rPr>
          <w:rFonts w:cs="Arial"/>
          <w:b/>
          <w:lang w:val="en-US"/>
        </w:rPr>
      </w:pPr>
      <w:r w:rsidRPr="00925134">
        <w:rPr>
          <w:rFonts w:cs="Arial"/>
          <w:b/>
          <w:lang w:val="en-US"/>
        </w:rPr>
        <w:t>Q4 TRENDS</w:t>
      </w:r>
    </w:p>
    <w:p w14:paraId="6E45D479" w14:textId="170E2511" w:rsidR="00380650" w:rsidRPr="00925134" w:rsidRDefault="00380650" w:rsidP="00380650">
      <w:pPr>
        <w:pStyle w:val="Brdtekst"/>
        <w:rPr>
          <w:lang w:val="en-US"/>
        </w:rPr>
      </w:pPr>
      <w:r w:rsidRPr="00925134">
        <w:rPr>
          <w:lang w:val="en-US"/>
        </w:rPr>
        <w:t xml:space="preserve">Q4 revenue growth </w:t>
      </w:r>
      <w:r w:rsidR="00A4081B" w:rsidRPr="00925134">
        <w:rPr>
          <w:lang w:val="en-US"/>
        </w:rPr>
        <w:t xml:space="preserve">reached </w:t>
      </w:r>
      <w:r w:rsidRPr="00925134">
        <w:rPr>
          <w:lang w:val="en-US"/>
        </w:rPr>
        <w:t xml:space="preserve">6.2% at constant exchange rates and 5.6% at constant </w:t>
      </w:r>
      <w:r w:rsidR="00652AB2" w:rsidRPr="00925134">
        <w:rPr>
          <w:lang w:val="en-US"/>
        </w:rPr>
        <w:t xml:space="preserve">scope and </w:t>
      </w:r>
      <w:r w:rsidR="00FA55F5" w:rsidRPr="00925134">
        <w:rPr>
          <w:lang w:val="en-US"/>
        </w:rPr>
        <w:t>exchange rates</w:t>
      </w:r>
      <w:r w:rsidRPr="00925134">
        <w:rPr>
          <w:lang w:val="en-US"/>
        </w:rPr>
        <w:t>.</w:t>
      </w:r>
    </w:p>
    <w:p w14:paraId="07F51275" w14:textId="14B0C556" w:rsidR="00380650" w:rsidRPr="00925134" w:rsidRDefault="00380650" w:rsidP="00380650">
      <w:pPr>
        <w:pStyle w:val="Brdtekst"/>
        <w:rPr>
          <w:lang w:val="en-US"/>
        </w:rPr>
      </w:pPr>
      <w:r w:rsidRPr="00925134">
        <w:rPr>
          <w:lang w:val="en-US"/>
        </w:rPr>
        <w:t xml:space="preserve">By business, </w:t>
      </w:r>
      <w:r w:rsidR="00A4081B" w:rsidRPr="00925134">
        <w:rPr>
          <w:lang w:val="en-US"/>
        </w:rPr>
        <w:t xml:space="preserve">growth in </w:t>
      </w:r>
      <w:r w:rsidRPr="00925134">
        <w:rPr>
          <w:lang w:val="en-US"/>
        </w:rPr>
        <w:t xml:space="preserve">Application Services and Technology &amp; Engineering Services </w:t>
      </w:r>
      <w:r w:rsidR="00A4081B" w:rsidRPr="00925134">
        <w:rPr>
          <w:lang w:val="en-US"/>
        </w:rPr>
        <w:t xml:space="preserve">accelerated </w:t>
      </w:r>
      <w:r w:rsidRPr="00925134">
        <w:rPr>
          <w:lang w:val="en-US"/>
        </w:rPr>
        <w:t>to 8.9% and 7.8%</w:t>
      </w:r>
      <w:r w:rsidR="00DB6A86" w:rsidRPr="00925134">
        <w:rPr>
          <w:lang w:val="en-US"/>
        </w:rPr>
        <w:t xml:space="preserve"> </w:t>
      </w:r>
      <w:r w:rsidR="00451256" w:rsidRPr="00925134">
        <w:rPr>
          <w:lang w:val="en-US"/>
        </w:rPr>
        <w:t xml:space="preserve">respectively </w:t>
      </w:r>
      <w:r w:rsidR="00DB6A86" w:rsidRPr="00925134">
        <w:rPr>
          <w:lang w:val="en-US"/>
        </w:rPr>
        <w:t xml:space="preserve">at constant exchange rates. </w:t>
      </w:r>
      <w:r w:rsidRPr="00925134">
        <w:rPr>
          <w:lang w:val="en-US"/>
        </w:rPr>
        <w:t>Consulting Services maintained its momentum</w:t>
      </w:r>
      <w:r w:rsidR="00DB6A86" w:rsidRPr="00925134">
        <w:rPr>
          <w:lang w:val="en-US"/>
        </w:rPr>
        <w:t xml:space="preserve"> with </w:t>
      </w:r>
      <w:r w:rsidRPr="00925134">
        <w:rPr>
          <w:lang w:val="en-US"/>
        </w:rPr>
        <w:t>19.1%</w:t>
      </w:r>
      <w:r w:rsidR="00DB6A86" w:rsidRPr="00925134">
        <w:rPr>
          <w:lang w:val="en-US"/>
        </w:rPr>
        <w:t xml:space="preserve"> growth</w:t>
      </w:r>
      <w:r w:rsidRPr="00925134">
        <w:rPr>
          <w:lang w:val="en-US"/>
        </w:rPr>
        <w:t xml:space="preserve">. </w:t>
      </w:r>
      <w:r w:rsidR="00764F16" w:rsidRPr="00925134">
        <w:rPr>
          <w:lang w:val="en-US"/>
        </w:rPr>
        <w:t xml:space="preserve">Revenues contracted 6.4% in </w:t>
      </w:r>
      <w:r w:rsidRPr="00925134">
        <w:rPr>
          <w:lang w:val="en-US"/>
        </w:rPr>
        <w:t>Other Managed Services</w:t>
      </w:r>
      <w:r w:rsidR="00764F16" w:rsidRPr="00925134">
        <w:rPr>
          <w:lang w:val="en-US"/>
        </w:rPr>
        <w:t xml:space="preserve">, in line with </w:t>
      </w:r>
      <w:r w:rsidR="00652AB2" w:rsidRPr="00925134">
        <w:rPr>
          <w:lang w:val="en-US"/>
        </w:rPr>
        <w:t xml:space="preserve">previous </w:t>
      </w:r>
      <w:r w:rsidR="00764F16" w:rsidRPr="00925134">
        <w:rPr>
          <w:lang w:val="en-US"/>
        </w:rPr>
        <w:t>quarter</w:t>
      </w:r>
      <w:r w:rsidR="00A4081B" w:rsidRPr="00925134">
        <w:rPr>
          <w:lang w:val="en-US"/>
        </w:rPr>
        <w:t>s</w:t>
      </w:r>
      <w:r w:rsidR="0071009C" w:rsidRPr="00925134">
        <w:rPr>
          <w:lang w:val="en-US"/>
        </w:rPr>
        <w:t>.</w:t>
      </w:r>
    </w:p>
    <w:p w14:paraId="5FD1C694" w14:textId="7998D1E2" w:rsidR="000F73C6" w:rsidRPr="00925134" w:rsidRDefault="00451256" w:rsidP="00371F4C">
      <w:pPr>
        <w:pStyle w:val="Brdtekst"/>
        <w:rPr>
          <w:lang w:val="en-US"/>
        </w:rPr>
      </w:pPr>
      <w:r w:rsidRPr="00925134">
        <w:rPr>
          <w:lang w:val="en-US"/>
        </w:rPr>
        <w:t>Growth accelerated in a</w:t>
      </w:r>
      <w:r w:rsidR="00380650" w:rsidRPr="00925134">
        <w:rPr>
          <w:lang w:val="en-US"/>
        </w:rPr>
        <w:t>ll Group regions</w:t>
      </w:r>
      <w:r w:rsidRPr="00925134">
        <w:rPr>
          <w:lang w:val="en-US"/>
        </w:rPr>
        <w:t>,</w:t>
      </w:r>
      <w:r w:rsidR="00380650" w:rsidRPr="00925134">
        <w:rPr>
          <w:lang w:val="en-US"/>
        </w:rPr>
        <w:t xml:space="preserve"> </w:t>
      </w:r>
      <w:r w:rsidR="00A4081B" w:rsidRPr="00925134">
        <w:rPr>
          <w:lang w:val="en-US"/>
        </w:rPr>
        <w:t xml:space="preserve">except </w:t>
      </w:r>
      <w:r w:rsidRPr="00925134">
        <w:rPr>
          <w:lang w:val="en-US"/>
        </w:rPr>
        <w:t xml:space="preserve">in </w:t>
      </w:r>
      <w:r w:rsidR="00380650" w:rsidRPr="00925134">
        <w:rPr>
          <w:lang w:val="en-US"/>
        </w:rPr>
        <w:t xml:space="preserve">the United Kingdom </w:t>
      </w:r>
      <w:r w:rsidR="00A4081B" w:rsidRPr="00925134">
        <w:rPr>
          <w:lang w:val="en-US"/>
        </w:rPr>
        <w:t xml:space="preserve">&amp; </w:t>
      </w:r>
      <w:r w:rsidR="000B404E" w:rsidRPr="00925134">
        <w:rPr>
          <w:lang w:val="en-US"/>
        </w:rPr>
        <w:t>Ireland</w:t>
      </w:r>
      <w:r w:rsidR="00851528" w:rsidRPr="00925134">
        <w:rPr>
          <w:lang w:val="en-US"/>
        </w:rPr>
        <w:t xml:space="preserve">, with rates exceeding 10% in North America </w:t>
      </w:r>
      <w:r w:rsidR="001E4640" w:rsidRPr="00925134">
        <w:rPr>
          <w:lang w:val="en-US"/>
        </w:rPr>
        <w:t>(</w:t>
      </w:r>
      <w:r w:rsidR="00AE78CA" w:rsidRPr="00925134">
        <w:rPr>
          <w:lang w:val="en-US"/>
        </w:rPr>
        <w:t>+</w:t>
      </w:r>
      <w:r w:rsidR="001E4640" w:rsidRPr="00925134">
        <w:rPr>
          <w:lang w:val="en-US"/>
        </w:rPr>
        <w:t>12</w:t>
      </w:r>
      <w:r w:rsidR="00851528" w:rsidRPr="00925134">
        <w:rPr>
          <w:lang w:val="en-US"/>
        </w:rPr>
        <w:t>.</w:t>
      </w:r>
      <w:r w:rsidR="001E4640" w:rsidRPr="00925134">
        <w:rPr>
          <w:lang w:val="en-US"/>
        </w:rPr>
        <w:t>3%)</w:t>
      </w:r>
      <w:r w:rsidR="00851528" w:rsidRPr="00925134">
        <w:rPr>
          <w:lang w:val="en-US"/>
        </w:rPr>
        <w:t xml:space="preserve"> and the </w:t>
      </w:r>
      <w:r w:rsidR="000F3D27" w:rsidRPr="00925134">
        <w:rPr>
          <w:lang w:val="en-US"/>
        </w:rPr>
        <w:t>R</w:t>
      </w:r>
      <w:r w:rsidR="00851528" w:rsidRPr="00925134">
        <w:rPr>
          <w:lang w:val="en-US"/>
        </w:rPr>
        <w:t>est of Europe</w:t>
      </w:r>
      <w:r w:rsidR="001E4640" w:rsidRPr="00925134">
        <w:rPr>
          <w:lang w:val="en-US"/>
        </w:rPr>
        <w:t xml:space="preserve"> (</w:t>
      </w:r>
      <w:r w:rsidR="00AE78CA" w:rsidRPr="00925134">
        <w:rPr>
          <w:lang w:val="en-US"/>
        </w:rPr>
        <w:t>+</w:t>
      </w:r>
      <w:r w:rsidR="001E4640" w:rsidRPr="00925134">
        <w:rPr>
          <w:lang w:val="en-US"/>
        </w:rPr>
        <w:t>11</w:t>
      </w:r>
      <w:r w:rsidR="00EF2975" w:rsidRPr="00925134">
        <w:rPr>
          <w:lang w:val="en-US"/>
        </w:rPr>
        <w:t>.</w:t>
      </w:r>
      <w:r w:rsidR="001E4640" w:rsidRPr="00925134">
        <w:rPr>
          <w:lang w:val="en-US"/>
        </w:rPr>
        <w:t>3%).</w:t>
      </w:r>
      <w:r w:rsidR="00BB01D1" w:rsidRPr="00925134">
        <w:rPr>
          <w:lang w:val="en-US"/>
        </w:rPr>
        <w:t xml:space="preserve"> </w:t>
      </w:r>
      <w:r w:rsidR="00851528" w:rsidRPr="00925134">
        <w:rPr>
          <w:lang w:val="en-US"/>
        </w:rPr>
        <w:t xml:space="preserve">Momentum was fueled by the Manufacturing, Financial Services, Retail &amp; Consumer Goods and Energy sectors, all growing over </w:t>
      </w:r>
      <w:r w:rsidR="00657088" w:rsidRPr="00925134">
        <w:rPr>
          <w:lang w:val="en-US"/>
        </w:rPr>
        <w:t>5%.</w:t>
      </w:r>
    </w:p>
    <w:p w14:paraId="0DBBFED3" w14:textId="77777777" w:rsidR="000F610E" w:rsidRPr="00925134" w:rsidRDefault="00851528" w:rsidP="000F610E">
      <w:pPr>
        <w:spacing w:before="120" w:after="120" w:line="288" w:lineRule="auto"/>
        <w:rPr>
          <w:rFonts w:cs="Arial"/>
          <w:bCs/>
          <w:lang w:val="en-US"/>
        </w:rPr>
      </w:pPr>
      <w:r w:rsidRPr="00925134">
        <w:rPr>
          <w:rFonts w:cs="Arial"/>
          <w:bCs/>
          <w:lang w:val="en-US"/>
        </w:rPr>
        <w:t>Q4 bookings totaled €</w:t>
      </w:r>
      <w:r w:rsidR="00105899" w:rsidRPr="00925134">
        <w:rPr>
          <w:rFonts w:cs="Arial"/>
          <w:bCs/>
          <w:lang w:val="en-US"/>
        </w:rPr>
        <w:t>3</w:t>
      </w:r>
      <w:r w:rsidRPr="00925134">
        <w:rPr>
          <w:rFonts w:cs="Arial"/>
          <w:bCs/>
          <w:lang w:val="en-US"/>
        </w:rPr>
        <w:t>,</w:t>
      </w:r>
      <w:r w:rsidR="00105899" w:rsidRPr="00925134">
        <w:rPr>
          <w:rFonts w:cs="Arial"/>
          <w:bCs/>
          <w:lang w:val="en-US"/>
        </w:rPr>
        <w:t>801 million</w:t>
      </w:r>
      <w:r w:rsidRPr="00925134">
        <w:rPr>
          <w:rFonts w:cs="Arial"/>
          <w:bCs/>
          <w:lang w:val="en-US"/>
        </w:rPr>
        <w:t>, with a</w:t>
      </w:r>
      <w:r w:rsidR="00105899" w:rsidRPr="00925134">
        <w:rPr>
          <w:rFonts w:cs="Arial"/>
          <w:bCs/>
          <w:lang w:val="en-US"/>
        </w:rPr>
        <w:t xml:space="preserve"> book-to-bill</w:t>
      </w:r>
      <w:r w:rsidRPr="00925134">
        <w:rPr>
          <w:rFonts w:cs="Arial"/>
          <w:bCs/>
          <w:lang w:val="en-US"/>
        </w:rPr>
        <w:t xml:space="preserve"> ratio of </w:t>
      </w:r>
      <w:r w:rsidR="00105899" w:rsidRPr="00925134">
        <w:rPr>
          <w:rFonts w:cs="Arial"/>
          <w:bCs/>
          <w:lang w:val="en-US"/>
        </w:rPr>
        <w:t>1</w:t>
      </w:r>
      <w:r w:rsidRPr="00925134">
        <w:rPr>
          <w:rFonts w:cs="Arial"/>
          <w:bCs/>
          <w:lang w:val="en-US"/>
        </w:rPr>
        <w:t>.</w:t>
      </w:r>
      <w:r w:rsidR="00105899" w:rsidRPr="00925134">
        <w:rPr>
          <w:rFonts w:cs="Arial"/>
          <w:bCs/>
          <w:lang w:val="en-US"/>
        </w:rPr>
        <w:t>14</w:t>
      </w:r>
      <w:r w:rsidR="000F610E" w:rsidRPr="00925134">
        <w:rPr>
          <w:rFonts w:cs="Arial"/>
          <w:bCs/>
          <w:lang w:val="en-US"/>
        </w:rPr>
        <w:t>.</w:t>
      </w:r>
    </w:p>
    <w:p w14:paraId="002B9D14" w14:textId="77777777" w:rsidR="00371F4C" w:rsidRPr="00925134" w:rsidRDefault="00371F4C" w:rsidP="00371F4C">
      <w:pPr>
        <w:pStyle w:val="Brdtekst"/>
        <w:rPr>
          <w:lang w:val="en-US"/>
        </w:rPr>
      </w:pPr>
    </w:p>
    <w:p w14:paraId="2435B320" w14:textId="77777777" w:rsidR="00A806AA" w:rsidRPr="00925134" w:rsidRDefault="006229D2" w:rsidP="00371F4C">
      <w:pPr>
        <w:pStyle w:val="Overskrift1"/>
        <w:rPr>
          <w:lang w:val="en-US"/>
        </w:rPr>
      </w:pPr>
      <w:r w:rsidRPr="00925134">
        <w:rPr>
          <w:lang w:val="en-US"/>
        </w:rPr>
        <w:t>HEADCOUNT</w:t>
      </w:r>
    </w:p>
    <w:p w14:paraId="3B25A892" w14:textId="16713D03" w:rsidR="002927A1" w:rsidRPr="00925134" w:rsidRDefault="006229D2" w:rsidP="00371F4C">
      <w:pPr>
        <w:pStyle w:val="Brdtekst"/>
        <w:rPr>
          <w:lang w:val="en-US"/>
        </w:rPr>
      </w:pPr>
      <w:r w:rsidRPr="00925134">
        <w:rPr>
          <w:lang w:val="en-US"/>
        </w:rPr>
        <w:t xml:space="preserve">At December 31, 2017, the Group’s total headcount was 199,700, an increase of </w:t>
      </w:r>
      <w:r w:rsidR="005B7F20" w:rsidRPr="00925134">
        <w:rPr>
          <w:lang w:val="en-US"/>
        </w:rPr>
        <w:t xml:space="preserve">3.4% year-on-year, with </w:t>
      </w:r>
      <w:r w:rsidR="00EF2975" w:rsidRPr="00925134">
        <w:rPr>
          <w:lang w:val="en-US"/>
        </w:rPr>
        <w:t xml:space="preserve">nearly </w:t>
      </w:r>
      <w:r w:rsidR="005B7F20" w:rsidRPr="00925134">
        <w:rPr>
          <w:lang w:val="en-US"/>
        </w:rPr>
        <w:t>114</w:t>
      </w:r>
      <w:r w:rsidRPr="00925134">
        <w:rPr>
          <w:lang w:val="en-US"/>
        </w:rPr>
        <w:t>,000 employees in offshore centers (5</w:t>
      </w:r>
      <w:r w:rsidR="005B7F20" w:rsidRPr="00925134">
        <w:rPr>
          <w:lang w:val="en-US"/>
        </w:rPr>
        <w:t>7</w:t>
      </w:r>
      <w:r w:rsidRPr="00925134">
        <w:rPr>
          <w:lang w:val="en-US"/>
        </w:rPr>
        <w:t xml:space="preserve">% of the total headcount). </w:t>
      </w:r>
    </w:p>
    <w:p w14:paraId="2EC0B804" w14:textId="77777777" w:rsidR="0009608C" w:rsidRPr="00925134" w:rsidRDefault="0009608C" w:rsidP="00371F4C">
      <w:pPr>
        <w:pStyle w:val="Brdtekst"/>
        <w:rPr>
          <w:lang w:val="en-US"/>
        </w:rPr>
      </w:pPr>
    </w:p>
    <w:p w14:paraId="3260362A" w14:textId="2EA5198A" w:rsidR="00371F4C" w:rsidRPr="00925134" w:rsidRDefault="00371F4C" w:rsidP="00371F4C">
      <w:pPr>
        <w:pStyle w:val="Overskrift1"/>
        <w:rPr>
          <w:lang w:val="en-US"/>
        </w:rPr>
      </w:pPr>
      <w:bookmarkStart w:id="23" w:name="_Ref505280720"/>
      <w:bookmarkStart w:id="24" w:name="_Ref505289542"/>
      <w:r w:rsidRPr="00925134">
        <w:rPr>
          <w:lang w:val="en-US"/>
        </w:rPr>
        <w:t>B</w:t>
      </w:r>
      <w:r w:rsidR="005B7F20" w:rsidRPr="00925134">
        <w:rPr>
          <w:lang w:val="en-US"/>
        </w:rPr>
        <w:t>ALANCE SHEET</w:t>
      </w:r>
      <w:bookmarkEnd w:id="23"/>
      <w:r w:rsidR="0077767C" w:rsidRPr="00925134">
        <w:rPr>
          <w:lang w:val="en-US"/>
        </w:rPr>
        <w:t xml:space="preserve"> &amp; TAX</w:t>
      </w:r>
      <w:bookmarkEnd w:id="24"/>
    </w:p>
    <w:p w14:paraId="300AB264" w14:textId="77777777" w:rsidR="005B7F20" w:rsidRPr="00925134" w:rsidRDefault="005B7F20" w:rsidP="005B7F20">
      <w:pPr>
        <w:pStyle w:val="Brdtekst"/>
        <w:rPr>
          <w:lang w:val="en-US"/>
        </w:rPr>
      </w:pPr>
      <w:bookmarkStart w:id="25" w:name="_Hlk505943678"/>
      <w:r w:rsidRPr="00925134">
        <w:rPr>
          <w:lang w:val="en-US"/>
        </w:rPr>
        <w:t>Overall, the balance sheet structure remained broadly unchanged in 2017.</w:t>
      </w:r>
    </w:p>
    <w:p w14:paraId="256A6498" w14:textId="60D3BC0C" w:rsidR="00371F4C" w:rsidRPr="00925134" w:rsidRDefault="005B7F20" w:rsidP="005B7F20">
      <w:pPr>
        <w:pStyle w:val="Brdtekst"/>
        <w:rPr>
          <w:lang w:val="en-US"/>
        </w:rPr>
      </w:pPr>
      <w:r w:rsidRPr="00925134">
        <w:rPr>
          <w:lang w:val="en-US"/>
        </w:rPr>
        <w:t>At December 31, 2017 the Group had €1,988 million in cash and cash equivalents (net of bank overdrafts), compared with €1,870 million a year earlier. After accounting for borrowings of €3,372 million, cash management assets and derivative instruments, Group net debt</w:t>
      </w:r>
      <w:r w:rsidRPr="00925134">
        <w:rPr>
          <w:vertAlign w:val="superscript"/>
          <w:lang w:val="en-US"/>
        </w:rPr>
        <w:t>*</w:t>
      </w:r>
      <w:r w:rsidRPr="00925134">
        <w:rPr>
          <w:lang w:val="en-US"/>
        </w:rPr>
        <w:t xml:space="preserve"> is €1,209 million at the end of 2017, down on €1,413 million at December 31, 2016</w:t>
      </w:r>
      <w:r w:rsidR="00371F4C" w:rsidRPr="00925134">
        <w:rPr>
          <w:lang w:val="en-US"/>
        </w:rPr>
        <w:t xml:space="preserve">. </w:t>
      </w:r>
    </w:p>
    <w:p w14:paraId="35E1FA5E" w14:textId="65FEA69A" w:rsidR="00A4081B" w:rsidRPr="00925134" w:rsidRDefault="00A4081B" w:rsidP="005B7F20">
      <w:pPr>
        <w:pStyle w:val="Brdtekst"/>
        <w:rPr>
          <w:lang w:val="en-US"/>
        </w:rPr>
      </w:pPr>
      <w:r w:rsidRPr="00925134">
        <w:rPr>
          <w:lang w:val="en-US"/>
        </w:rPr>
        <w:t xml:space="preserve">Deferred tax assets </w:t>
      </w:r>
      <w:r w:rsidR="00F9266C" w:rsidRPr="00925134">
        <w:rPr>
          <w:lang w:val="en-US"/>
        </w:rPr>
        <w:t>total</w:t>
      </w:r>
      <w:r w:rsidRPr="00925134">
        <w:rPr>
          <w:lang w:val="en-US"/>
        </w:rPr>
        <w:t xml:space="preserve"> €1,283 million at the end of the year</w:t>
      </w:r>
      <w:r w:rsidR="00C230C0" w:rsidRPr="00925134">
        <w:rPr>
          <w:lang w:val="en-US"/>
        </w:rPr>
        <w:t>. They include</w:t>
      </w:r>
      <w:r w:rsidRPr="00925134">
        <w:rPr>
          <w:lang w:val="en-US"/>
        </w:rPr>
        <w:t xml:space="preserve"> €554 million </w:t>
      </w:r>
      <w:r w:rsidR="00D23C05" w:rsidRPr="00925134">
        <w:rPr>
          <w:lang w:val="en-US"/>
        </w:rPr>
        <w:t>related to</w:t>
      </w:r>
      <w:r w:rsidR="001B1EB5" w:rsidRPr="00925134">
        <w:rPr>
          <w:lang w:val="en-US"/>
        </w:rPr>
        <w:t xml:space="preserve"> U.S. tax loss carry-forward</w:t>
      </w:r>
      <w:r w:rsidR="00C230C0" w:rsidRPr="00925134">
        <w:rPr>
          <w:lang w:val="en-US"/>
        </w:rPr>
        <w:t xml:space="preserve">s, after taking </w:t>
      </w:r>
      <w:r w:rsidR="00451256" w:rsidRPr="00925134">
        <w:rPr>
          <w:lang w:val="en-US"/>
        </w:rPr>
        <w:t xml:space="preserve">into </w:t>
      </w:r>
      <w:r w:rsidR="00C230C0" w:rsidRPr="00925134">
        <w:rPr>
          <w:lang w:val="en-US"/>
        </w:rPr>
        <w:t xml:space="preserve">account </w:t>
      </w:r>
      <w:r w:rsidR="001B1EB5" w:rsidRPr="00925134">
        <w:rPr>
          <w:lang w:val="en-US"/>
        </w:rPr>
        <w:t xml:space="preserve">the following changes </w:t>
      </w:r>
      <w:r w:rsidR="00451256" w:rsidRPr="00925134">
        <w:rPr>
          <w:lang w:val="en-US"/>
        </w:rPr>
        <w:t>which</w:t>
      </w:r>
      <w:r w:rsidR="001B1EB5" w:rsidRPr="00925134">
        <w:rPr>
          <w:lang w:val="en-US"/>
        </w:rPr>
        <w:t xml:space="preserve"> </w:t>
      </w:r>
      <w:r w:rsidR="00C230C0" w:rsidRPr="00925134">
        <w:rPr>
          <w:lang w:val="en-US"/>
        </w:rPr>
        <w:t xml:space="preserve">had a </w:t>
      </w:r>
      <w:r w:rsidR="001B1EB5" w:rsidRPr="00925134">
        <w:rPr>
          <w:lang w:val="en-US"/>
        </w:rPr>
        <w:t>non-significant net impact on the 2017 tax expense:</w:t>
      </w:r>
    </w:p>
    <w:p w14:paraId="2B855DAE" w14:textId="39B70963" w:rsidR="001B1EB5" w:rsidRPr="00925134" w:rsidRDefault="001B1EB5" w:rsidP="00F9266C">
      <w:pPr>
        <w:pStyle w:val="Listeavsnitt"/>
        <w:numPr>
          <w:ilvl w:val="0"/>
          <w:numId w:val="45"/>
        </w:numPr>
        <w:spacing w:line="288" w:lineRule="auto"/>
        <w:ind w:left="425" w:hanging="357"/>
        <w:rPr>
          <w:rFonts w:cs="Arial"/>
          <w:lang w:val="en-US"/>
        </w:rPr>
      </w:pPr>
      <w:r w:rsidRPr="00925134">
        <w:rPr>
          <w:rFonts w:cs="Arial"/>
          <w:lang w:val="en-US"/>
        </w:rPr>
        <w:t xml:space="preserve">the </w:t>
      </w:r>
      <w:r w:rsidR="00451256" w:rsidRPr="00925134">
        <w:rPr>
          <w:rFonts w:cs="Arial"/>
          <w:lang w:val="en-US"/>
        </w:rPr>
        <w:t>impact</w:t>
      </w:r>
      <w:r w:rsidRPr="00925134">
        <w:rPr>
          <w:rFonts w:cs="Arial"/>
          <w:lang w:val="en-US"/>
        </w:rPr>
        <w:t xml:space="preserve"> of the change in the </w:t>
      </w:r>
      <w:r w:rsidR="00451256" w:rsidRPr="00925134">
        <w:rPr>
          <w:rFonts w:cs="Arial"/>
          <w:lang w:val="en-US"/>
        </w:rPr>
        <w:t xml:space="preserve">U.S. </w:t>
      </w:r>
      <w:r w:rsidRPr="00925134">
        <w:rPr>
          <w:rFonts w:cs="Arial"/>
          <w:lang w:val="en-US"/>
        </w:rPr>
        <w:t xml:space="preserve">tax rate, which led to a decrease in deferred tax assets of </w:t>
      </w:r>
      <w:r w:rsidR="00E7043A" w:rsidRPr="00925134">
        <w:rPr>
          <w:rFonts w:cs="Arial"/>
          <w:lang w:val="en-US"/>
        </w:rPr>
        <w:t>€</w:t>
      </w:r>
      <w:r w:rsidRPr="00925134">
        <w:rPr>
          <w:rFonts w:cs="Arial"/>
          <w:lang w:val="en-US"/>
        </w:rPr>
        <w:t>295 million;</w:t>
      </w:r>
    </w:p>
    <w:p w14:paraId="3667B23B" w14:textId="7ABB0025" w:rsidR="001B1EB5" w:rsidRPr="00925134" w:rsidRDefault="00C230C0" w:rsidP="00F9266C">
      <w:pPr>
        <w:pStyle w:val="Listeavsnitt"/>
        <w:numPr>
          <w:ilvl w:val="0"/>
          <w:numId w:val="45"/>
        </w:numPr>
        <w:spacing w:line="288" w:lineRule="auto"/>
        <w:ind w:left="425" w:hanging="357"/>
        <w:rPr>
          <w:rFonts w:cs="Arial"/>
          <w:lang w:val="en-US"/>
        </w:rPr>
      </w:pPr>
      <w:r w:rsidRPr="00925134">
        <w:rPr>
          <w:rFonts w:cs="Arial"/>
          <w:lang w:val="en-US"/>
        </w:rPr>
        <w:t xml:space="preserve">the </w:t>
      </w:r>
      <w:r w:rsidR="001B1EB5" w:rsidRPr="00925134">
        <w:rPr>
          <w:rFonts w:cs="Arial"/>
          <w:lang w:val="en-US"/>
        </w:rPr>
        <w:t xml:space="preserve">outlook for taxable profits in the United States </w:t>
      </w:r>
      <w:r w:rsidR="004F03ED" w:rsidRPr="00925134">
        <w:rPr>
          <w:rFonts w:cs="Arial"/>
          <w:lang w:val="en-US"/>
        </w:rPr>
        <w:t>which</w:t>
      </w:r>
      <w:r w:rsidRPr="00925134">
        <w:rPr>
          <w:rFonts w:cs="Arial"/>
          <w:lang w:val="en-US"/>
        </w:rPr>
        <w:t xml:space="preserve"> </w:t>
      </w:r>
      <w:r w:rsidR="00EF2975" w:rsidRPr="00925134">
        <w:rPr>
          <w:rFonts w:cs="Arial"/>
          <w:lang w:val="en-US"/>
        </w:rPr>
        <w:t xml:space="preserve">has </w:t>
      </w:r>
      <w:r w:rsidRPr="00925134">
        <w:rPr>
          <w:rFonts w:cs="Arial"/>
          <w:lang w:val="en-US"/>
        </w:rPr>
        <w:t xml:space="preserve">increased since </w:t>
      </w:r>
      <w:r w:rsidR="001B1EB5" w:rsidRPr="00925134">
        <w:rPr>
          <w:rFonts w:cs="Arial"/>
          <w:lang w:val="en-US"/>
        </w:rPr>
        <w:t xml:space="preserve">the </w:t>
      </w:r>
      <w:r w:rsidR="00735D3E" w:rsidRPr="00925134">
        <w:rPr>
          <w:rFonts w:cs="Arial"/>
          <w:lang w:val="en-US"/>
        </w:rPr>
        <w:t>last</w:t>
      </w:r>
      <w:r w:rsidRPr="00925134">
        <w:rPr>
          <w:rFonts w:cs="Arial"/>
          <w:lang w:val="en-US"/>
        </w:rPr>
        <w:t xml:space="preserve"> remeasurement</w:t>
      </w:r>
      <w:r w:rsidR="001B1EB5" w:rsidRPr="00925134">
        <w:rPr>
          <w:rFonts w:cs="Arial"/>
          <w:lang w:val="en-US"/>
        </w:rPr>
        <w:t xml:space="preserve"> of U.S. deferred tax assets in 2015</w:t>
      </w:r>
      <w:r w:rsidRPr="00925134">
        <w:rPr>
          <w:rFonts w:cs="Arial"/>
          <w:lang w:val="en-US"/>
        </w:rPr>
        <w:t>,</w:t>
      </w:r>
      <w:r w:rsidR="001B1EB5" w:rsidRPr="00925134">
        <w:rPr>
          <w:rFonts w:cs="Arial"/>
          <w:lang w:val="en-US"/>
        </w:rPr>
        <w:t xml:space="preserve"> </w:t>
      </w:r>
      <w:r w:rsidRPr="00925134">
        <w:rPr>
          <w:rFonts w:cs="Arial"/>
          <w:lang w:val="en-US"/>
        </w:rPr>
        <w:t>and</w:t>
      </w:r>
      <w:r w:rsidR="00735D3E" w:rsidRPr="00925134">
        <w:rPr>
          <w:rFonts w:cs="Arial"/>
          <w:lang w:val="en-US"/>
        </w:rPr>
        <w:t xml:space="preserve"> led</w:t>
      </w:r>
      <w:r w:rsidR="001B1EB5" w:rsidRPr="00925134">
        <w:rPr>
          <w:rFonts w:cs="Arial"/>
          <w:lang w:val="en-US"/>
        </w:rPr>
        <w:t xml:space="preserve"> </w:t>
      </w:r>
      <w:r w:rsidR="00735D3E" w:rsidRPr="00925134">
        <w:rPr>
          <w:rFonts w:cs="Arial"/>
          <w:lang w:val="en-US"/>
        </w:rPr>
        <w:t>to</w:t>
      </w:r>
      <w:r w:rsidR="001B1EB5" w:rsidRPr="00925134">
        <w:rPr>
          <w:rFonts w:cs="Arial"/>
          <w:lang w:val="en-US"/>
        </w:rPr>
        <w:t xml:space="preserve"> </w:t>
      </w:r>
      <w:r w:rsidRPr="00925134">
        <w:rPr>
          <w:rFonts w:cs="Arial"/>
          <w:lang w:val="en-US"/>
        </w:rPr>
        <w:t xml:space="preserve">the </w:t>
      </w:r>
      <w:r w:rsidR="00735D3E" w:rsidRPr="00925134">
        <w:rPr>
          <w:rFonts w:cs="Arial"/>
          <w:lang w:val="en-US"/>
        </w:rPr>
        <w:t>recogni</w:t>
      </w:r>
      <w:r w:rsidRPr="00925134">
        <w:rPr>
          <w:rFonts w:cs="Arial"/>
          <w:lang w:val="en-US"/>
        </w:rPr>
        <w:t>tion</w:t>
      </w:r>
      <w:r w:rsidR="004F03ED" w:rsidRPr="00925134">
        <w:rPr>
          <w:rFonts w:cs="Arial"/>
          <w:lang w:val="en-US"/>
        </w:rPr>
        <w:t xml:space="preserve"> of</w:t>
      </w:r>
      <w:r w:rsidR="00735D3E" w:rsidRPr="00925134">
        <w:rPr>
          <w:rFonts w:cs="Arial"/>
          <w:lang w:val="en-US"/>
        </w:rPr>
        <w:t xml:space="preserve"> new</w:t>
      </w:r>
      <w:r w:rsidR="001B1EB5" w:rsidRPr="00925134">
        <w:rPr>
          <w:rFonts w:cs="Arial"/>
          <w:lang w:val="en-US"/>
        </w:rPr>
        <w:t xml:space="preserve"> </w:t>
      </w:r>
      <w:r w:rsidR="00735D3E" w:rsidRPr="00925134">
        <w:rPr>
          <w:rFonts w:cs="Arial"/>
          <w:lang w:val="en-US"/>
        </w:rPr>
        <w:t xml:space="preserve">deferred tax </w:t>
      </w:r>
      <w:r w:rsidR="001B1EB5" w:rsidRPr="00925134">
        <w:rPr>
          <w:rFonts w:cs="Arial"/>
          <w:lang w:val="en-US"/>
        </w:rPr>
        <w:t xml:space="preserve">assets </w:t>
      </w:r>
      <w:r w:rsidR="004F03ED" w:rsidRPr="00925134">
        <w:rPr>
          <w:rFonts w:cs="Arial"/>
          <w:lang w:val="en-US"/>
        </w:rPr>
        <w:t xml:space="preserve">of </w:t>
      </w:r>
      <w:r w:rsidR="00E7043A" w:rsidRPr="00925134">
        <w:rPr>
          <w:rFonts w:cs="Arial"/>
          <w:lang w:val="en-US"/>
        </w:rPr>
        <w:t>€</w:t>
      </w:r>
      <w:r w:rsidR="001B1EB5" w:rsidRPr="00925134">
        <w:rPr>
          <w:rFonts w:cs="Arial"/>
          <w:lang w:val="en-US"/>
        </w:rPr>
        <w:t>299 million.</w:t>
      </w:r>
      <w:r w:rsidR="004F03ED" w:rsidRPr="00925134">
        <w:rPr>
          <w:rFonts w:cs="Arial"/>
          <w:lang w:val="en-US"/>
        </w:rPr>
        <w:t xml:space="preserve"> A</w:t>
      </w:r>
      <w:r w:rsidR="00E46DD4" w:rsidRPr="00925134">
        <w:rPr>
          <w:rFonts w:cs="Arial"/>
          <w:lang w:val="en-US"/>
        </w:rPr>
        <w:t xml:space="preserve">ll tax losses carried forward in the United States are now recognized in the Group's consolidated financial statements </w:t>
      </w:r>
      <w:r w:rsidR="004F03ED" w:rsidRPr="00925134">
        <w:rPr>
          <w:rFonts w:cs="Arial"/>
          <w:lang w:val="en-US"/>
        </w:rPr>
        <w:t>at</w:t>
      </w:r>
      <w:r w:rsidR="00E46DD4" w:rsidRPr="00925134">
        <w:rPr>
          <w:rFonts w:cs="Arial"/>
          <w:lang w:val="en-US"/>
        </w:rPr>
        <w:t xml:space="preserve"> December 31, 2017.</w:t>
      </w:r>
      <w:r w:rsidR="001B1EB5" w:rsidRPr="00925134">
        <w:rPr>
          <w:rFonts w:cs="Arial"/>
          <w:lang w:val="en-US"/>
        </w:rPr>
        <w:t xml:space="preserve"> </w:t>
      </w:r>
    </w:p>
    <w:p w14:paraId="48EFB5DF" w14:textId="6D8E6351" w:rsidR="0084300E" w:rsidRPr="00925134" w:rsidRDefault="00A739FC" w:rsidP="00A739FC">
      <w:pPr>
        <w:pStyle w:val="Brdtekst"/>
        <w:rPr>
          <w:lang w:val="en-US"/>
        </w:rPr>
      </w:pPr>
      <w:bookmarkStart w:id="26" w:name="_Hlk505958694"/>
      <w:r w:rsidRPr="00925134">
        <w:rPr>
          <w:lang w:val="en-US"/>
        </w:rPr>
        <w:t xml:space="preserve">Given </w:t>
      </w:r>
      <w:r w:rsidR="005E6861" w:rsidRPr="00925134">
        <w:rPr>
          <w:lang w:val="en-US"/>
        </w:rPr>
        <w:t xml:space="preserve">the evolution of tax loss carry forwards and the tax reforms adopted, </w:t>
      </w:r>
      <w:r w:rsidRPr="00925134">
        <w:rPr>
          <w:lang w:val="en-US"/>
        </w:rPr>
        <w:t xml:space="preserve">particularly in the United States, Capgemini estimates that the effective tax rate should increase by 3 to 4 percentage points in 2018, without any </w:t>
      </w:r>
      <w:r w:rsidRPr="00925134">
        <w:rPr>
          <w:lang w:val="en-US"/>
        </w:rPr>
        <w:lastRenderedPageBreak/>
        <w:t xml:space="preserve">material impact on disbursements and therefore on free cash-flow. </w:t>
      </w:r>
      <w:r w:rsidR="00351E69" w:rsidRPr="00925134">
        <w:rPr>
          <w:lang w:val="en-US"/>
        </w:rPr>
        <w:t>The evaluation of some other measures included in the U.S. tax reform</w:t>
      </w:r>
      <w:r w:rsidR="00554BCA" w:rsidRPr="00925134">
        <w:rPr>
          <w:lang w:val="en-US"/>
        </w:rPr>
        <w:t xml:space="preserve"> is still under process</w:t>
      </w:r>
      <w:r w:rsidRPr="00925134">
        <w:rPr>
          <w:lang w:val="en-US"/>
        </w:rPr>
        <w:t>.</w:t>
      </w:r>
      <w:bookmarkEnd w:id="26"/>
    </w:p>
    <w:bookmarkEnd w:id="25"/>
    <w:p w14:paraId="02E03A85" w14:textId="77777777" w:rsidR="00A739FC" w:rsidRPr="00925134" w:rsidRDefault="00A739FC" w:rsidP="00371F4C">
      <w:pPr>
        <w:pStyle w:val="Brdtekst"/>
        <w:rPr>
          <w:lang w:val="en-US"/>
        </w:rPr>
      </w:pPr>
    </w:p>
    <w:p w14:paraId="2F2109E6" w14:textId="77777777" w:rsidR="009E79D7" w:rsidRPr="00925134" w:rsidRDefault="009B4DE9" w:rsidP="00371F4C">
      <w:pPr>
        <w:pStyle w:val="Overskrift1"/>
        <w:rPr>
          <w:lang w:val="en-US"/>
        </w:rPr>
      </w:pPr>
      <w:r w:rsidRPr="00925134">
        <w:rPr>
          <w:lang w:val="en-US"/>
        </w:rPr>
        <w:t>CONF</w:t>
      </w:r>
      <w:r w:rsidR="005B7F20" w:rsidRPr="00925134">
        <w:rPr>
          <w:lang w:val="en-US"/>
        </w:rPr>
        <w:t>E</w:t>
      </w:r>
      <w:r w:rsidRPr="00925134">
        <w:rPr>
          <w:lang w:val="en-US"/>
        </w:rPr>
        <w:t>RENCE</w:t>
      </w:r>
      <w:r w:rsidR="00371F4C" w:rsidRPr="00925134">
        <w:rPr>
          <w:lang w:val="en-US"/>
        </w:rPr>
        <w:t xml:space="preserve"> </w:t>
      </w:r>
      <w:r w:rsidR="005B7F20" w:rsidRPr="00925134">
        <w:rPr>
          <w:lang w:val="en-US"/>
        </w:rPr>
        <w:t>CALL</w:t>
      </w:r>
    </w:p>
    <w:p w14:paraId="218586E3" w14:textId="6723463E" w:rsidR="005B7F20" w:rsidRPr="00925134" w:rsidRDefault="005B7F20" w:rsidP="005B7F20">
      <w:pPr>
        <w:spacing w:before="120" w:after="120" w:line="288" w:lineRule="auto"/>
        <w:rPr>
          <w:rFonts w:cs="Arial"/>
          <w:lang w:val="en-US"/>
        </w:rPr>
      </w:pPr>
      <w:r w:rsidRPr="00925134">
        <w:rPr>
          <w:rFonts w:cs="Arial"/>
          <w:lang w:val="en-US"/>
        </w:rPr>
        <w:t xml:space="preserve">Paul Hermelin, Chairman and Chief Executive Officer, Aiman Ezzat, </w:t>
      </w:r>
      <w:r w:rsidR="00142025" w:rsidRPr="00925134">
        <w:rPr>
          <w:rFonts w:cs="Arial"/>
          <w:lang w:val="en-US"/>
        </w:rPr>
        <w:t xml:space="preserve">Chief Operating Officer and </w:t>
      </w:r>
      <w:r w:rsidRPr="00925134">
        <w:rPr>
          <w:rFonts w:cs="Arial"/>
          <w:lang w:val="en-US"/>
        </w:rPr>
        <w:t xml:space="preserve">Chief Financial Officer, </w:t>
      </w:r>
      <w:r w:rsidR="00142025" w:rsidRPr="00925134">
        <w:rPr>
          <w:rFonts w:cs="Arial"/>
          <w:lang w:val="en-US"/>
        </w:rPr>
        <w:t xml:space="preserve">Thierry Delaporte, Chief Operating Officer, </w:t>
      </w:r>
      <w:r w:rsidRPr="00925134">
        <w:rPr>
          <w:rFonts w:cs="Arial"/>
          <w:lang w:val="en-US"/>
        </w:rPr>
        <w:t xml:space="preserve">and Rosemary Stark, Global Sales Officer, will present this press release during a conference call in English to be held </w:t>
      </w:r>
      <w:r w:rsidRPr="00925134">
        <w:rPr>
          <w:rFonts w:cs="Arial"/>
          <w:b/>
          <w:lang w:val="en-US"/>
        </w:rPr>
        <w:t>today at 8 a.m. Paris time</w:t>
      </w:r>
      <w:r w:rsidRPr="00925134">
        <w:rPr>
          <w:rFonts w:cs="Arial"/>
          <w:lang w:val="en-US"/>
        </w:rPr>
        <w:t xml:space="preserve"> (CET). You can follow this conference call live via webcast at the following </w:t>
      </w:r>
      <w:hyperlink r:id="rId11" w:history="1">
        <w:r w:rsidRPr="00925134">
          <w:rPr>
            <w:rStyle w:val="Hyperkobling"/>
            <w:lang w:val="en-US"/>
          </w:rPr>
          <w:t>link</w:t>
        </w:r>
      </w:hyperlink>
      <w:r w:rsidRPr="00925134">
        <w:rPr>
          <w:rFonts w:cs="Arial"/>
          <w:lang w:val="en-US"/>
        </w:rPr>
        <w:t>. A replay will also be available for a period of one year</w:t>
      </w:r>
      <w:r w:rsidR="00735D3E" w:rsidRPr="00925134">
        <w:rPr>
          <w:rFonts w:cs="Arial"/>
          <w:lang w:val="en-US"/>
        </w:rPr>
        <w:t xml:space="preserve"> from the same link</w:t>
      </w:r>
      <w:r w:rsidRPr="00925134">
        <w:rPr>
          <w:rFonts w:cs="Arial"/>
          <w:lang w:val="en-US"/>
        </w:rPr>
        <w:t>.</w:t>
      </w:r>
    </w:p>
    <w:p w14:paraId="1A946D23" w14:textId="77777777" w:rsidR="005B7F20" w:rsidRPr="00925134" w:rsidRDefault="005B7F20" w:rsidP="005B7F20">
      <w:pPr>
        <w:spacing w:before="120" w:after="120" w:line="288" w:lineRule="auto"/>
        <w:rPr>
          <w:rFonts w:cs="Arial"/>
          <w:lang w:val="en-US"/>
        </w:rPr>
      </w:pPr>
      <w:r w:rsidRPr="00925134">
        <w:rPr>
          <w:rFonts w:cs="Arial"/>
          <w:lang w:val="en-US"/>
        </w:rPr>
        <w:t xml:space="preserve">All documents relating to this publication will be placed online on the Capgemini investor website at </w:t>
      </w:r>
      <w:hyperlink r:id="rId12" w:history="1">
        <w:r w:rsidRPr="00925134">
          <w:rPr>
            <w:rStyle w:val="Hyperkobling"/>
            <w:rFonts w:cs="Arial"/>
            <w:lang w:val="en-US"/>
          </w:rPr>
          <w:t>https://www.capgemini.com/results</w:t>
        </w:r>
      </w:hyperlink>
      <w:r w:rsidRPr="00925134">
        <w:rPr>
          <w:rFonts w:cs="Arial"/>
          <w:lang w:val="en-US"/>
        </w:rPr>
        <w:t xml:space="preserve">. </w:t>
      </w:r>
    </w:p>
    <w:p w14:paraId="4B2B93CF" w14:textId="77777777" w:rsidR="009B4DE9" w:rsidRPr="00925134" w:rsidRDefault="009B4DE9" w:rsidP="009B4DE9">
      <w:pPr>
        <w:spacing w:before="120" w:after="120" w:line="288" w:lineRule="auto"/>
        <w:rPr>
          <w:rFonts w:cs="Arial"/>
          <w:lang w:val="en-US"/>
        </w:rPr>
      </w:pPr>
    </w:p>
    <w:p w14:paraId="61D23999" w14:textId="07B04A46" w:rsidR="00CD0E6A" w:rsidRPr="00925134" w:rsidRDefault="00DB6A86" w:rsidP="009B4DE9">
      <w:pPr>
        <w:pStyle w:val="Overskrift1"/>
        <w:rPr>
          <w:lang w:val="en-US"/>
        </w:rPr>
      </w:pPr>
      <w:r w:rsidRPr="00925134">
        <w:rPr>
          <w:lang w:val="en-US"/>
        </w:rPr>
        <w:t>CALENDAR</w:t>
      </w:r>
    </w:p>
    <w:p w14:paraId="58F894C6" w14:textId="77777777" w:rsidR="009B4DE9" w:rsidRPr="00925134" w:rsidRDefault="005B7F20" w:rsidP="009B4DE9">
      <w:pPr>
        <w:keepNext/>
        <w:tabs>
          <w:tab w:val="left" w:pos="1701"/>
        </w:tabs>
        <w:spacing w:line="288" w:lineRule="auto"/>
        <w:rPr>
          <w:rFonts w:cs="Arial"/>
          <w:lang w:val="en-US"/>
        </w:rPr>
      </w:pPr>
      <w:bookmarkStart w:id="27" w:name="_Hlk505005616"/>
      <w:r w:rsidRPr="00925134">
        <w:rPr>
          <w:rFonts w:cs="Arial"/>
          <w:lang w:val="en-US"/>
        </w:rPr>
        <w:t xml:space="preserve">April </w:t>
      </w:r>
      <w:r w:rsidR="009B4DE9" w:rsidRPr="00925134">
        <w:rPr>
          <w:rFonts w:cs="Arial"/>
          <w:lang w:val="en-US"/>
        </w:rPr>
        <w:t>26</w:t>
      </w:r>
      <w:r w:rsidRPr="00925134">
        <w:rPr>
          <w:rFonts w:cs="Arial"/>
          <w:lang w:val="en-US"/>
        </w:rPr>
        <w:t>,</w:t>
      </w:r>
      <w:r w:rsidR="009B4DE9" w:rsidRPr="00925134">
        <w:rPr>
          <w:rFonts w:cs="Arial"/>
          <w:lang w:val="en-US"/>
        </w:rPr>
        <w:t xml:space="preserve"> 201</w:t>
      </w:r>
      <w:r w:rsidR="006A37BE" w:rsidRPr="00925134">
        <w:rPr>
          <w:rFonts w:cs="Arial"/>
          <w:lang w:val="en-US"/>
        </w:rPr>
        <w:t>8</w:t>
      </w:r>
      <w:r w:rsidR="009B4DE9" w:rsidRPr="00925134">
        <w:rPr>
          <w:rFonts w:cs="Arial"/>
          <w:lang w:val="en-US"/>
        </w:rPr>
        <w:tab/>
        <w:t xml:space="preserve">Publication </w:t>
      </w:r>
      <w:r w:rsidR="00296902" w:rsidRPr="00925134">
        <w:rPr>
          <w:rFonts w:cs="Arial"/>
          <w:lang w:val="en-US"/>
        </w:rPr>
        <w:t>of Q1 2018 revenues</w:t>
      </w:r>
      <w:r w:rsidR="00D075B3" w:rsidRPr="00925134">
        <w:rPr>
          <w:rFonts w:cs="Arial"/>
          <w:lang w:val="en-US"/>
        </w:rPr>
        <w:t xml:space="preserve"> (</w:t>
      </w:r>
      <w:r w:rsidR="00296902" w:rsidRPr="00925134">
        <w:rPr>
          <w:rFonts w:cs="Arial"/>
          <w:lang w:val="en-US"/>
        </w:rPr>
        <w:t>previously scheduled for May 2,</w:t>
      </w:r>
      <w:r w:rsidR="00D070C3" w:rsidRPr="00925134">
        <w:rPr>
          <w:rFonts w:cs="Arial"/>
          <w:lang w:val="en-US"/>
        </w:rPr>
        <w:t xml:space="preserve"> 2018</w:t>
      </w:r>
      <w:r w:rsidR="00D075B3" w:rsidRPr="00925134">
        <w:rPr>
          <w:rFonts w:cs="Arial"/>
          <w:lang w:val="en-US"/>
        </w:rPr>
        <w:t>)</w:t>
      </w:r>
    </w:p>
    <w:p w14:paraId="537042E0" w14:textId="77777777" w:rsidR="009B4DE9" w:rsidRPr="00925134" w:rsidRDefault="005B7F20" w:rsidP="009B4DE9">
      <w:pPr>
        <w:keepNext/>
        <w:tabs>
          <w:tab w:val="left" w:pos="1701"/>
        </w:tabs>
        <w:spacing w:line="288" w:lineRule="auto"/>
        <w:rPr>
          <w:rFonts w:cs="Arial"/>
          <w:lang w:val="en-US"/>
        </w:rPr>
      </w:pPr>
      <w:r w:rsidRPr="00925134">
        <w:rPr>
          <w:rFonts w:cs="Arial"/>
          <w:lang w:val="en-US"/>
        </w:rPr>
        <w:t xml:space="preserve">May </w:t>
      </w:r>
      <w:r w:rsidR="006A37BE" w:rsidRPr="00925134">
        <w:rPr>
          <w:rFonts w:cs="Arial"/>
          <w:lang w:val="en-US"/>
        </w:rPr>
        <w:t>23</w:t>
      </w:r>
      <w:r w:rsidRPr="00925134">
        <w:rPr>
          <w:rFonts w:cs="Arial"/>
          <w:lang w:val="en-US"/>
        </w:rPr>
        <w:t>,</w:t>
      </w:r>
      <w:r w:rsidR="009B4DE9" w:rsidRPr="00925134">
        <w:rPr>
          <w:rFonts w:cs="Arial"/>
          <w:lang w:val="en-US"/>
        </w:rPr>
        <w:t xml:space="preserve"> 201</w:t>
      </w:r>
      <w:r w:rsidR="006A37BE" w:rsidRPr="00925134">
        <w:rPr>
          <w:rFonts w:cs="Arial"/>
          <w:lang w:val="en-US"/>
        </w:rPr>
        <w:t>8</w:t>
      </w:r>
      <w:r w:rsidR="009B4DE9" w:rsidRPr="00925134">
        <w:rPr>
          <w:rFonts w:cs="Arial"/>
          <w:lang w:val="en-US"/>
        </w:rPr>
        <w:tab/>
      </w:r>
      <w:r w:rsidR="00296902" w:rsidRPr="00925134">
        <w:rPr>
          <w:rFonts w:cs="Arial"/>
          <w:lang w:val="en-US"/>
        </w:rPr>
        <w:t>Combined Shareholders’ Meeting</w:t>
      </w:r>
      <w:r w:rsidR="009B4DE9" w:rsidRPr="00925134">
        <w:rPr>
          <w:rFonts w:cs="Arial"/>
          <w:lang w:val="en-US"/>
        </w:rPr>
        <w:t xml:space="preserve"> </w:t>
      </w:r>
    </w:p>
    <w:p w14:paraId="14C26824" w14:textId="77777777" w:rsidR="00D075B3" w:rsidRPr="00925134" w:rsidRDefault="005B7F20" w:rsidP="009B4DE9">
      <w:pPr>
        <w:keepNext/>
        <w:tabs>
          <w:tab w:val="left" w:pos="1701"/>
        </w:tabs>
        <w:spacing w:line="288" w:lineRule="auto"/>
        <w:rPr>
          <w:rFonts w:cs="Arial"/>
          <w:lang w:val="en-US"/>
        </w:rPr>
      </w:pPr>
      <w:r w:rsidRPr="00925134">
        <w:rPr>
          <w:rFonts w:cs="Arial"/>
          <w:lang w:val="en-US"/>
        </w:rPr>
        <w:t xml:space="preserve">July </w:t>
      </w:r>
      <w:r w:rsidR="00FD2E23" w:rsidRPr="00925134">
        <w:rPr>
          <w:rFonts w:cs="Arial"/>
          <w:lang w:val="en-US"/>
        </w:rPr>
        <w:t>2</w:t>
      </w:r>
      <w:r w:rsidR="00D075B3" w:rsidRPr="00925134">
        <w:rPr>
          <w:rFonts w:cs="Arial"/>
          <w:lang w:val="en-US"/>
        </w:rPr>
        <w:t>6</w:t>
      </w:r>
      <w:r w:rsidRPr="00925134">
        <w:rPr>
          <w:rFonts w:cs="Arial"/>
          <w:lang w:val="en-US"/>
        </w:rPr>
        <w:t>,</w:t>
      </w:r>
      <w:r w:rsidR="00FD2E23" w:rsidRPr="00925134">
        <w:rPr>
          <w:rFonts w:cs="Arial"/>
          <w:lang w:val="en-US"/>
        </w:rPr>
        <w:t xml:space="preserve"> 2018</w:t>
      </w:r>
      <w:r w:rsidR="00D075B3" w:rsidRPr="00925134">
        <w:rPr>
          <w:rFonts w:cs="Arial"/>
          <w:lang w:val="en-US"/>
        </w:rPr>
        <w:tab/>
        <w:t xml:space="preserve">Publication </w:t>
      </w:r>
      <w:r w:rsidR="00296902" w:rsidRPr="00925134">
        <w:rPr>
          <w:rFonts w:cs="Arial"/>
          <w:lang w:val="en-US"/>
        </w:rPr>
        <w:t>of H1</w:t>
      </w:r>
      <w:r w:rsidR="00D075B3" w:rsidRPr="00925134">
        <w:rPr>
          <w:rFonts w:cs="Arial"/>
          <w:lang w:val="en-US"/>
        </w:rPr>
        <w:t xml:space="preserve"> 2018 </w:t>
      </w:r>
      <w:r w:rsidR="00296902" w:rsidRPr="00925134">
        <w:rPr>
          <w:rFonts w:cs="Arial"/>
          <w:lang w:val="en-US"/>
        </w:rPr>
        <w:t>results</w:t>
      </w:r>
    </w:p>
    <w:bookmarkEnd w:id="27"/>
    <w:p w14:paraId="0121DB9D" w14:textId="09B2713E" w:rsidR="009B4DE9" w:rsidRPr="00925134" w:rsidRDefault="00DB6A86" w:rsidP="00296902">
      <w:pPr>
        <w:keepNext/>
        <w:spacing w:before="120" w:line="288" w:lineRule="auto"/>
        <w:rPr>
          <w:rFonts w:cs="Arial"/>
          <w:szCs w:val="18"/>
          <w:lang w:val="en-US"/>
        </w:rPr>
      </w:pPr>
      <w:r w:rsidRPr="00925134">
        <w:rPr>
          <w:szCs w:val="18"/>
          <w:lang w:val="en-US"/>
        </w:rPr>
        <w:t>The following dividend payment schedule will be presented to the Shareholders’ Meeting for approval</w:t>
      </w:r>
      <w:r w:rsidR="00296902" w:rsidRPr="00925134">
        <w:rPr>
          <w:szCs w:val="18"/>
          <w:lang w:val="en-US"/>
        </w:rPr>
        <w:t>:</w:t>
      </w:r>
    </w:p>
    <w:p w14:paraId="0AF2C1CC" w14:textId="77777777" w:rsidR="009B4DE9" w:rsidRPr="00925134" w:rsidRDefault="005B7F20" w:rsidP="009B4DE9">
      <w:pPr>
        <w:keepNext/>
        <w:tabs>
          <w:tab w:val="left" w:pos="1701"/>
        </w:tabs>
        <w:spacing w:line="288" w:lineRule="auto"/>
        <w:rPr>
          <w:rFonts w:cs="Arial"/>
          <w:lang w:val="en-US"/>
        </w:rPr>
      </w:pPr>
      <w:r w:rsidRPr="00925134">
        <w:rPr>
          <w:rFonts w:cs="Arial"/>
          <w:lang w:val="en-US"/>
        </w:rPr>
        <w:t xml:space="preserve">June </w:t>
      </w:r>
      <w:r w:rsidR="00AE4AB4" w:rsidRPr="00925134">
        <w:rPr>
          <w:rFonts w:cs="Arial"/>
          <w:lang w:val="en-US"/>
        </w:rPr>
        <w:t>4</w:t>
      </w:r>
      <w:r w:rsidRPr="00925134">
        <w:rPr>
          <w:rFonts w:cs="Arial"/>
          <w:lang w:val="en-US"/>
        </w:rPr>
        <w:t>,</w:t>
      </w:r>
      <w:r w:rsidR="00AE4AB4" w:rsidRPr="00925134">
        <w:rPr>
          <w:rFonts w:cs="Arial"/>
          <w:lang w:val="en-US"/>
        </w:rPr>
        <w:t xml:space="preserve"> 2018</w:t>
      </w:r>
      <w:r w:rsidR="009B4DE9" w:rsidRPr="00925134">
        <w:rPr>
          <w:rFonts w:cs="Arial"/>
          <w:lang w:val="en-US"/>
        </w:rPr>
        <w:tab/>
      </w:r>
      <w:r w:rsidR="00296902" w:rsidRPr="00925134">
        <w:rPr>
          <w:rFonts w:cs="Arial"/>
          <w:lang w:val="en-US"/>
        </w:rPr>
        <w:t xml:space="preserve">Ex-dividend date on the </w:t>
      </w:r>
      <w:r w:rsidR="009B4DE9" w:rsidRPr="00925134">
        <w:rPr>
          <w:rFonts w:cs="Arial"/>
          <w:lang w:val="en-US"/>
        </w:rPr>
        <w:t>Euronext Paris</w:t>
      </w:r>
    </w:p>
    <w:p w14:paraId="1E016596" w14:textId="77777777" w:rsidR="009B4DE9" w:rsidRPr="00925134" w:rsidRDefault="005B7F20" w:rsidP="009B4DE9">
      <w:pPr>
        <w:tabs>
          <w:tab w:val="left" w:pos="1701"/>
        </w:tabs>
        <w:spacing w:line="288" w:lineRule="auto"/>
        <w:rPr>
          <w:rFonts w:cs="Arial"/>
          <w:lang w:val="en-US"/>
        </w:rPr>
      </w:pPr>
      <w:r w:rsidRPr="00925134">
        <w:rPr>
          <w:rFonts w:cs="Arial"/>
          <w:lang w:val="en-US"/>
        </w:rPr>
        <w:t xml:space="preserve">June </w:t>
      </w:r>
      <w:r w:rsidR="00AE4AB4" w:rsidRPr="00925134">
        <w:rPr>
          <w:rFonts w:cs="Arial"/>
          <w:lang w:val="en-US"/>
        </w:rPr>
        <w:t>6</w:t>
      </w:r>
      <w:r w:rsidRPr="00925134">
        <w:rPr>
          <w:rFonts w:cs="Arial"/>
          <w:lang w:val="en-US"/>
        </w:rPr>
        <w:t>,</w:t>
      </w:r>
      <w:r w:rsidR="00AE4AB4" w:rsidRPr="00925134">
        <w:rPr>
          <w:rFonts w:cs="Arial"/>
          <w:lang w:val="en-US"/>
        </w:rPr>
        <w:t xml:space="preserve"> 2018</w:t>
      </w:r>
      <w:r w:rsidR="009B4DE9" w:rsidRPr="00925134">
        <w:rPr>
          <w:rFonts w:cs="Arial"/>
          <w:lang w:val="en-US"/>
        </w:rPr>
        <w:tab/>
      </w:r>
      <w:r w:rsidR="00296902" w:rsidRPr="00925134">
        <w:rPr>
          <w:rFonts w:cs="Arial"/>
          <w:lang w:val="en-US"/>
        </w:rPr>
        <w:t>Payment of the dividend</w:t>
      </w:r>
    </w:p>
    <w:p w14:paraId="36A2EC7E" w14:textId="77777777" w:rsidR="009B4DE9" w:rsidRPr="00925134" w:rsidRDefault="009B4DE9" w:rsidP="008D44B5">
      <w:pPr>
        <w:tabs>
          <w:tab w:val="left" w:pos="1701"/>
        </w:tabs>
        <w:spacing w:line="288" w:lineRule="auto"/>
        <w:rPr>
          <w:rFonts w:cs="Arial"/>
          <w:lang w:val="en-US"/>
        </w:rPr>
      </w:pPr>
    </w:p>
    <w:p w14:paraId="23577A6D" w14:textId="77777777" w:rsidR="00717BB4" w:rsidRPr="00925134" w:rsidRDefault="00296902" w:rsidP="009B4DE9">
      <w:pPr>
        <w:pStyle w:val="Overskrift1"/>
        <w:rPr>
          <w:lang w:val="en-US"/>
        </w:rPr>
      </w:pPr>
      <w:r w:rsidRPr="00925134">
        <w:rPr>
          <w:lang w:val="en-US"/>
        </w:rPr>
        <w:t>DISCLAIMER</w:t>
      </w:r>
    </w:p>
    <w:p w14:paraId="6E005EE4" w14:textId="77777777" w:rsidR="00296902" w:rsidRPr="00925134" w:rsidRDefault="00296902" w:rsidP="00296902">
      <w:pPr>
        <w:spacing w:before="120" w:after="120"/>
        <w:rPr>
          <w:rFonts w:cs="Arial"/>
          <w:lang w:val="en-US"/>
        </w:rPr>
      </w:pPr>
      <w:r w:rsidRPr="00925134">
        <w:rPr>
          <w:rFonts w:cs="Arial"/>
          <w:lang w:val="en-US"/>
        </w:rPr>
        <w:t>This press release may contain forward-looking statements. Such statements may include projections, estimates, assumptions, statements regarding plans, objectives, intentions and/or expectations with respect to future financial results, events, operations and services and product development, as well as statements, regarding future performance or events. Forward-looking statements are generally identified by the words “expects”, “anticipates”, “believes”, “intends”, “estimates”, “plans”, “projects”, “may”, “would” “should” or the negatives of these terms and similar expressions. Although Capgemini’s management currently believes that the expectations reflected in such forward-looking statements are reasonable, investors are cautioned that forward-looking statements are subject to various risks and uncertainties (including, without limitation, risks identified in Capgemini’s Registration Document available on Capgemini’s website), because they relate to future events and depend on future circumstances that may or may not occur and may be different from those anticipated, many of which are difficult to predict and generally beyond the control of Capgemini. Actual results and developments may differ materially from those expressed in, implied by or projected by forward-looking statements. Forward-looking statements are not intended to and do not give any assurances or comfort as to future events or results. Other than as required by applicable law, Capgemini does not undertake any obligation to update or revise any forward-looking statement.</w:t>
      </w:r>
    </w:p>
    <w:p w14:paraId="1F4552FB" w14:textId="77777777" w:rsidR="00717BB4" w:rsidRPr="00925134" w:rsidRDefault="00296902" w:rsidP="00296902">
      <w:pPr>
        <w:spacing w:before="120" w:after="120"/>
        <w:rPr>
          <w:rFonts w:cs="Arial"/>
          <w:b/>
          <w:bCs/>
          <w:color w:val="000000"/>
          <w:lang w:val="en-US"/>
        </w:rPr>
      </w:pPr>
      <w:r w:rsidRPr="00925134">
        <w:rPr>
          <w:rFonts w:cs="Arial"/>
          <w:lang w:val="en-US"/>
        </w:rPr>
        <w:t>This press release does not contain or constitute an offer of securities for sale or an invitation or inducement to invest in securities in France, the United States or any other jurisdiction.</w:t>
      </w:r>
      <w:r w:rsidR="00717BB4" w:rsidRPr="00925134">
        <w:rPr>
          <w:rFonts w:cs="Arial"/>
          <w:b/>
          <w:bCs/>
          <w:color w:val="000000"/>
          <w:lang w:val="en-US"/>
        </w:rPr>
        <w:t xml:space="preserve"> </w:t>
      </w:r>
    </w:p>
    <w:p w14:paraId="418D2E4A" w14:textId="77777777" w:rsidR="00717BB4" w:rsidRPr="00925134" w:rsidRDefault="002D7EC7" w:rsidP="009B4DE9">
      <w:pPr>
        <w:pStyle w:val="Overskrift1"/>
        <w:rPr>
          <w:lang w:val="en-US"/>
        </w:rPr>
      </w:pPr>
      <w:r w:rsidRPr="00925134">
        <w:rPr>
          <w:lang w:val="en-US"/>
        </w:rPr>
        <w:br/>
      </w:r>
      <w:r w:rsidR="00296902" w:rsidRPr="00925134">
        <w:rPr>
          <w:lang w:val="en-US"/>
        </w:rPr>
        <w:t>About</w:t>
      </w:r>
      <w:r w:rsidR="00717BB4" w:rsidRPr="00925134">
        <w:rPr>
          <w:lang w:val="en-US"/>
        </w:rPr>
        <w:t xml:space="preserve"> Capgemini</w:t>
      </w:r>
    </w:p>
    <w:p w14:paraId="6035B52E" w14:textId="77777777" w:rsidR="00831BBF" w:rsidRPr="00925134" w:rsidRDefault="00831BBF" w:rsidP="00831BBF">
      <w:pPr>
        <w:rPr>
          <w:rFonts w:cs="Arial"/>
          <w:lang w:val="en-US"/>
        </w:rPr>
      </w:pPr>
      <w:r w:rsidRPr="00925134">
        <w:rPr>
          <w:rFonts w:cs="Arial"/>
          <w:lang w:val="en-US"/>
        </w:rPr>
        <w:t>A global leader in consulting, technology services and digital transformation, Capgemini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 Capgemini is driven by the conviction that the business value of technology comes from and through people. It is a multicultural company of 200,000 team members in over 40 countries. The Group reported 2017 global revenues of EUR 12.8 billion.</w:t>
      </w:r>
    </w:p>
    <w:p w14:paraId="07749FEC" w14:textId="77777777" w:rsidR="004C6FA0" w:rsidRPr="00925134" w:rsidRDefault="00831BBF" w:rsidP="00831BBF">
      <w:pPr>
        <w:rPr>
          <w:rFonts w:cs="Arial"/>
          <w:b/>
          <w:lang w:val="en-US"/>
        </w:rPr>
      </w:pPr>
      <w:r w:rsidRPr="00925134">
        <w:rPr>
          <w:rFonts w:cs="Arial"/>
          <w:lang w:val="en-US"/>
        </w:rPr>
        <w:t xml:space="preserve">Visit us at </w:t>
      </w:r>
      <w:hyperlink r:id="rId13" w:history="1">
        <w:r w:rsidRPr="00925134">
          <w:rPr>
            <w:rStyle w:val="Hyperkobling"/>
            <w:rFonts w:cs="Arial"/>
            <w:lang w:val="en-US"/>
          </w:rPr>
          <w:t>www.capgemini.com</w:t>
        </w:r>
      </w:hyperlink>
      <w:r w:rsidRPr="00925134">
        <w:rPr>
          <w:rFonts w:cs="Arial"/>
          <w:lang w:val="en-US"/>
        </w:rPr>
        <w:t xml:space="preserve">. </w:t>
      </w:r>
      <w:r w:rsidRPr="00925134">
        <w:rPr>
          <w:rFonts w:cs="Arial"/>
          <w:i/>
          <w:lang w:val="en-US"/>
        </w:rPr>
        <w:t>People matter, results count.</w:t>
      </w:r>
    </w:p>
    <w:p w14:paraId="2027DE07" w14:textId="77777777" w:rsidR="002454A6" w:rsidRPr="00925134" w:rsidRDefault="002454A6" w:rsidP="004C6FA0">
      <w:pPr>
        <w:rPr>
          <w:rFonts w:cs="Arial"/>
          <w:b/>
          <w:lang w:val="en-US"/>
        </w:rPr>
      </w:pPr>
    </w:p>
    <w:p w14:paraId="347D7C59" w14:textId="156B2F35" w:rsidR="00304D4A" w:rsidRPr="00925134" w:rsidRDefault="00304D4A" w:rsidP="004C6FA0">
      <w:pPr>
        <w:rPr>
          <w:rFonts w:cs="Arial"/>
          <w:b/>
          <w:lang w:val="en-US"/>
        </w:rPr>
      </w:pPr>
    </w:p>
    <w:p w14:paraId="4BFEBACD" w14:textId="77777777" w:rsidR="0071410D" w:rsidRPr="00925134" w:rsidRDefault="0071410D" w:rsidP="004C6FA0">
      <w:pPr>
        <w:rPr>
          <w:rFonts w:cs="Arial"/>
          <w:b/>
          <w:lang w:val="en-US"/>
        </w:rPr>
      </w:pPr>
    </w:p>
    <w:p w14:paraId="4D1838F3" w14:textId="77777777" w:rsidR="00304D4A" w:rsidRPr="00925134" w:rsidRDefault="00304D4A" w:rsidP="004C6FA0">
      <w:pPr>
        <w:rPr>
          <w:rFonts w:cs="Arial"/>
          <w:b/>
          <w:lang w:val="en-US"/>
        </w:rPr>
      </w:pPr>
    </w:p>
    <w:p w14:paraId="354D9B38" w14:textId="77777777" w:rsidR="004C6FA0" w:rsidRPr="00925134" w:rsidRDefault="004C6FA0" w:rsidP="004C6FA0">
      <w:pPr>
        <w:jc w:val="center"/>
        <w:rPr>
          <w:rFonts w:cs="Arial"/>
          <w:b/>
          <w:lang w:val="en-US"/>
        </w:rPr>
      </w:pPr>
      <w:r w:rsidRPr="00925134">
        <w:rPr>
          <w:rFonts w:cs="Arial"/>
          <w:b/>
          <w:lang w:val="en-US"/>
        </w:rPr>
        <w:t>*          *</w:t>
      </w:r>
    </w:p>
    <w:p w14:paraId="7D487E1E" w14:textId="6CF75F3B" w:rsidR="004C6FA0" w:rsidRPr="00925134" w:rsidRDefault="004C6FA0" w:rsidP="004C6FA0">
      <w:pPr>
        <w:jc w:val="center"/>
        <w:rPr>
          <w:rFonts w:cs="Arial"/>
          <w:b/>
          <w:lang w:val="en-US"/>
        </w:rPr>
      </w:pPr>
    </w:p>
    <w:p w14:paraId="690D5A56" w14:textId="77777777" w:rsidR="0071410D" w:rsidRPr="00925134" w:rsidRDefault="0071410D" w:rsidP="004C6FA0">
      <w:pPr>
        <w:jc w:val="center"/>
        <w:rPr>
          <w:rFonts w:cs="Arial"/>
          <w:b/>
          <w:lang w:val="en-US"/>
        </w:rPr>
      </w:pPr>
    </w:p>
    <w:p w14:paraId="611B4FBD" w14:textId="77777777" w:rsidR="004C6FA0" w:rsidRPr="00925134" w:rsidRDefault="004C6FA0" w:rsidP="004C6FA0">
      <w:pPr>
        <w:jc w:val="center"/>
        <w:rPr>
          <w:rFonts w:cs="Arial"/>
          <w:b/>
          <w:lang w:val="en-US"/>
        </w:rPr>
      </w:pPr>
      <w:r w:rsidRPr="00925134">
        <w:rPr>
          <w:rFonts w:cs="Arial"/>
          <w:b/>
          <w:lang w:val="en-US"/>
        </w:rPr>
        <w:t>*</w:t>
      </w:r>
    </w:p>
    <w:p w14:paraId="6FCEF5D3" w14:textId="77777777" w:rsidR="004C6FA0" w:rsidRPr="00925134" w:rsidRDefault="004C6FA0" w:rsidP="004C6FA0">
      <w:pPr>
        <w:jc w:val="center"/>
        <w:rPr>
          <w:rFonts w:cs="Arial"/>
          <w:b/>
          <w:lang w:val="en-US"/>
        </w:rPr>
      </w:pPr>
    </w:p>
    <w:p w14:paraId="71B99CA1" w14:textId="77777777" w:rsidR="00304D4A" w:rsidRPr="00925134" w:rsidRDefault="00304D4A" w:rsidP="004C6FA0">
      <w:pPr>
        <w:jc w:val="center"/>
        <w:rPr>
          <w:rFonts w:cs="Arial"/>
          <w:b/>
          <w:lang w:val="en-US"/>
        </w:rPr>
      </w:pPr>
    </w:p>
    <w:p w14:paraId="78BACBCA" w14:textId="77777777" w:rsidR="004C6FA0" w:rsidRPr="00925134" w:rsidRDefault="004C6FA0" w:rsidP="004C6FA0">
      <w:pPr>
        <w:jc w:val="center"/>
        <w:rPr>
          <w:rFonts w:cs="Arial"/>
          <w:b/>
          <w:lang w:val="en-US"/>
        </w:rPr>
      </w:pPr>
    </w:p>
    <w:p w14:paraId="3128F59A" w14:textId="77777777" w:rsidR="002454A6" w:rsidRPr="00925134" w:rsidRDefault="002454A6" w:rsidP="004C6FA0">
      <w:pPr>
        <w:jc w:val="center"/>
        <w:rPr>
          <w:rFonts w:cs="Arial"/>
          <w:b/>
          <w:lang w:val="en-US"/>
        </w:rPr>
      </w:pPr>
    </w:p>
    <w:p w14:paraId="0B62DA1C" w14:textId="77777777" w:rsidR="004C6FA0" w:rsidRPr="00925134" w:rsidRDefault="004C6FA0" w:rsidP="00F9266C">
      <w:pPr>
        <w:keepNext/>
        <w:jc w:val="center"/>
        <w:rPr>
          <w:rFonts w:cs="Arial"/>
          <w:b/>
          <w:lang w:val="en-US"/>
        </w:rPr>
      </w:pPr>
      <w:r w:rsidRPr="00925134">
        <w:rPr>
          <w:rFonts w:cs="Arial"/>
          <w:b/>
          <w:lang w:val="en-US"/>
        </w:rPr>
        <w:t>A</w:t>
      </w:r>
      <w:r w:rsidR="00831BBF" w:rsidRPr="00925134">
        <w:rPr>
          <w:rFonts w:cs="Arial"/>
          <w:b/>
          <w:lang w:val="en-US"/>
        </w:rPr>
        <w:t>PPENDICES</w:t>
      </w:r>
    </w:p>
    <w:p w14:paraId="6A560A62" w14:textId="77777777" w:rsidR="005C1C59" w:rsidRPr="00925134" w:rsidRDefault="005C1C59" w:rsidP="00F9266C">
      <w:pPr>
        <w:keepNext/>
        <w:rPr>
          <w:rFonts w:cs="Arial"/>
          <w:lang w:val="en-US"/>
        </w:rPr>
      </w:pPr>
    </w:p>
    <w:p w14:paraId="01D943DF" w14:textId="77777777" w:rsidR="002454A6" w:rsidRPr="00925134" w:rsidRDefault="002454A6" w:rsidP="00F9266C">
      <w:pPr>
        <w:keepNext/>
        <w:rPr>
          <w:rFonts w:cs="Arial"/>
          <w:lang w:val="en-US"/>
        </w:rPr>
      </w:pPr>
    </w:p>
    <w:p w14:paraId="070D7591" w14:textId="77777777" w:rsidR="00B77760" w:rsidRPr="00925134" w:rsidRDefault="00B77760" w:rsidP="009B4DE9">
      <w:pPr>
        <w:pStyle w:val="Overskrift1"/>
        <w:rPr>
          <w:lang w:val="en-US"/>
        </w:rPr>
      </w:pPr>
      <w:r w:rsidRPr="00925134">
        <w:rPr>
          <w:lang w:val="en-US"/>
        </w:rPr>
        <w:t>D</w:t>
      </w:r>
      <w:r w:rsidR="00831BBF" w:rsidRPr="00925134">
        <w:rPr>
          <w:lang w:val="en-US"/>
        </w:rPr>
        <w:t>E</w:t>
      </w:r>
      <w:r w:rsidRPr="00925134">
        <w:rPr>
          <w:lang w:val="en-US"/>
        </w:rPr>
        <w:t xml:space="preserve">FINITIONS </w:t>
      </w:r>
    </w:p>
    <w:p w14:paraId="2A63EDF5" w14:textId="77777777" w:rsidR="00831BBF" w:rsidRPr="00925134" w:rsidRDefault="00831BBF" w:rsidP="00831BBF">
      <w:pPr>
        <w:spacing w:before="120" w:after="120"/>
        <w:rPr>
          <w:rFonts w:cs="Arial"/>
          <w:lang w:val="en-US"/>
        </w:rPr>
      </w:pPr>
      <w:r w:rsidRPr="00925134">
        <w:rPr>
          <w:rFonts w:cs="Arial"/>
          <w:b/>
          <w:lang w:val="en-US"/>
        </w:rPr>
        <w:t>Organic growth</w:t>
      </w:r>
      <w:r w:rsidRPr="00925134">
        <w:rPr>
          <w:rFonts w:cs="Arial"/>
          <w:lang w:val="en-US"/>
        </w:rPr>
        <w:t xml:space="preserve">, or like-for-like growth, in revenues is the growth rate calculated at </w:t>
      </w:r>
      <w:r w:rsidRPr="00925134">
        <w:rPr>
          <w:rFonts w:cs="Arial"/>
          <w:b/>
          <w:lang w:val="en-US"/>
        </w:rPr>
        <w:t>constant Group scope and exchange rates</w:t>
      </w:r>
      <w:r w:rsidRPr="00925134">
        <w:rPr>
          <w:rFonts w:cs="Arial"/>
          <w:lang w:val="en-US"/>
        </w:rPr>
        <w:t xml:space="preserve">. The Group scope and exchange rates used are those for the published fiscal year. Exchange rates for the published fiscal year are also used to calculate growth at </w:t>
      </w:r>
      <w:r w:rsidRPr="00925134">
        <w:rPr>
          <w:rFonts w:cs="Arial"/>
          <w:b/>
          <w:lang w:val="en-US"/>
        </w:rPr>
        <w:t>constant exchange rates</w:t>
      </w:r>
      <w:r w:rsidRPr="00925134">
        <w:rPr>
          <w:rFonts w:cs="Arial"/>
          <w:lang w:val="en-US"/>
        </w:rPr>
        <w:t>.</w:t>
      </w:r>
    </w:p>
    <w:p w14:paraId="56AC95E7" w14:textId="1D026F67" w:rsidR="00831BBF" w:rsidRPr="00925134" w:rsidRDefault="00831BBF" w:rsidP="00831BBF">
      <w:pPr>
        <w:spacing w:before="120" w:after="120"/>
        <w:rPr>
          <w:rFonts w:cs="Arial"/>
          <w:lang w:val="en-US"/>
        </w:rPr>
      </w:pPr>
      <w:r w:rsidRPr="00925134">
        <w:rPr>
          <w:rFonts w:cs="Arial"/>
          <w:lang w:val="en-US"/>
        </w:rPr>
        <w:t xml:space="preserve">As announced on the publication of the outlook for 2017, organic growth and growth at constant exchange rates are presented after restating 2016 and 2017 revenues for the Brazilian equipment resale activity that </w:t>
      </w:r>
      <w:r w:rsidR="00B14F89" w:rsidRPr="00925134">
        <w:rPr>
          <w:rFonts w:cs="Arial"/>
          <w:lang w:val="en-US"/>
        </w:rPr>
        <w:t>has been</w:t>
      </w:r>
      <w:r w:rsidRPr="00925134">
        <w:rPr>
          <w:rFonts w:cs="Arial"/>
          <w:lang w:val="en-US"/>
        </w:rPr>
        <w:t xml:space="preserve"> discontinued, to enable comparable presentation of quarterly trends:</w:t>
      </w:r>
    </w:p>
    <w:p w14:paraId="35FF9B91" w14:textId="77777777" w:rsidR="00B77760" w:rsidRPr="00925134" w:rsidRDefault="00B77760" w:rsidP="009B4DE9">
      <w:pPr>
        <w:spacing w:before="120" w:after="120"/>
        <w:rPr>
          <w:rFonts w:cs="Arial"/>
          <w:lang w:val="en-US"/>
        </w:rPr>
      </w:pPr>
    </w:p>
    <w:tbl>
      <w:tblPr>
        <w:tblW w:w="6520" w:type="dxa"/>
        <w:jc w:val="center"/>
        <w:tblBorders>
          <w:top w:val="single" w:sz="8" w:space="0" w:color="0070AD"/>
          <w:bottom w:val="single" w:sz="8" w:space="0" w:color="0070AD"/>
          <w:insideH w:val="single" w:sz="8" w:space="0" w:color="0070AD"/>
        </w:tblBorders>
        <w:tblLayout w:type="fixed"/>
        <w:tblCellMar>
          <w:left w:w="0" w:type="dxa"/>
          <w:right w:w="0" w:type="dxa"/>
        </w:tblCellMar>
        <w:tblLook w:val="01E0" w:firstRow="1" w:lastRow="1" w:firstColumn="1" w:lastColumn="1" w:noHBand="0" w:noVBand="0"/>
      </w:tblPr>
      <w:tblGrid>
        <w:gridCol w:w="3798"/>
        <w:gridCol w:w="1361"/>
        <w:gridCol w:w="1361"/>
      </w:tblGrid>
      <w:tr w:rsidR="00C819D7" w:rsidRPr="00925134" w14:paraId="43521148" w14:textId="77777777" w:rsidTr="00C819D7">
        <w:trPr>
          <w:trHeight w:val="338"/>
          <w:jc w:val="center"/>
        </w:trPr>
        <w:tc>
          <w:tcPr>
            <w:tcW w:w="3798" w:type="dxa"/>
            <w:vAlign w:val="center"/>
          </w:tcPr>
          <w:p w14:paraId="29FFE756" w14:textId="77777777" w:rsidR="00C819D7" w:rsidRPr="00925134" w:rsidRDefault="00C819D7" w:rsidP="00C819D7">
            <w:pPr>
              <w:pStyle w:val="TableParagraph"/>
              <w:keepNext/>
              <w:spacing w:before="29"/>
              <w:ind w:left="63"/>
              <w:jc w:val="center"/>
              <w:rPr>
                <w:rFonts w:cs="Arial"/>
                <w:b/>
                <w:sz w:val="14"/>
                <w:szCs w:val="14"/>
              </w:rPr>
            </w:pPr>
            <w:r w:rsidRPr="00925134">
              <w:rPr>
                <w:rFonts w:cs="Arial"/>
                <w:b/>
                <w:sz w:val="14"/>
                <w:szCs w:val="14"/>
              </w:rPr>
              <w:t>Reconciliation of growth rates</w:t>
            </w:r>
          </w:p>
        </w:tc>
        <w:tc>
          <w:tcPr>
            <w:tcW w:w="1361" w:type="dxa"/>
            <w:shd w:val="clear" w:color="auto" w:fill="BBE7FF" w:themeFill="accent1" w:themeFillTint="33"/>
            <w:vAlign w:val="center"/>
          </w:tcPr>
          <w:p w14:paraId="595AAA07" w14:textId="77777777" w:rsidR="00C819D7" w:rsidRPr="00925134" w:rsidRDefault="00C819D7" w:rsidP="00C819D7">
            <w:pPr>
              <w:pStyle w:val="TableParagraph"/>
              <w:keepNext/>
              <w:spacing w:before="29"/>
              <w:ind w:left="63"/>
              <w:jc w:val="center"/>
              <w:rPr>
                <w:rFonts w:cs="Arial"/>
                <w:b/>
                <w:color w:val="0070AD"/>
                <w:sz w:val="14"/>
                <w:szCs w:val="14"/>
              </w:rPr>
            </w:pPr>
            <w:r w:rsidRPr="00925134">
              <w:rPr>
                <w:rFonts w:cs="Arial"/>
                <w:b/>
                <w:color w:val="0070AD"/>
                <w:sz w:val="14"/>
                <w:szCs w:val="14"/>
              </w:rPr>
              <w:t xml:space="preserve">Q4 </w:t>
            </w:r>
          </w:p>
          <w:p w14:paraId="0639BBF1" w14:textId="77777777" w:rsidR="00C819D7" w:rsidRPr="00925134" w:rsidRDefault="00C819D7" w:rsidP="00C819D7">
            <w:pPr>
              <w:pStyle w:val="TableParagraph"/>
              <w:keepNext/>
              <w:spacing w:before="29"/>
              <w:ind w:left="63"/>
              <w:jc w:val="center"/>
              <w:rPr>
                <w:rFonts w:cs="Arial"/>
                <w:b/>
                <w:color w:val="0070AD"/>
                <w:sz w:val="14"/>
                <w:szCs w:val="14"/>
              </w:rPr>
            </w:pPr>
            <w:r w:rsidRPr="00925134">
              <w:rPr>
                <w:rFonts w:cs="Arial"/>
                <w:b/>
                <w:color w:val="0070AD"/>
                <w:sz w:val="14"/>
                <w:szCs w:val="14"/>
              </w:rPr>
              <w:t>2017</w:t>
            </w:r>
          </w:p>
        </w:tc>
        <w:tc>
          <w:tcPr>
            <w:tcW w:w="1361" w:type="dxa"/>
            <w:shd w:val="clear" w:color="auto" w:fill="BBE7FF" w:themeFill="accent1" w:themeFillTint="33"/>
            <w:vAlign w:val="center"/>
          </w:tcPr>
          <w:p w14:paraId="6FEBC784" w14:textId="77777777" w:rsidR="00C819D7" w:rsidRPr="00925134" w:rsidRDefault="00C819D7" w:rsidP="00C819D7">
            <w:pPr>
              <w:pStyle w:val="TableParagraph"/>
              <w:keepNext/>
              <w:spacing w:before="29"/>
              <w:ind w:left="63"/>
              <w:jc w:val="center"/>
              <w:rPr>
                <w:rFonts w:cs="Arial"/>
                <w:b/>
                <w:color w:val="0070AD"/>
                <w:sz w:val="14"/>
                <w:szCs w:val="14"/>
              </w:rPr>
            </w:pPr>
            <w:r w:rsidRPr="00925134">
              <w:rPr>
                <w:rFonts w:cs="Arial"/>
                <w:b/>
                <w:color w:val="0070AD"/>
                <w:sz w:val="14"/>
                <w:szCs w:val="14"/>
              </w:rPr>
              <w:t>2017</w:t>
            </w:r>
          </w:p>
        </w:tc>
      </w:tr>
      <w:tr w:rsidR="00C819D7" w:rsidRPr="00925134" w14:paraId="35EEA289" w14:textId="77777777" w:rsidTr="00C819D7">
        <w:trPr>
          <w:trHeight w:val="227"/>
          <w:jc w:val="center"/>
        </w:trPr>
        <w:tc>
          <w:tcPr>
            <w:tcW w:w="3798" w:type="dxa"/>
            <w:vAlign w:val="center"/>
          </w:tcPr>
          <w:p w14:paraId="3E6DDA96" w14:textId="77777777" w:rsidR="00C819D7" w:rsidRPr="00925134" w:rsidRDefault="00C819D7" w:rsidP="00C819D7">
            <w:pPr>
              <w:pStyle w:val="TableParagraph"/>
              <w:keepNext/>
              <w:spacing w:before="29"/>
              <w:ind w:left="63"/>
              <w:rPr>
                <w:rFonts w:cs="Arial"/>
                <w:b/>
                <w:color w:val="0070AD" w:themeColor="accent1"/>
                <w:sz w:val="14"/>
                <w:szCs w:val="14"/>
              </w:rPr>
            </w:pPr>
            <w:r w:rsidRPr="00925134">
              <w:rPr>
                <w:rFonts w:cs="Arial"/>
                <w:b/>
                <w:color w:val="0070AD" w:themeColor="accent1"/>
                <w:sz w:val="14"/>
                <w:szCs w:val="14"/>
              </w:rPr>
              <w:t xml:space="preserve">Organic growth </w:t>
            </w:r>
          </w:p>
        </w:tc>
        <w:tc>
          <w:tcPr>
            <w:tcW w:w="1361" w:type="dxa"/>
            <w:tcBorders>
              <w:top w:val="nil"/>
              <w:left w:val="nil"/>
              <w:bottom w:val="single" w:sz="8" w:space="0" w:color="0070AD"/>
              <w:right w:val="nil"/>
            </w:tcBorders>
            <w:shd w:val="clear" w:color="000000" w:fill="BBE7FF"/>
            <w:vAlign w:val="center"/>
          </w:tcPr>
          <w:p w14:paraId="176787C2"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+5.6%</w:t>
            </w:r>
          </w:p>
        </w:tc>
        <w:tc>
          <w:tcPr>
            <w:tcW w:w="1361" w:type="dxa"/>
            <w:tcBorders>
              <w:top w:val="nil"/>
              <w:left w:val="nil"/>
              <w:bottom w:val="single" w:sz="8" w:space="0" w:color="0070AD"/>
              <w:right w:val="nil"/>
            </w:tcBorders>
            <w:shd w:val="clear" w:color="000000" w:fill="BBE7FF"/>
            <w:vAlign w:val="center"/>
          </w:tcPr>
          <w:p w14:paraId="79CFDA17"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+3.6%</w:t>
            </w:r>
          </w:p>
        </w:tc>
      </w:tr>
      <w:tr w:rsidR="00C819D7" w:rsidRPr="00925134" w14:paraId="3AC7797B" w14:textId="77777777" w:rsidTr="00C819D7">
        <w:trPr>
          <w:trHeight w:val="227"/>
          <w:jc w:val="center"/>
        </w:trPr>
        <w:tc>
          <w:tcPr>
            <w:tcW w:w="3798" w:type="dxa"/>
            <w:vAlign w:val="center"/>
          </w:tcPr>
          <w:p w14:paraId="1EDE371D" w14:textId="77777777" w:rsidR="00C819D7" w:rsidRPr="00925134" w:rsidRDefault="00C819D7" w:rsidP="00C819D7">
            <w:pPr>
              <w:pStyle w:val="TableParagraph"/>
              <w:keepNext/>
              <w:ind w:left="142"/>
              <w:rPr>
                <w:rFonts w:cs="Arial"/>
                <w:sz w:val="14"/>
                <w:szCs w:val="14"/>
              </w:rPr>
            </w:pPr>
            <w:r w:rsidRPr="00925134">
              <w:rPr>
                <w:rFonts w:cs="Arial"/>
                <w:sz w:val="14"/>
                <w:szCs w:val="14"/>
              </w:rPr>
              <w:t>Changes in Group scope</w:t>
            </w:r>
          </w:p>
        </w:tc>
        <w:tc>
          <w:tcPr>
            <w:tcW w:w="1361" w:type="dxa"/>
            <w:tcBorders>
              <w:top w:val="nil"/>
              <w:left w:val="nil"/>
              <w:bottom w:val="single" w:sz="8" w:space="0" w:color="0070AD"/>
              <w:right w:val="nil"/>
            </w:tcBorders>
            <w:shd w:val="clear" w:color="000000" w:fill="BBE7FF"/>
            <w:vAlign w:val="center"/>
          </w:tcPr>
          <w:p w14:paraId="4DF5291A" w14:textId="77777777" w:rsidR="00C819D7" w:rsidRPr="00925134" w:rsidRDefault="00C819D7" w:rsidP="00C819D7">
            <w:pPr>
              <w:ind w:firstLineChars="200" w:firstLine="280"/>
              <w:jc w:val="center"/>
              <w:rPr>
                <w:rFonts w:ascii="Verdana" w:hAnsi="Verdana"/>
                <w:color w:val="000000"/>
                <w:sz w:val="14"/>
                <w:szCs w:val="14"/>
                <w:lang w:val="en-US"/>
              </w:rPr>
            </w:pPr>
            <w:r w:rsidRPr="00925134">
              <w:rPr>
                <w:rFonts w:ascii="Verdana" w:hAnsi="Verdana"/>
                <w:color w:val="000000"/>
                <w:sz w:val="14"/>
                <w:szCs w:val="14"/>
                <w:lang w:val="en-US"/>
              </w:rPr>
              <w:t>+0.6pt</w:t>
            </w:r>
          </w:p>
        </w:tc>
        <w:tc>
          <w:tcPr>
            <w:tcW w:w="1361" w:type="dxa"/>
            <w:tcBorders>
              <w:top w:val="nil"/>
              <w:left w:val="nil"/>
              <w:bottom w:val="single" w:sz="8" w:space="0" w:color="0070AD"/>
              <w:right w:val="nil"/>
            </w:tcBorders>
            <w:shd w:val="clear" w:color="000000" w:fill="BBE7FF"/>
            <w:vAlign w:val="center"/>
          </w:tcPr>
          <w:p w14:paraId="5136B4EB" w14:textId="77777777" w:rsidR="00C819D7" w:rsidRPr="00925134" w:rsidRDefault="00C819D7" w:rsidP="00C819D7">
            <w:pPr>
              <w:ind w:firstLineChars="200" w:firstLine="280"/>
              <w:jc w:val="center"/>
              <w:rPr>
                <w:rFonts w:ascii="Verdana" w:hAnsi="Verdana"/>
                <w:color w:val="000000"/>
                <w:sz w:val="14"/>
                <w:szCs w:val="14"/>
                <w:lang w:val="en-US"/>
              </w:rPr>
            </w:pPr>
            <w:r w:rsidRPr="00925134">
              <w:rPr>
                <w:rFonts w:ascii="Verdana" w:hAnsi="Verdana"/>
                <w:color w:val="000000"/>
                <w:sz w:val="14"/>
                <w:szCs w:val="14"/>
                <w:lang w:val="en-US"/>
              </w:rPr>
              <w:t>+0.4pt</w:t>
            </w:r>
          </w:p>
        </w:tc>
      </w:tr>
      <w:tr w:rsidR="00C819D7" w:rsidRPr="00925134" w14:paraId="28E3ADD1" w14:textId="77777777" w:rsidTr="00C819D7">
        <w:trPr>
          <w:trHeight w:val="227"/>
          <w:jc w:val="center"/>
        </w:trPr>
        <w:tc>
          <w:tcPr>
            <w:tcW w:w="3798" w:type="dxa"/>
            <w:vAlign w:val="center"/>
          </w:tcPr>
          <w:p w14:paraId="118C42EC" w14:textId="77777777" w:rsidR="00C819D7" w:rsidRPr="00925134" w:rsidRDefault="00C819D7" w:rsidP="00C819D7">
            <w:pPr>
              <w:pStyle w:val="TableParagraph"/>
              <w:keepNext/>
              <w:spacing w:before="29"/>
              <w:ind w:left="63"/>
              <w:rPr>
                <w:rFonts w:cs="Arial"/>
                <w:b/>
                <w:color w:val="0070AD"/>
                <w:sz w:val="14"/>
                <w:szCs w:val="14"/>
              </w:rPr>
            </w:pPr>
            <w:r w:rsidRPr="00925134">
              <w:rPr>
                <w:rFonts w:cs="Arial"/>
                <w:b/>
                <w:color w:val="0070AD"/>
                <w:sz w:val="14"/>
                <w:szCs w:val="14"/>
              </w:rPr>
              <w:t>Growth at constant exchange rates</w:t>
            </w:r>
          </w:p>
        </w:tc>
        <w:tc>
          <w:tcPr>
            <w:tcW w:w="1361" w:type="dxa"/>
            <w:tcBorders>
              <w:top w:val="nil"/>
              <w:left w:val="nil"/>
              <w:bottom w:val="single" w:sz="8" w:space="0" w:color="0070AD"/>
              <w:right w:val="nil"/>
            </w:tcBorders>
            <w:shd w:val="clear" w:color="000000" w:fill="BBE7FF"/>
            <w:vAlign w:val="center"/>
          </w:tcPr>
          <w:p w14:paraId="4CF0060A"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+6.2%</w:t>
            </w:r>
          </w:p>
        </w:tc>
        <w:tc>
          <w:tcPr>
            <w:tcW w:w="1361" w:type="dxa"/>
            <w:tcBorders>
              <w:top w:val="nil"/>
              <w:left w:val="nil"/>
              <w:bottom w:val="single" w:sz="8" w:space="0" w:color="0070AD"/>
              <w:right w:val="nil"/>
            </w:tcBorders>
            <w:shd w:val="clear" w:color="000000" w:fill="BBE7FF"/>
            <w:vAlign w:val="center"/>
          </w:tcPr>
          <w:p w14:paraId="2F249137"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+4.0%</w:t>
            </w:r>
          </w:p>
        </w:tc>
      </w:tr>
      <w:tr w:rsidR="00C819D7" w:rsidRPr="00925134" w14:paraId="66D635DC" w14:textId="77777777" w:rsidTr="00C819D7">
        <w:trPr>
          <w:trHeight w:val="227"/>
          <w:jc w:val="center"/>
        </w:trPr>
        <w:tc>
          <w:tcPr>
            <w:tcW w:w="3798" w:type="dxa"/>
            <w:vAlign w:val="center"/>
          </w:tcPr>
          <w:p w14:paraId="419005AA" w14:textId="77777777" w:rsidR="00C819D7" w:rsidRPr="00925134" w:rsidRDefault="00C819D7" w:rsidP="00C819D7">
            <w:pPr>
              <w:pStyle w:val="TableParagraph"/>
              <w:keepNext/>
              <w:ind w:left="142"/>
              <w:rPr>
                <w:rFonts w:cs="Arial"/>
                <w:sz w:val="14"/>
                <w:szCs w:val="14"/>
              </w:rPr>
            </w:pPr>
            <w:r w:rsidRPr="00925134">
              <w:rPr>
                <w:rFonts w:cs="Arial"/>
                <w:sz w:val="14"/>
                <w:szCs w:val="14"/>
              </w:rPr>
              <w:t>Exchange rate fluctuations</w:t>
            </w:r>
          </w:p>
        </w:tc>
        <w:tc>
          <w:tcPr>
            <w:tcW w:w="1361" w:type="dxa"/>
            <w:tcBorders>
              <w:top w:val="nil"/>
              <w:left w:val="nil"/>
              <w:bottom w:val="single" w:sz="8" w:space="0" w:color="0070AD"/>
              <w:right w:val="nil"/>
            </w:tcBorders>
            <w:shd w:val="clear" w:color="000000" w:fill="BBE7FF"/>
            <w:vAlign w:val="center"/>
          </w:tcPr>
          <w:p w14:paraId="4D362353" w14:textId="77777777" w:rsidR="00C819D7" w:rsidRPr="00925134" w:rsidRDefault="00C819D7" w:rsidP="00C819D7">
            <w:pPr>
              <w:ind w:firstLineChars="200" w:firstLine="280"/>
              <w:jc w:val="center"/>
              <w:rPr>
                <w:rFonts w:ascii="Verdana" w:hAnsi="Verdana"/>
                <w:color w:val="000000"/>
                <w:sz w:val="14"/>
                <w:szCs w:val="14"/>
                <w:lang w:val="en-US"/>
              </w:rPr>
            </w:pPr>
            <w:r w:rsidRPr="00925134">
              <w:rPr>
                <w:rFonts w:ascii="Verdana" w:hAnsi="Verdana"/>
                <w:color w:val="000000"/>
                <w:sz w:val="14"/>
                <w:szCs w:val="14"/>
                <w:lang w:val="en-US"/>
              </w:rPr>
              <w:t>-3.5pt</w:t>
            </w:r>
          </w:p>
        </w:tc>
        <w:tc>
          <w:tcPr>
            <w:tcW w:w="1361" w:type="dxa"/>
            <w:tcBorders>
              <w:top w:val="nil"/>
              <w:left w:val="nil"/>
              <w:bottom w:val="single" w:sz="8" w:space="0" w:color="0070AD"/>
              <w:right w:val="nil"/>
            </w:tcBorders>
            <w:shd w:val="clear" w:color="000000" w:fill="BBE7FF"/>
            <w:vAlign w:val="center"/>
          </w:tcPr>
          <w:p w14:paraId="30F5F574" w14:textId="77777777" w:rsidR="00C819D7" w:rsidRPr="00925134" w:rsidRDefault="00C819D7" w:rsidP="00C819D7">
            <w:pPr>
              <w:ind w:firstLineChars="200" w:firstLine="280"/>
              <w:jc w:val="center"/>
              <w:rPr>
                <w:rFonts w:ascii="Verdana" w:hAnsi="Verdana"/>
                <w:color w:val="000000"/>
                <w:sz w:val="14"/>
                <w:szCs w:val="14"/>
                <w:lang w:val="en-US"/>
              </w:rPr>
            </w:pPr>
            <w:r w:rsidRPr="00925134">
              <w:rPr>
                <w:rFonts w:ascii="Verdana" w:hAnsi="Verdana"/>
                <w:color w:val="000000"/>
                <w:sz w:val="14"/>
                <w:szCs w:val="14"/>
                <w:lang w:val="en-US"/>
              </w:rPr>
              <w:t>-1.6pt</w:t>
            </w:r>
          </w:p>
        </w:tc>
      </w:tr>
      <w:tr w:rsidR="00C819D7" w:rsidRPr="00925134" w14:paraId="76F5288F" w14:textId="77777777" w:rsidTr="00C819D7">
        <w:trPr>
          <w:trHeight w:val="227"/>
          <w:jc w:val="center"/>
        </w:trPr>
        <w:tc>
          <w:tcPr>
            <w:tcW w:w="3798" w:type="dxa"/>
            <w:vAlign w:val="center"/>
          </w:tcPr>
          <w:p w14:paraId="42DD2724" w14:textId="77777777" w:rsidR="00C819D7" w:rsidRPr="00925134" w:rsidRDefault="00C819D7" w:rsidP="00C819D7">
            <w:pPr>
              <w:pStyle w:val="TableParagraph"/>
              <w:keepNext/>
              <w:spacing w:before="29"/>
              <w:ind w:left="63"/>
              <w:rPr>
                <w:rFonts w:cs="Arial"/>
                <w:b/>
                <w:color w:val="0070AD"/>
                <w:sz w:val="14"/>
                <w:szCs w:val="14"/>
              </w:rPr>
            </w:pPr>
            <w:r w:rsidRPr="00925134">
              <w:rPr>
                <w:rFonts w:cs="Arial"/>
                <w:b/>
                <w:color w:val="0070AD"/>
                <w:sz w:val="14"/>
                <w:szCs w:val="14"/>
              </w:rPr>
              <w:t>Current growth</w:t>
            </w:r>
          </w:p>
        </w:tc>
        <w:tc>
          <w:tcPr>
            <w:tcW w:w="1361" w:type="dxa"/>
            <w:tcBorders>
              <w:top w:val="nil"/>
              <w:left w:val="nil"/>
              <w:bottom w:val="single" w:sz="8" w:space="0" w:color="0070AD"/>
              <w:right w:val="nil"/>
            </w:tcBorders>
            <w:shd w:val="clear" w:color="000000" w:fill="BBE7FF"/>
            <w:vAlign w:val="center"/>
          </w:tcPr>
          <w:p w14:paraId="39337156"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+2.7%</w:t>
            </w:r>
          </w:p>
        </w:tc>
        <w:tc>
          <w:tcPr>
            <w:tcW w:w="1361" w:type="dxa"/>
            <w:tcBorders>
              <w:top w:val="nil"/>
              <w:left w:val="nil"/>
              <w:bottom w:val="single" w:sz="8" w:space="0" w:color="0070AD"/>
              <w:right w:val="nil"/>
            </w:tcBorders>
            <w:shd w:val="clear" w:color="000000" w:fill="BBE7FF"/>
            <w:vAlign w:val="center"/>
          </w:tcPr>
          <w:p w14:paraId="058FC13E"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+2.4%</w:t>
            </w:r>
          </w:p>
        </w:tc>
      </w:tr>
      <w:tr w:rsidR="00C819D7" w:rsidRPr="00925134" w14:paraId="5A4B0960" w14:textId="77777777" w:rsidTr="00C819D7">
        <w:trPr>
          <w:trHeight w:val="227"/>
          <w:jc w:val="center"/>
        </w:trPr>
        <w:tc>
          <w:tcPr>
            <w:tcW w:w="3798" w:type="dxa"/>
            <w:vAlign w:val="center"/>
          </w:tcPr>
          <w:p w14:paraId="3621E944" w14:textId="77777777" w:rsidR="00C819D7" w:rsidRPr="00925134" w:rsidRDefault="00C819D7" w:rsidP="00C819D7">
            <w:pPr>
              <w:pStyle w:val="TableParagraph"/>
              <w:keepNext/>
              <w:ind w:left="142"/>
              <w:rPr>
                <w:rFonts w:cs="Arial"/>
                <w:sz w:val="14"/>
                <w:szCs w:val="14"/>
              </w:rPr>
            </w:pPr>
            <w:r w:rsidRPr="00925134">
              <w:rPr>
                <w:rFonts w:cs="Arial"/>
                <w:sz w:val="14"/>
                <w:szCs w:val="14"/>
              </w:rPr>
              <w:t>Discontinued operations</w:t>
            </w:r>
          </w:p>
        </w:tc>
        <w:tc>
          <w:tcPr>
            <w:tcW w:w="1361" w:type="dxa"/>
            <w:tcBorders>
              <w:top w:val="nil"/>
              <w:left w:val="nil"/>
              <w:bottom w:val="single" w:sz="8" w:space="0" w:color="0070AD"/>
              <w:right w:val="nil"/>
            </w:tcBorders>
            <w:shd w:val="clear" w:color="000000" w:fill="BBE7FF"/>
            <w:vAlign w:val="center"/>
          </w:tcPr>
          <w:p w14:paraId="4DFE9E29" w14:textId="77777777" w:rsidR="00C819D7" w:rsidRPr="00925134" w:rsidRDefault="00C819D7" w:rsidP="00C819D7">
            <w:pPr>
              <w:ind w:firstLineChars="200" w:firstLine="280"/>
              <w:jc w:val="center"/>
              <w:rPr>
                <w:rFonts w:ascii="Verdana" w:hAnsi="Verdana"/>
                <w:color w:val="000000"/>
                <w:sz w:val="14"/>
                <w:szCs w:val="14"/>
                <w:lang w:val="en-US"/>
              </w:rPr>
            </w:pPr>
            <w:r w:rsidRPr="00925134">
              <w:rPr>
                <w:rFonts w:ascii="Verdana" w:hAnsi="Verdana"/>
                <w:color w:val="000000"/>
                <w:sz w:val="14"/>
                <w:szCs w:val="14"/>
                <w:lang w:val="en-US"/>
              </w:rPr>
              <w:t>-0.5pt</w:t>
            </w:r>
          </w:p>
        </w:tc>
        <w:tc>
          <w:tcPr>
            <w:tcW w:w="1361" w:type="dxa"/>
            <w:tcBorders>
              <w:top w:val="nil"/>
              <w:left w:val="nil"/>
              <w:bottom w:val="single" w:sz="8" w:space="0" w:color="0070AD"/>
              <w:right w:val="nil"/>
            </w:tcBorders>
            <w:shd w:val="clear" w:color="000000" w:fill="BBE7FF"/>
            <w:vAlign w:val="center"/>
          </w:tcPr>
          <w:p w14:paraId="3C06572C" w14:textId="77777777" w:rsidR="00C819D7" w:rsidRPr="00925134" w:rsidRDefault="00C819D7" w:rsidP="00C819D7">
            <w:pPr>
              <w:ind w:firstLineChars="200" w:firstLine="280"/>
              <w:jc w:val="center"/>
              <w:rPr>
                <w:rFonts w:ascii="Verdana" w:hAnsi="Verdana"/>
                <w:color w:val="000000"/>
                <w:sz w:val="14"/>
                <w:szCs w:val="14"/>
                <w:lang w:val="en-US"/>
              </w:rPr>
            </w:pPr>
            <w:r w:rsidRPr="00925134">
              <w:rPr>
                <w:rFonts w:ascii="Verdana" w:hAnsi="Verdana"/>
                <w:color w:val="000000"/>
                <w:sz w:val="14"/>
                <w:szCs w:val="14"/>
                <w:lang w:val="en-US"/>
              </w:rPr>
              <w:t>-0.4pt</w:t>
            </w:r>
          </w:p>
        </w:tc>
      </w:tr>
      <w:tr w:rsidR="00C819D7" w:rsidRPr="00925134" w14:paraId="24BBF8FD" w14:textId="77777777" w:rsidTr="00C819D7">
        <w:trPr>
          <w:trHeight w:val="227"/>
          <w:jc w:val="center"/>
        </w:trPr>
        <w:tc>
          <w:tcPr>
            <w:tcW w:w="3798" w:type="dxa"/>
            <w:vAlign w:val="center"/>
          </w:tcPr>
          <w:p w14:paraId="0BB39247" w14:textId="77777777" w:rsidR="00C819D7" w:rsidRPr="00925134" w:rsidRDefault="00C819D7" w:rsidP="00C819D7">
            <w:pPr>
              <w:pStyle w:val="TableParagraph"/>
              <w:keepNext/>
              <w:spacing w:before="29"/>
              <w:ind w:left="63"/>
              <w:rPr>
                <w:rFonts w:cs="Arial"/>
                <w:b/>
                <w:color w:val="0070AD"/>
                <w:sz w:val="14"/>
                <w:szCs w:val="14"/>
              </w:rPr>
            </w:pPr>
            <w:r w:rsidRPr="00925134">
              <w:rPr>
                <w:rFonts w:cs="Arial"/>
                <w:b/>
                <w:color w:val="0070AD"/>
                <w:sz w:val="14"/>
                <w:szCs w:val="14"/>
              </w:rPr>
              <w:t>Reported growth</w:t>
            </w:r>
          </w:p>
        </w:tc>
        <w:tc>
          <w:tcPr>
            <w:tcW w:w="1361" w:type="dxa"/>
            <w:tcBorders>
              <w:top w:val="nil"/>
              <w:left w:val="nil"/>
              <w:bottom w:val="single" w:sz="8" w:space="0" w:color="0070AD"/>
              <w:right w:val="nil"/>
            </w:tcBorders>
            <w:shd w:val="clear" w:color="000000" w:fill="BBE7FF"/>
            <w:vAlign w:val="center"/>
          </w:tcPr>
          <w:p w14:paraId="02FF5E93"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+2.2%</w:t>
            </w:r>
          </w:p>
        </w:tc>
        <w:tc>
          <w:tcPr>
            <w:tcW w:w="1361" w:type="dxa"/>
            <w:tcBorders>
              <w:top w:val="nil"/>
              <w:left w:val="nil"/>
              <w:bottom w:val="single" w:sz="8" w:space="0" w:color="0070AD"/>
              <w:right w:val="nil"/>
            </w:tcBorders>
            <w:shd w:val="clear" w:color="000000" w:fill="BBE7FF"/>
            <w:vAlign w:val="center"/>
          </w:tcPr>
          <w:p w14:paraId="19DBEA66" w14:textId="77777777" w:rsidR="00C819D7" w:rsidRPr="00925134" w:rsidRDefault="00C819D7" w:rsidP="00C819D7">
            <w:pPr>
              <w:ind w:firstLineChars="200" w:firstLine="281"/>
              <w:jc w:val="center"/>
              <w:rPr>
                <w:rFonts w:ascii="Verdana" w:hAnsi="Verdana"/>
                <w:b/>
                <w:bCs/>
                <w:color w:val="0070AD"/>
                <w:sz w:val="14"/>
                <w:szCs w:val="14"/>
                <w:lang w:val="en-US"/>
              </w:rPr>
            </w:pPr>
            <w:r w:rsidRPr="00925134">
              <w:rPr>
                <w:rFonts w:ascii="Verdana" w:hAnsi="Verdana"/>
                <w:b/>
                <w:bCs/>
                <w:color w:val="0070AD"/>
                <w:sz w:val="14"/>
                <w:szCs w:val="14"/>
                <w:lang w:val="en-US"/>
              </w:rPr>
              <w:t>+2.0%</w:t>
            </w:r>
          </w:p>
        </w:tc>
      </w:tr>
    </w:tbl>
    <w:p w14:paraId="5A4BD9A6" w14:textId="77777777" w:rsidR="00C819D7" w:rsidRPr="00925134" w:rsidRDefault="00C819D7" w:rsidP="009B4DE9">
      <w:pPr>
        <w:spacing w:before="120" w:after="120"/>
        <w:rPr>
          <w:rFonts w:cs="Arial"/>
          <w:lang w:val="en-US"/>
        </w:rPr>
      </w:pPr>
      <w:r w:rsidRPr="00925134">
        <w:rPr>
          <w:rFonts w:cs="Arial"/>
          <w:lang w:val="en-US"/>
        </w:rPr>
        <w:t xml:space="preserve">Q4 currency impacts primarily concern the </w:t>
      </w:r>
      <w:r w:rsidR="00D1738E" w:rsidRPr="00925134">
        <w:rPr>
          <w:rFonts w:cs="Arial"/>
          <w:lang w:val="en-US"/>
        </w:rPr>
        <w:t xml:space="preserve">appreciation of the euro against the </w:t>
      </w:r>
      <w:r w:rsidRPr="00925134">
        <w:rPr>
          <w:rFonts w:cs="Arial"/>
          <w:lang w:val="en-US"/>
        </w:rPr>
        <w:t>U.S. dollar. The impact of discontinued operations reflects changes in the Brazilian equipment resale business, which generated revenues of €</w:t>
      </w:r>
      <w:r w:rsidR="00D1738E" w:rsidRPr="00925134">
        <w:rPr>
          <w:rFonts w:cs="Arial"/>
          <w:lang w:val="en-US"/>
        </w:rPr>
        <w:t>21</w:t>
      </w:r>
      <w:r w:rsidRPr="00925134">
        <w:rPr>
          <w:rFonts w:cs="Arial"/>
          <w:lang w:val="en-US"/>
        </w:rPr>
        <w:t xml:space="preserve"> million in Q</w:t>
      </w:r>
      <w:r w:rsidR="00D1738E" w:rsidRPr="00925134">
        <w:rPr>
          <w:rFonts w:cs="Arial"/>
          <w:lang w:val="en-US"/>
        </w:rPr>
        <w:t>4</w:t>
      </w:r>
      <w:r w:rsidRPr="00925134">
        <w:rPr>
          <w:rFonts w:cs="Arial"/>
          <w:lang w:val="en-US"/>
        </w:rPr>
        <w:t xml:space="preserve"> 201</w:t>
      </w:r>
      <w:r w:rsidR="000F3D27" w:rsidRPr="00925134">
        <w:rPr>
          <w:rFonts w:cs="Arial"/>
          <w:lang w:val="en-US"/>
        </w:rPr>
        <w:t>6</w:t>
      </w:r>
      <w:r w:rsidRPr="00925134">
        <w:rPr>
          <w:rFonts w:cs="Arial"/>
          <w:lang w:val="en-US"/>
        </w:rPr>
        <w:t>.</w:t>
      </w:r>
    </w:p>
    <w:p w14:paraId="2AE9AA0B" w14:textId="7BD38080" w:rsidR="00D1738E" w:rsidRPr="00925134" w:rsidRDefault="00E46DFC" w:rsidP="00D1738E">
      <w:pPr>
        <w:pStyle w:val="Brdtekst"/>
        <w:rPr>
          <w:lang w:val="en-US"/>
        </w:rPr>
      </w:pPr>
      <w:r w:rsidRPr="00925134">
        <w:rPr>
          <w:b/>
          <w:lang w:val="en-US"/>
        </w:rPr>
        <w:t>Operating margin</w:t>
      </w:r>
      <w:r w:rsidRPr="00925134">
        <w:rPr>
          <w:lang w:val="en-US"/>
        </w:rPr>
        <w:t xml:space="preserve"> is one of the Group’s key performance indicators. It is defined as the difference between revenues and operating expenses. It is calculated before “Other operating income and expenses” which include amortization of intangible assets recognized in business combinations, the charge resulting from the deferred recognition of the fair value of shares granted to employees, and non-recurring revenues and expenses, notably impairment of goodwill, negative goodwill, capital gains or losses on disposals of consolidated companies or businesses, restructuring costs incurred under a detailed formal plan approved by the Group’s management, the cost of acquiring and integrating companies acquired by the Group, including earn-outs comprising conditions of presence, and the effects of curtailments, settlements and transfers of defined benefit pension plans.</w:t>
      </w:r>
    </w:p>
    <w:p w14:paraId="612D41AF" w14:textId="77777777" w:rsidR="00D1738E" w:rsidRPr="00925134" w:rsidRDefault="00D1738E" w:rsidP="00D1738E">
      <w:pPr>
        <w:pStyle w:val="Brdtekst"/>
        <w:rPr>
          <w:lang w:val="en-US"/>
        </w:rPr>
      </w:pPr>
      <w:r w:rsidRPr="00925134">
        <w:rPr>
          <w:lang w:val="en-US"/>
        </w:rPr>
        <w:t xml:space="preserve">Normalized net profit is equal to profit for the year (Group share) adjusted for the impact of items recognized in “Other operating income and expense”, net of tax calculated using the effective tax rate. </w:t>
      </w:r>
      <w:r w:rsidRPr="00925134">
        <w:rPr>
          <w:b/>
          <w:lang w:val="en-US"/>
        </w:rPr>
        <w:t>Normalized earnings per share</w:t>
      </w:r>
      <w:r w:rsidRPr="00925134">
        <w:rPr>
          <w:lang w:val="en-US"/>
        </w:rPr>
        <w:t xml:space="preserve"> is computed like basic earnings per share, i.e. excluding dilution.</w:t>
      </w:r>
    </w:p>
    <w:p w14:paraId="203DC0AD" w14:textId="77777777" w:rsidR="00D1738E" w:rsidRPr="00925134" w:rsidRDefault="00D1738E" w:rsidP="00D1738E">
      <w:pPr>
        <w:pStyle w:val="Brdtekst"/>
        <w:spacing w:line="240" w:lineRule="auto"/>
        <w:rPr>
          <w:lang w:val="en-US"/>
        </w:rPr>
      </w:pPr>
      <w:r w:rsidRPr="00925134">
        <w:rPr>
          <w:b/>
          <w:lang w:val="en-US"/>
        </w:rPr>
        <w:t>Organic free cash flow</w:t>
      </w:r>
      <w:r w:rsidRPr="00925134">
        <w:rPr>
          <w:lang w:val="en-US"/>
        </w:rPr>
        <w:t xml:space="preserve"> is equal to cash flow from operations less acquisitions of property, plant, equipment and intangible assets (net of disposals) and adjusted for cash out relating to </w:t>
      </w:r>
      <w:r w:rsidR="000F3D27" w:rsidRPr="00925134">
        <w:rPr>
          <w:lang w:val="en-US"/>
        </w:rPr>
        <w:t xml:space="preserve">the </w:t>
      </w:r>
      <w:r w:rsidRPr="00925134">
        <w:rPr>
          <w:lang w:val="en-US"/>
        </w:rPr>
        <w:t>net interest cost.</w:t>
      </w:r>
    </w:p>
    <w:p w14:paraId="7C15681D" w14:textId="77777777" w:rsidR="003E11DB" w:rsidRPr="00925134" w:rsidRDefault="003E11DB" w:rsidP="009B4DE9">
      <w:pPr>
        <w:pStyle w:val="Brdtekst"/>
        <w:spacing w:line="240" w:lineRule="auto"/>
        <w:rPr>
          <w:lang w:val="en-US"/>
        </w:rPr>
      </w:pPr>
    </w:p>
    <w:p w14:paraId="5C48145F" w14:textId="77777777" w:rsidR="003C6ED1" w:rsidRPr="00925134" w:rsidRDefault="00D1738E" w:rsidP="009B4DE9">
      <w:pPr>
        <w:pStyle w:val="Overskrift1"/>
        <w:rPr>
          <w:lang w:val="en-US"/>
        </w:rPr>
      </w:pPr>
      <w:r w:rsidRPr="00925134">
        <w:rPr>
          <w:lang w:val="en-US"/>
        </w:rPr>
        <w:t>RESULTS BY REGION</w:t>
      </w:r>
    </w:p>
    <w:tbl>
      <w:tblPr>
        <w:tblW w:w="10091" w:type="dxa"/>
        <w:jc w:val="center"/>
        <w:tblLayout w:type="fixed"/>
        <w:tblCellMar>
          <w:left w:w="0" w:type="dxa"/>
          <w:right w:w="0" w:type="dxa"/>
        </w:tblCellMar>
        <w:tblLook w:val="01E0" w:firstRow="1" w:lastRow="1" w:firstColumn="1" w:lastColumn="1" w:noHBand="0" w:noVBand="0"/>
      </w:tblPr>
      <w:tblGrid>
        <w:gridCol w:w="2948"/>
        <w:gridCol w:w="1361"/>
        <w:gridCol w:w="57"/>
        <w:gridCol w:w="1417"/>
        <w:gridCol w:w="1417"/>
        <w:gridCol w:w="57"/>
        <w:gridCol w:w="1417"/>
        <w:gridCol w:w="1417"/>
      </w:tblGrid>
      <w:tr w:rsidR="00BE44F1" w:rsidRPr="00925134" w14:paraId="66871BC6" w14:textId="77777777" w:rsidTr="008E11D2">
        <w:trPr>
          <w:trHeight w:hRule="exact" w:val="283"/>
          <w:jc w:val="center"/>
        </w:trPr>
        <w:tc>
          <w:tcPr>
            <w:tcW w:w="2948" w:type="dxa"/>
          </w:tcPr>
          <w:p w14:paraId="544279D2" w14:textId="77777777" w:rsidR="00BE44F1" w:rsidRPr="00925134" w:rsidRDefault="00BE44F1" w:rsidP="00354252">
            <w:pPr>
              <w:keepNext/>
              <w:rPr>
                <w:sz w:val="14"/>
                <w:szCs w:val="14"/>
                <w:lang w:val="en-US"/>
              </w:rPr>
            </w:pPr>
          </w:p>
        </w:tc>
        <w:tc>
          <w:tcPr>
            <w:tcW w:w="1361" w:type="dxa"/>
            <w:tcBorders>
              <w:bottom w:val="single" w:sz="8" w:space="0" w:color="0070AD" w:themeColor="accent1"/>
            </w:tcBorders>
            <w:shd w:val="clear" w:color="auto" w:fill="auto"/>
            <w:vAlign w:val="center"/>
          </w:tcPr>
          <w:p w14:paraId="15484A0E" w14:textId="77777777" w:rsidR="00BE44F1" w:rsidRPr="00925134" w:rsidRDefault="00D1738E" w:rsidP="00D1738E">
            <w:pPr>
              <w:pStyle w:val="TableParagraph"/>
              <w:keepNext/>
              <w:ind w:left="1"/>
              <w:jc w:val="center"/>
              <w:rPr>
                <w:rFonts w:eastAsia="Arial" w:cs="Arial"/>
                <w:b/>
                <w:sz w:val="14"/>
                <w:szCs w:val="14"/>
              </w:rPr>
            </w:pPr>
            <w:r w:rsidRPr="00925134">
              <w:rPr>
                <w:b/>
                <w:sz w:val="14"/>
                <w:szCs w:val="14"/>
              </w:rPr>
              <w:t>Revenues</w:t>
            </w:r>
          </w:p>
        </w:tc>
        <w:tc>
          <w:tcPr>
            <w:tcW w:w="57" w:type="dxa"/>
          </w:tcPr>
          <w:p w14:paraId="114DA99F" w14:textId="77777777" w:rsidR="00BE44F1" w:rsidRPr="00925134" w:rsidRDefault="00BE44F1" w:rsidP="00354252">
            <w:pPr>
              <w:pStyle w:val="TableParagraph"/>
              <w:keepNext/>
              <w:ind w:right="105"/>
              <w:jc w:val="center"/>
              <w:rPr>
                <w:b/>
                <w:sz w:val="14"/>
                <w:szCs w:val="14"/>
              </w:rPr>
            </w:pPr>
          </w:p>
        </w:tc>
        <w:tc>
          <w:tcPr>
            <w:tcW w:w="2834" w:type="dxa"/>
            <w:gridSpan w:val="2"/>
            <w:tcBorders>
              <w:bottom w:val="single" w:sz="8" w:space="0" w:color="0070AD" w:themeColor="accent1"/>
            </w:tcBorders>
            <w:vAlign w:val="center"/>
          </w:tcPr>
          <w:p w14:paraId="6B70E484" w14:textId="77777777" w:rsidR="00BE44F1" w:rsidRPr="00925134" w:rsidRDefault="00D1738E" w:rsidP="00D1738E">
            <w:pPr>
              <w:pStyle w:val="TableParagraph"/>
              <w:keepNext/>
              <w:ind w:right="-1"/>
              <w:jc w:val="center"/>
              <w:rPr>
                <w:rFonts w:eastAsia="Arial" w:cs="Arial"/>
                <w:b/>
                <w:sz w:val="14"/>
                <w:szCs w:val="14"/>
              </w:rPr>
            </w:pPr>
            <w:r w:rsidRPr="00925134">
              <w:rPr>
                <w:b/>
                <w:sz w:val="14"/>
                <w:szCs w:val="14"/>
              </w:rPr>
              <w:t>Year-on-year growth</w:t>
            </w:r>
          </w:p>
        </w:tc>
        <w:tc>
          <w:tcPr>
            <w:tcW w:w="57" w:type="dxa"/>
          </w:tcPr>
          <w:p w14:paraId="64FB9F27" w14:textId="77777777" w:rsidR="00BE44F1" w:rsidRPr="00925134" w:rsidRDefault="00BE44F1" w:rsidP="00354252">
            <w:pPr>
              <w:pStyle w:val="TableParagraph"/>
              <w:keepNext/>
              <w:ind w:left="-11" w:right="380" w:firstLine="11"/>
              <w:jc w:val="center"/>
              <w:rPr>
                <w:b/>
                <w:sz w:val="14"/>
                <w:szCs w:val="14"/>
              </w:rPr>
            </w:pPr>
          </w:p>
        </w:tc>
        <w:tc>
          <w:tcPr>
            <w:tcW w:w="2834" w:type="dxa"/>
            <w:gridSpan w:val="2"/>
            <w:tcBorders>
              <w:bottom w:val="single" w:sz="8" w:space="0" w:color="0070AD" w:themeColor="accent1"/>
            </w:tcBorders>
            <w:shd w:val="clear" w:color="auto" w:fill="auto"/>
            <w:vAlign w:val="center"/>
          </w:tcPr>
          <w:p w14:paraId="2415771B" w14:textId="77777777" w:rsidR="00BE44F1" w:rsidRPr="00925134" w:rsidRDefault="00D1738E" w:rsidP="00D1738E">
            <w:pPr>
              <w:pStyle w:val="TableParagraph"/>
              <w:keepNext/>
              <w:ind w:left="-11" w:firstLine="11"/>
              <w:jc w:val="center"/>
              <w:rPr>
                <w:rFonts w:eastAsia="Arial" w:cs="Arial"/>
                <w:b/>
                <w:sz w:val="14"/>
                <w:szCs w:val="14"/>
              </w:rPr>
            </w:pPr>
            <w:r w:rsidRPr="00925134">
              <w:rPr>
                <w:b/>
                <w:sz w:val="14"/>
                <w:szCs w:val="14"/>
              </w:rPr>
              <w:t>Operating margin rate</w:t>
            </w:r>
          </w:p>
        </w:tc>
      </w:tr>
      <w:tr w:rsidR="00BE44F1" w:rsidRPr="00925134" w14:paraId="3EC738FC" w14:textId="77777777" w:rsidTr="008E11D2">
        <w:trPr>
          <w:trHeight w:hRule="exact" w:val="567"/>
          <w:jc w:val="center"/>
        </w:trPr>
        <w:tc>
          <w:tcPr>
            <w:tcW w:w="2948" w:type="dxa"/>
            <w:tcBorders>
              <w:bottom w:val="single" w:sz="8" w:space="0" w:color="0070AD" w:themeColor="accent1"/>
            </w:tcBorders>
          </w:tcPr>
          <w:p w14:paraId="68417A61" w14:textId="77777777" w:rsidR="00BE44F1" w:rsidRPr="00925134" w:rsidRDefault="00BE44F1" w:rsidP="00354252">
            <w:pPr>
              <w:keepNext/>
              <w:rPr>
                <w:sz w:val="14"/>
                <w:szCs w:val="14"/>
                <w:lang w:val="en-US"/>
              </w:rPr>
            </w:pPr>
          </w:p>
        </w:tc>
        <w:tc>
          <w:tcPr>
            <w:tcW w:w="1361" w:type="dxa"/>
            <w:tcBorders>
              <w:top w:val="single" w:sz="8" w:space="0" w:color="0070AD" w:themeColor="accent1"/>
              <w:bottom w:val="single" w:sz="8" w:space="0" w:color="0070AD" w:themeColor="accent1"/>
            </w:tcBorders>
            <w:shd w:val="clear" w:color="auto" w:fill="BBE7FF" w:themeFill="accent1" w:themeFillTint="33"/>
            <w:vAlign w:val="center"/>
          </w:tcPr>
          <w:p w14:paraId="3300DA51" w14:textId="77777777" w:rsidR="00BE44F1" w:rsidRPr="00925134" w:rsidRDefault="008959F4" w:rsidP="00354252">
            <w:pPr>
              <w:pStyle w:val="TableParagraph"/>
              <w:keepNext/>
              <w:ind w:left="1"/>
              <w:jc w:val="center"/>
              <w:rPr>
                <w:b/>
                <w:sz w:val="14"/>
                <w:szCs w:val="14"/>
              </w:rPr>
            </w:pPr>
            <w:r w:rsidRPr="00925134">
              <w:rPr>
                <w:b/>
                <w:sz w:val="14"/>
                <w:szCs w:val="14"/>
              </w:rPr>
              <w:t>2017</w:t>
            </w:r>
          </w:p>
          <w:p w14:paraId="42C431AA" w14:textId="77777777" w:rsidR="00BE44F1" w:rsidRPr="00925134" w:rsidRDefault="00BE44F1" w:rsidP="00D1738E">
            <w:pPr>
              <w:keepNext/>
              <w:ind w:left="1"/>
              <w:jc w:val="center"/>
              <w:rPr>
                <w:b/>
                <w:sz w:val="14"/>
                <w:szCs w:val="14"/>
                <w:lang w:val="en-US"/>
              </w:rPr>
            </w:pPr>
            <w:r w:rsidRPr="00925134">
              <w:rPr>
                <w:rFonts w:cs="Arial"/>
                <w:i/>
                <w:sz w:val="14"/>
                <w:szCs w:val="14"/>
                <w:lang w:val="en-US"/>
              </w:rPr>
              <w:t>(</w:t>
            </w:r>
            <w:r w:rsidR="00D1738E" w:rsidRPr="00925134">
              <w:rPr>
                <w:rFonts w:cs="Arial"/>
                <w:i/>
                <w:sz w:val="14"/>
                <w:szCs w:val="14"/>
                <w:lang w:val="en-US"/>
              </w:rPr>
              <w:t>i</w:t>
            </w:r>
            <w:r w:rsidRPr="00925134">
              <w:rPr>
                <w:rFonts w:cs="Arial"/>
                <w:i/>
                <w:sz w:val="14"/>
                <w:szCs w:val="14"/>
                <w:lang w:val="en-US"/>
              </w:rPr>
              <w:t xml:space="preserve">n millions </w:t>
            </w:r>
            <w:r w:rsidR="00D1738E" w:rsidRPr="00925134">
              <w:rPr>
                <w:rFonts w:cs="Arial"/>
                <w:i/>
                <w:sz w:val="14"/>
                <w:szCs w:val="14"/>
                <w:lang w:val="en-US"/>
              </w:rPr>
              <w:t xml:space="preserve">of </w:t>
            </w:r>
            <w:r w:rsidRPr="00925134">
              <w:rPr>
                <w:rFonts w:cs="Arial"/>
                <w:i/>
                <w:sz w:val="14"/>
                <w:szCs w:val="14"/>
                <w:lang w:val="en-US"/>
              </w:rPr>
              <w:t>euros)</w:t>
            </w:r>
          </w:p>
        </w:tc>
        <w:tc>
          <w:tcPr>
            <w:tcW w:w="57" w:type="dxa"/>
            <w:tcBorders>
              <w:bottom w:val="single" w:sz="8" w:space="0" w:color="0070AD" w:themeColor="accent1"/>
            </w:tcBorders>
          </w:tcPr>
          <w:p w14:paraId="7BB2113C" w14:textId="77777777" w:rsidR="00BE44F1" w:rsidRPr="00925134" w:rsidRDefault="00BE44F1" w:rsidP="00354252">
            <w:pPr>
              <w:pStyle w:val="TableParagraph"/>
              <w:keepNext/>
              <w:spacing w:before="27"/>
              <w:ind w:right="162" w:firstLine="26"/>
              <w:jc w:val="center"/>
              <w:rPr>
                <w:b/>
                <w:sz w:val="14"/>
                <w:szCs w:val="14"/>
              </w:rPr>
            </w:pPr>
          </w:p>
        </w:tc>
        <w:tc>
          <w:tcPr>
            <w:tcW w:w="1417" w:type="dxa"/>
            <w:tcBorders>
              <w:top w:val="single" w:sz="8" w:space="0" w:color="0070AD" w:themeColor="accent1"/>
              <w:bottom w:val="single" w:sz="8" w:space="0" w:color="0070AD" w:themeColor="accent1"/>
            </w:tcBorders>
            <w:vAlign w:val="center"/>
          </w:tcPr>
          <w:p w14:paraId="794C19C3" w14:textId="77777777" w:rsidR="00BE44F1" w:rsidRPr="00925134" w:rsidRDefault="00D1738E" w:rsidP="00354252">
            <w:pPr>
              <w:pStyle w:val="TableParagraph"/>
              <w:keepNext/>
              <w:spacing w:before="27"/>
              <w:jc w:val="center"/>
              <w:rPr>
                <w:rFonts w:eastAsia="Arial" w:cs="Arial"/>
                <w:b/>
                <w:sz w:val="14"/>
                <w:szCs w:val="14"/>
              </w:rPr>
            </w:pPr>
            <w:r w:rsidRPr="00925134">
              <w:rPr>
                <w:b/>
                <w:sz w:val="14"/>
                <w:szCs w:val="14"/>
              </w:rPr>
              <w:t>Published</w:t>
            </w:r>
          </w:p>
        </w:tc>
        <w:tc>
          <w:tcPr>
            <w:tcW w:w="1417" w:type="dxa"/>
            <w:tcBorders>
              <w:top w:val="single" w:sz="8" w:space="0" w:color="0070AD" w:themeColor="accent1"/>
              <w:bottom w:val="single" w:sz="8" w:space="0" w:color="0070AD" w:themeColor="accent1"/>
            </w:tcBorders>
            <w:vAlign w:val="center"/>
          </w:tcPr>
          <w:p w14:paraId="77854E7D" w14:textId="77777777" w:rsidR="00BE44F1" w:rsidRPr="00925134" w:rsidRDefault="00D1738E" w:rsidP="00D1738E">
            <w:pPr>
              <w:pStyle w:val="TableParagraph"/>
              <w:keepNext/>
              <w:spacing w:before="27"/>
              <w:ind w:right="-1"/>
              <w:jc w:val="center"/>
              <w:rPr>
                <w:b/>
                <w:sz w:val="14"/>
                <w:szCs w:val="14"/>
              </w:rPr>
            </w:pPr>
            <w:r w:rsidRPr="00925134">
              <w:rPr>
                <w:b/>
                <w:sz w:val="14"/>
                <w:szCs w:val="14"/>
              </w:rPr>
              <w:t>At constant exchange rates</w:t>
            </w:r>
          </w:p>
        </w:tc>
        <w:tc>
          <w:tcPr>
            <w:tcW w:w="57" w:type="dxa"/>
            <w:tcBorders>
              <w:bottom w:val="single" w:sz="8" w:space="0" w:color="0070AD" w:themeColor="accent1"/>
            </w:tcBorders>
            <w:vAlign w:val="center"/>
          </w:tcPr>
          <w:p w14:paraId="50210CF7" w14:textId="77777777" w:rsidR="00BE44F1" w:rsidRPr="00925134" w:rsidRDefault="00BE44F1" w:rsidP="00354252">
            <w:pPr>
              <w:pStyle w:val="TableParagraph"/>
              <w:keepNext/>
              <w:jc w:val="center"/>
              <w:rPr>
                <w:b/>
                <w:sz w:val="14"/>
                <w:szCs w:val="14"/>
              </w:rPr>
            </w:pPr>
          </w:p>
        </w:tc>
        <w:tc>
          <w:tcPr>
            <w:tcW w:w="1417" w:type="dxa"/>
            <w:tcBorders>
              <w:top w:val="single" w:sz="8" w:space="0" w:color="0070AD" w:themeColor="accent1"/>
              <w:bottom w:val="single" w:sz="8" w:space="0" w:color="0070AD" w:themeColor="accent1"/>
            </w:tcBorders>
            <w:vAlign w:val="center"/>
          </w:tcPr>
          <w:p w14:paraId="1EFB4DCD" w14:textId="77777777" w:rsidR="00BE44F1" w:rsidRPr="00925134" w:rsidRDefault="008959F4" w:rsidP="00354252">
            <w:pPr>
              <w:pStyle w:val="TableParagraph"/>
              <w:keepNext/>
              <w:ind w:left="17"/>
              <w:jc w:val="center"/>
              <w:rPr>
                <w:rFonts w:eastAsia="Arial" w:cs="Arial"/>
                <w:b/>
                <w:sz w:val="14"/>
                <w:szCs w:val="14"/>
              </w:rPr>
            </w:pPr>
            <w:r w:rsidRPr="00925134">
              <w:rPr>
                <w:b/>
                <w:sz w:val="14"/>
                <w:szCs w:val="14"/>
              </w:rPr>
              <w:t>2016</w:t>
            </w:r>
          </w:p>
        </w:tc>
        <w:tc>
          <w:tcPr>
            <w:tcW w:w="1417" w:type="dxa"/>
            <w:tcBorders>
              <w:top w:val="single" w:sz="8" w:space="0" w:color="0070AD" w:themeColor="accent1"/>
              <w:bottom w:val="single" w:sz="8" w:space="0" w:color="0070AD" w:themeColor="accent1"/>
            </w:tcBorders>
            <w:shd w:val="clear" w:color="auto" w:fill="BBE7FF" w:themeFill="accent1" w:themeFillTint="33"/>
            <w:vAlign w:val="center"/>
          </w:tcPr>
          <w:p w14:paraId="29E484CB" w14:textId="77777777" w:rsidR="00BE44F1" w:rsidRPr="00925134" w:rsidRDefault="008959F4" w:rsidP="00354252">
            <w:pPr>
              <w:pStyle w:val="TableParagraph"/>
              <w:keepNext/>
              <w:ind w:left="17"/>
              <w:jc w:val="center"/>
              <w:rPr>
                <w:rFonts w:eastAsia="Arial" w:cs="Arial"/>
                <w:b/>
                <w:sz w:val="14"/>
                <w:szCs w:val="14"/>
              </w:rPr>
            </w:pPr>
            <w:r w:rsidRPr="00925134">
              <w:rPr>
                <w:b/>
                <w:sz w:val="14"/>
                <w:szCs w:val="14"/>
              </w:rPr>
              <w:t>2017</w:t>
            </w:r>
          </w:p>
        </w:tc>
      </w:tr>
      <w:tr w:rsidR="00EC2B31" w:rsidRPr="00925134" w14:paraId="0BBEDF46" w14:textId="77777777" w:rsidTr="008E11D2">
        <w:trPr>
          <w:trHeight w:val="227"/>
          <w:jc w:val="center"/>
        </w:trPr>
        <w:tc>
          <w:tcPr>
            <w:tcW w:w="2948" w:type="dxa"/>
            <w:tcBorders>
              <w:top w:val="single" w:sz="8" w:space="0" w:color="0070AD" w:themeColor="accent1"/>
            </w:tcBorders>
            <w:vAlign w:val="center"/>
          </w:tcPr>
          <w:p w14:paraId="7BE20232" w14:textId="77777777" w:rsidR="00EC2B31" w:rsidRPr="00925134" w:rsidRDefault="00EC2B31" w:rsidP="00EC2B31">
            <w:pPr>
              <w:pStyle w:val="TableParagraph"/>
              <w:keepNext/>
              <w:spacing w:before="29"/>
              <w:ind w:left="142"/>
              <w:rPr>
                <w:rFonts w:asciiTheme="majorHAnsi" w:hAnsiTheme="majorHAnsi"/>
                <w:sz w:val="14"/>
                <w:szCs w:val="14"/>
              </w:rPr>
            </w:pPr>
            <w:r w:rsidRPr="00925134">
              <w:rPr>
                <w:rFonts w:asciiTheme="majorHAnsi" w:hAnsiTheme="majorHAnsi"/>
                <w:sz w:val="14"/>
                <w:szCs w:val="16"/>
              </w:rPr>
              <w:t>North America</w:t>
            </w:r>
          </w:p>
        </w:tc>
        <w:tc>
          <w:tcPr>
            <w:tcW w:w="1361" w:type="dxa"/>
            <w:tcBorders>
              <w:top w:val="single" w:sz="8" w:space="0" w:color="0070AD"/>
              <w:left w:val="nil"/>
              <w:bottom w:val="nil"/>
              <w:right w:val="nil"/>
            </w:tcBorders>
            <w:shd w:val="clear" w:color="000000" w:fill="BBE7FF"/>
            <w:vAlign w:val="center"/>
          </w:tcPr>
          <w:p w14:paraId="287B3286"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3,923</w:t>
            </w:r>
          </w:p>
        </w:tc>
        <w:tc>
          <w:tcPr>
            <w:tcW w:w="57" w:type="dxa"/>
            <w:tcBorders>
              <w:top w:val="single" w:sz="8" w:space="0" w:color="0070AD"/>
              <w:left w:val="nil"/>
              <w:bottom w:val="nil"/>
              <w:right w:val="nil"/>
            </w:tcBorders>
            <w:shd w:val="clear" w:color="auto" w:fill="auto"/>
            <w:vAlign w:val="center"/>
          </w:tcPr>
          <w:p w14:paraId="194E09FC"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single" w:sz="8" w:space="0" w:color="0070AD"/>
              <w:left w:val="nil"/>
              <w:bottom w:val="nil"/>
              <w:right w:val="nil"/>
            </w:tcBorders>
            <w:shd w:val="clear" w:color="auto" w:fill="auto"/>
            <w:vAlign w:val="center"/>
          </w:tcPr>
          <w:p w14:paraId="61E1D113"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+3.2%</w:t>
            </w:r>
          </w:p>
        </w:tc>
        <w:tc>
          <w:tcPr>
            <w:tcW w:w="1417" w:type="dxa"/>
            <w:tcBorders>
              <w:top w:val="single" w:sz="8" w:space="0" w:color="0070AD"/>
              <w:left w:val="nil"/>
              <w:bottom w:val="nil"/>
              <w:right w:val="nil"/>
            </w:tcBorders>
            <w:shd w:val="clear" w:color="auto" w:fill="auto"/>
            <w:vAlign w:val="center"/>
          </w:tcPr>
          <w:p w14:paraId="2F1EBF83"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+5.0%</w:t>
            </w:r>
          </w:p>
        </w:tc>
        <w:tc>
          <w:tcPr>
            <w:tcW w:w="57" w:type="dxa"/>
            <w:tcBorders>
              <w:top w:val="single" w:sz="8" w:space="0" w:color="0070AD"/>
              <w:left w:val="nil"/>
              <w:bottom w:val="nil"/>
              <w:right w:val="nil"/>
            </w:tcBorders>
            <w:shd w:val="clear" w:color="auto" w:fill="auto"/>
            <w:vAlign w:val="center"/>
          </w:tcPr>
          <w:p w14:paraId="49A5D6DC"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single" w:sz="8" w:space="0" w:color="0070AD"/>
              <w:left w:val="nil"/>
              <w:bottom w:val="nil"/>
              <w:right w:val="nil"/>
            </w:tcBorders>
            <w:shd w:val="clear" w:color="auto" w:fill="auto"/>
            <w:vAlign w:val="center"/>
          </w:tcPr>
          <w:p w14:paraId="7A30A0B1"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15.4%</w:t>
            </w:r>
          </w:p>
        </w:tc>
        <w:tc>
          <w:tcPr>
            <w:tcW w:w="1417" w:type="dxa"/>
            <w:tcBorders>
              <w:top w:val="single" w:sz="8" w:space="0" w:color="0070AD"/>
              <w:left w:val="nil"/>
              <w:bottom w:val="nil"/>
              <w:right w:val="nil"/>
            </w:tcBorders>
            <w:shd w:val="clear" w:color="000000" w:fill="BBE7FF"/>
            <w:vAlign w:val="center"/>
          </w:tcPr>
          <w:p w14:paraId="3691A049"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13.5%</w:t>
            </w:r>
          </w:p>
        </w:tc>
      </w:tr>
      <w:tr w:rsidR="00EC2B31" w:rsidRPr="00925134" w14:paraId="5D5F2D3C" w14:textId="77777777" w:rsidTr="008E11D2">
        <w:trPr>
          <w:trHeight w:val="227"/>
          <w:jc w:val="center"/>
        </w:trPr>
        <w:tc>
          <w:tcPr>
            <w:tcW w:w="2948" w:type="dxa"/>
            <w:vAlign w:val="center"/>
          </w:tcPr>
          <w:p w14:paraId="3488303C" w14:textId="77777777" w:rsidR="00EC2B31" w:rsidRPr="00925134" w:rsidRDefault="00EC2B31" w:rsidP="00EC2B31">
            <w:pPr>
              <w:pStyle w:val="TableParagraph"/>
              <w:keepNext/>
              <w:spacing w:before="27"/>
              <w:ind w:left="142"/>
              <w:rPr>
                <w:rFonts w:asciiTheme="majorHAnsi" w:hAnsiTheme="majorHAnsi"/>
                <w:sz w:val="14"/>
                <w:szCs w:val="14"/>
              </w:rPr>
            </w:pPr>
            <w:r w:rsidRPr="00925134">
              <w:rPr>
                <w:rFonts w:asciiTheme="majorHAnsi" w:hAnsiTheme="majorHAnsi"/>
                <w:sz w:val="14"/>
                <w:szCs w:val="16"/>
              </w:rPr>
              <w:t>United Kingdom and Ireland</w:t>
            </w:r>
          </w:p>
        </w:tc>
        <w:tc>
          <w:tcPr>
            <w:tcW w:w="1361" w:type="dxa"/>
            <w:tcBorders>
              <w:top w:val="nil"/>
              <w:left w:val="nil"/>
              <w:bottom w:val="nil"/>
              <w:right w:val="nil"/>
            </w:tcBorders>
            <w:shd w:val="clear" w:color="000000" w:fill="BBE7FF"/>
            <w:vAlign w:val="center"/>
          </w:tcPr>
          <w:p w14:paraId="67AF434A"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1,681</w:t>
            </w:r>
          </w:p>
        </w:tc>
        <w:tc>
          <w:tcPr>
            <w:tcW w:w="57" w:type="dxa"/>
            <w:tcBorders>
              <w:top w:val="nil"/>
              <w:left w:val="nil"/>
              <w:bottom w:val="nil"/>
              <w:right w:val="nil"/>
            </w:tcBorders>
            <w:shd w:val="clear" w:color="auto" w:fill="auto"/>
            <w:vAlign w:val="center"/>
          </w:tcPr>
          <w:p w14:paraId="49B55163"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4C002532"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-15.6%</w:t>
            </w:r>
          </w:p>
        </w:tc>
        <w:tc>
          <w:tcPr>
            <w:tcW w:w="1417" w:type="dxa"/>
            <w:tcBorders>
              <w:top w:val="nil"/>
              <w:left w:val="nil"/>
              <w:bottom w:val="nil"/>
              <w:right w:val="nil"/>
            </w:tcBorders>
            <w:shd w:val="clear" w:color="auto" w:fill="auto"/>
            <w:vAlign w:val="center"/>
          </w:tcPr>
          <w:p w14:paraId="3C9FCE06"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-9.6%</w:t>
            </w:r>
          </w:p>
        </w:tc>
        <w:tc>
          <w:tcPr>
            <w:tcW w:w="57" w:type="dxa"/>
            <w:tcBorders>
              <w:top w:val="nil"/>
              <w:left w:val="nil"/>
              <w:bottom w:val="nil"/>
              <w:right w:val="nil"/>
            </w:tcBorders>
            <w:shd w:val="clear" w:color="auto" w:fill="auto"/>
            <w:vAlign w:val="center"/>
          </w:tcPr>
          <w:p w14:paraId="59AF945E"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3FDBD255"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14.6%</w:t>
            </w:r>
          </w:p>
        </w:tc>
        <w:tc>
          <w:tcPr>
            <w:tcW w:w="1417" w:type="dxa"/>
            <w:tcBorders>
              <w:top w:val="nil"/>
              <w:left w:val="nil"/>
              <w:bottom w:val="nil"/>
              <w:right w:val="nil"/>
            </w:tcBorders>
            <w:shd w:val="clear" w:color="000000" w:fill="BBE7FF"/>
            <w:vAlign w:val="center"/>
          </w:tcPr>
          <w:p w14:paraId="6F20EE34"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15.1%</w:t>
            </w:r>
          </w:p>
        </w:tc>
      </w:tr>
      <w:tr w:rsidR="00EC2B31" w:rsidRPr="00925134" w14:paraId="5C827F01" w14:textId="77777777" w:rsidTr="008E11D2">
        <w:trPr>
          <w:trHeight w:val="227"/>
          <w:jc w:val="center"/>
        </w:trPr>
        <w:tc>
          <w:tcPr>
            <w:tcW w:w="2948" w:type="dxa"/>
            <w:vAlign w:val="center"/>
          </w:tcPr>
          <w:p w14:paraId="275749D0" w14:textId="77777777" w:rsidR="00EC2B31" w:rsidRPr="00925134" w:rsidRDefault="00EC2B31" w:rsidP="00EC2B31">
            <w:pPr>
              <w:pStyle w:val="TableParagraph"/>
              <w:keepNext/>
              <w:spacing w:before="27"/>
              <w:ind w:left="142"/>
              <w:rPr>
                <w:rFonts w:asciiTheme="majorHAnsi" w:eastAsia="Arial" w:hAnsiTheme="majorHAnsi" w:cs="Arial"/>
                <w:sz w:val="14"/>
                <w:szCs w:val="14"/>
              </w:rPr>
            </w:pPr>
            <w:r w:rsidRPr="00925134">
              <w:rPr>
                <w:rFonts w:asciiTheme="majorHAnsi" w:hAnsiTheme="majorHAnsi"/>
                <w:sz w:val="14"/>
                <w:szCs w:val="16"/>
              </w:rPr>
              <w:t>France</w:t>
            </w:r>
          </w:p>
        </w:tc>
        <w:tc>
          <w:tcPr>
            <w:tcW w:w="1361" w:type="dxa"/>
            <w:tcBorders>
              <w:top w:val="nil"/>
              <w:left w:val="nil"/>
              <w:bottom w:val="nil"/>
              <w:right w:val="nil"/>
            </w:tcBorders>
            <w:shd w:val="clear" w:color="000000" w:fill="BBE7FF"/>
            <w:vAlign w:val="center"/>
          </w:tcPr>
          <w:p w14:paraId="5AB7836F"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2,700</w:t>
            </w:r>
          </w:p>
        </w:tc>
        <w:tc>
          <w:tcPr>
            <w:tcW w:w="57" w:type="dxa"/>
            <w:tcBorders>
              <w:top w:val="nil"/>
              <w:left w:val="nil"/>
              <w:bottom w:val="nil"/>
              <w:right w:val="nil"/>
            </w:tcBorders>
            <w:shd w:val="clear" w:color="auto" w:fill="auto"/>
            <w:vAlign w:val="center"/>
          </w:tcPr>
          <w:p w14:paraId="4D3A0F1E"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4762CAEA"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+5.2%</w:t>
            </w:r>
          </w:p>
        </w:tc>
        <w:tc>
          <w:tcPr>
            <w:tcW w:w="1417" w:type="dxa"/>
            <w:tcBorders>
              <w:top w:val="nil"/>
              <w:left w:val="nil"/>
              <w:bottom w:val="nil"/>
              <w:right w:val="nil"/>
            </w:tcBorders>
            <w:shd w:val="clear" w:color="auto" w:fill="auto"/>
            <w:vAlign w:val="center"/>
          </w:tcPr>
          <w:p w14:paraId="340F44C1"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+5.2%</w:t>
            </w:r>
          </w:p>
        </w:tc>
        <w:tc>
          <w:tcPr>
            <w:tcW w:w="57" w:type="dxa"/>
            <w:tcBorders>
              <w:top w:val="nil"/>
              <w:left w:val="nil"/>
              <w:bottom w:val="nil"/>
              <w:right w:val="nil"/>
            </w:tcBorders>
            <w:shd w:val="clear" w:color="auto" w:fill="auto"/>
            <w:vAlign w:val="center"/>
          </w:tcPr>
          <w:p w14:paraId="48CD8079"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0EC66C10"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9.1%</w:t>
            </w:r>
          </w:p>
        </w:tc>
        <w:tc>
          <w:tcPr>
            <w:tcW w:w="1417" w:type="dxa"/>
            <w:tcBorders>
              <w:top w:val="nil"/>
              <w:left w:val="nil"/>
              <w:bottom w:val="nil"/>
              <w:right w:val="nil"/>
            </w:tcBorders>
            <w:shd w:val="clear" w:color="000000" w:fill="BBE7FF"/>
            <w:vAlign w:val="center"/>
          </w:tcPr>
          <w:p w14:paraId="6D2C6DF0"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9.9%</w:t>
            </w:r>
          </w:p>
        </w:tc>
      </w:tr>
      <w:tr w:rsidR="00EC2B31" w:rsidRPr="00925134" w14:paraId="3C11CD02" w14:textId="77777777" w:rsidTr="008E11D2">
        <w:trPr>
          <w:trHeight w:val="227"/>
          <w:jc w:val="center"/>
        </w:trPr>
        <w:tc>
          <w:tcPr>
            <w:tcW w:w="2948" w:type="dxa"/>
            <w:vAlign w:val="center"/>
          </w:tcPr>
          <w:p w14:paraId="154F3C15" w14:textId="77777777" w:rsidR="00EC2B31" w:rsidRPr="00925134" w:rsidRDefault="00EC2B31" w:rsidP="00EC2B31">
            <w:pPr>
              <w:pStyle w:val="TableParagraph"/>
              <w:keepNext/>
              <w:spacing w:before="27"/>
              <w:ind w:left="142"/>
              <w:rPr>
                <w:rFonts w:asciiTheme="majorHAnsi" w:hAnsiTheme="majorHAnsi"/>
                <w:sz w:val="14"/>
                <w:szCs w:val="14"/>
              </w:rPr>
            </w:pPr>
            <w:r w:rsidRPr="00925134">
              <w:rPr>
                <w:rFonts w:asciiTheme="majorHAnsi" w:hAnsiTheme="majorHAnsi"/>
                <w:sz w:val="14"/>
              </w:rPr>
              <w:t>Rest of Europe</w:t>
            </w:r>
          </w:p>
        </w:tc>
        <w:tc>
          <w:tcPr>
            <w:tcW w:w="1361" w:type="dxa"/>
            <w:tcBorders>
              <w:top w:val="nil"/>
              <w:left w:val="nil"/>
              <w:bottom w:val="nil"/>
              <w:right w:val="nil"/>
            </w:tcBorders>
            <w:shd w:val="clear" w:color="000000" w:fill="BBE7FF"/>
            <w:vAlign w:val="center"/>
          </w:tcPr>
          <w:p w14:paraId="1BC0A8A1"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3,478</w:t>
            </w:r>
          </w:p>
        </w:tc>
        <w:tc>
          <w:tcPr>
            <w:tcW w:w="57" w:type="dxa"/>
            <w:tcBorders>
              <w:top w:val="nil"/>
              <w:left w:val="nil"/>
              <w:bottom w:val="nil"/>
              <w:right w:val="nil"/>
            </w:tcBorders>
            <w:shd w:val="clear" w:color="auto" w:fill="auto"/>
            <w:vAlign w:val="center"/>
          </w:tcPr>
          <w:p w14:paraId="4911E867"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4F0D8EEF"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+8.2%</w:t>
            </w:r>
          </w:p>
        </w:tc>
        <w:tc>
          <w:tcPr>
            <w:tcW w:w="1417" w:type="dxa"/>
            <w:tcBorders>
              <w:top w:val="nil"/>
              <w:left w:val="nil"/>
              <w:bottom w:val="nil"/>
              <w:right w:val="nil"/>
            </w:tcBorders>
            <w:shd w:val="clear" w:color="auto" w:fill="auto"/>
            <w:vAlign w:val="center"/>
          </w:tcPr>
          <w:p w14:paraId="563146A8"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+8.6%</w:t>
            </w:r>
          </w:p>
        </w:tc>
        <w:tc>
          <w:tcPr>
            <w:tcW w:w="57" w:type="dxa"/>
            <w:tcBorders>
              <w:top w:val="nil"/>
              <w:left w:val="nil"/>
              <w:bottom w:val="nil"/>
              <w:right w:val="nil"/>
            </w:tcBorders>
            <w:shd w:val="clear" w:color="auto" w:fill="auto"/>
            <w:vAlign w:val="center"/>
          </w:tcPr>
          <w:p w14:paraId="3B708116"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nil"/>
              <w:right w:val="nil"/>
            </w:tcBorders>
            <w:shd w:val="clear" w:color="auto" w:fill="auto"/>
            <w:vAlign w:val="center"/>
          </w:tcPr>
          <w:p w14:paraId="6614EB9A"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10.5%</w:t>
            </w:r>
          </w:p>
        </w:tc>
        <w:tc>
          <w:tcPr>
            <w:tcW w:w="1417" w:type="dxa"/>
            <w:tcBorders>
              <w:top w:val="nil"/>
              <w:left w:val="nil"/>
              <w:bottom w:val="nil"/>
              <w:right w:val="nil"/>
            </w:tcBorders>
            <w:shd w:val="clear" w:color="000000" w:fill="BBE7FF"/>
            <w:vAlign w:val="center"/>
          </w:tcPr>
          <w:p w14:paraId="4B9F5F24"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12.0%</w:t>
            </w:r>
          </w:p>
        </w:tc>
      </w:tr>
      <w:tr w:rsidR="00EC2B31" w:rsidRPr="00925134" w14:paraId="6158C2C8" w14:textId="77777777" w:rsidTr="008E11D2">
        <w:trPr>
          <w:trHeight w:val="227"/>
          <w:jc w:val="center"/>
        </w:trPr>
        <w:tc>
          <w:tcPr>
            <w:tcW w:w="2948" w:type="dxa"/>
            <w:tcBorders>
              <w:bottom w:val="single" w:sz="8" w:space="0" w:color="0070AD" w:themeColor="accent1"/>
            </w:tcBorders>
            <w:vAlign w:val="center"/>
          </w:tcPr>
          <w:p w14:paraId="11F292E8" w14:textId="77777777" w:rsidR="00EC2B31" w:rsidRPr="00925134" w:rsidRDefault="00EC2B31" w:rsidP="00EC2B31">
            <w:pPr>
              <w:pStyle w:val="TableParagraph"/>
              <w:keepNext/>
              <w:spacing w:before="27"/>
              <w:ind w:left="142"/>
              <w:rPr>
                <w:rFonts w:asciiTheme="majorHAnsi" w:hAnsiTheme="majorHAnsi"/>
                <w:sz w:val="14"/>
                <w:szCs w:val="14"/>
              </w:rPr>
            </w:pPr>
            <w:r w:rsidRPr="00925134">
              <w:rPr>
                <w:rFonts w:asciiTheme="majorHAnsi" w:hAnsiTheme="majorHAnsi"/>
                <w:sz w:val="14"/>
                <w:szCs w:val="16"/>
              </w:rPr>
              <w:t>Asia Pacific and Latin America</w:t>
            </w:r>
          </w:p>
        </w:tc>
        <w:tc>
          <w:tcPr>
            <w:tcW w:w="1361" w:type="dxa"/>
            <w:tcBorders>
              <w:top w:val="nil"/>
              <w:left w:val="nil"/>
              <w:bottom w:val="single" w:sz="8" w:space="0" w:color="0070AD"/>
              <w:right w:val="nil"/>
            </w:tcBorders>
            <w:shd w:val="clear" w:color="000000" w:fill="BBE7FF"/>
            <w:vAlign w:val="center"/>
          </w:tcPr>
          <w:p w14:paraId="21FA8535"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1,010</w:t>
            </w:r>
          </w:p>
        </w:tc>
        <w:tc>
          <w:tcPr>
            <w:tcW w:w="57" w:type="dxa"/>
            <w:tcBorders>
              <w:top w:val="nil"/>
              <w:left w:val="nil"/>
              <w:bottom w:val="single" w:sz="8" w:space="0" w:color="0070AD"/>
              <w:right w:val="nil"/>
            </w:tcBorders>
            <w:shd w:val="clear" w:color="auto" w:fill="auto"/>
            <w:vAlign w:val="center"/>
          </w:tcPr>
          <w:p w14:paraId="22D4FB34"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single" w:sz="8" w:space="0" w:color="0070AD"/>
              <w:right w:val="nil"/>
            </w:tcBorders>
            <w:shd w:val="clear" w:color="auto" w:fill="auto"/>
            <w:vAlign w:val="center"/>
          </w:tcPr>
          <w:p w14:paraId="5FB5AF2A"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+4.7%</w:t>
            </w:r>
          </w:p>
        </w:tc>
        <w:tc>
          <w:tcPr>
            <w:tcW w:w="1417" w:type="dxa"/>
            <w:tcBorders>
              <w:top w:val="nil"/>
              <w:left w:val="nil"/>
              <w:bottom w:val="single" w:sz="8" w:space="0" w:color="0070AD"/>
              <w:right w:val="nil"/>
            </w:tcBorders>
            <w:shd w:val="clear" w:color="auto" w:fill="auto"/>
            <w:vAlign w:val="center"/>
          </w:tcPr>
          <w:p w14:paraId="580DBDB7"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+7.9%</w:t>
            </w:r>
          </w:p>
        </w:tc>
        <w:tc>
          <w:tcPr>
            <w:tcW w:w="57" w:type="dxa"/>
            <w:tcBorders>
              <w:top w:val="nil"/>
              <w:left w:val="nil"/>
              <w:bottom w:val="single" w:sz="8" w:space="0" w:color="0070AD"/>
              <w:right w:val="nil"/>
            </w:tcBorders>
            <w:shd w:val="clear" w:color="auto" w:fill="auto"/>
            <w:vAlign w:val="center"/>
          </w:tcPr>
          <w:p w14:paraId="2233FF0E" w14:textId="77777777" w:rsidR="00EC2B31" w:rsidRPr="00925134" w:rsidRDefault="00EC2B31" w:rsidP="00EC2B31">
            <w:pPr>
              <w:pStyle w:val="TableParagraph"/>
              <w:keepNext/>
              <w:spacing w:before="60"/>
              <w:ind w:left="1" w:right="537"/>
              <w:jc w:val="right"/>
              <w:rPr>
                <w:sz w:val="14"/>
                <w:szCs w:val="14"/>
              </w:rPr>
            </w:pPr>
          </w:p>
        </w:tc>
        <w:tc>
          <w:tcPr>
            <w:tcW w:w="1417" w:type="dxa"/>
            <w:tcBorders>
              <w:top w:val="nil"/>
              <w:left w:val="nil"/>
              <w:bottom w:val="single" w:sz="8" w:space="0" w:color="0070AD"/>
              <w:right w:val="nil"/>
            </w:tcBorders>
            <w:shd w:val="clear" w:color="auto" w:fill="auto"/>
            <w:vAlign w:val="center"/>
          </w:tcPr>
          <w:p w14:paraId="3FCC934E"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6.6%</w:t>
            </w:r>
          </w:p>
        </w:tc>
        <w:tc>
          <w:tcPr>
            <w:tcW w:w="1417" w:type="dxa"/>
            <w:tcBorders>
              <w:top w:val="nil"/>
              <w:left w:val="nil"/>
              <w:bottom w:val="single" w:sz="8" w:space="0" w:color="0070AD"/>
              <w:right w:val="nil"/>
            </w:tcBorders>
            <w:shd w:val="clear" w:color="000000" w:fill="BBE7FF"/>
            <w:vAlign w:val="center"/>
          </w:tcPr>
          <w:p w14:paraId="263BDB4C" w14:textId="77777777" w:rsidR="00EC2B31" w:rsidRPr="00925134" w:rsidRDefault="00EC2B31" w:rsidP="00EC2B31">
            <w:pPr>
              <w:pStyle w:val="TableParagraph"/>
              <w:keepNext/>
              <w:spacing w:before="60"/>
              <w:ind w:left="1" w:right="537"/>
              <w:jc w:val="right"/>
              <w:rPr>
                <w:sz w:val="14"/>
                <w:szCs w:val="14"/>
              </w:rPr>
            </w:pPr>
            <w:r w:rsidRPr="00925134">
              <w:rPr>
                <w:sz w:val="14"/>
                <w:szCs w:val="14"/>
              </w:rPr>
              <w:t>9.8%</w:t>
            </w:r>
          </w:p>
        </w:tc>
      </w:tr>
      <w:tr w:rsidR="005848A4" w:rsidRPr="00925134" w14:paraId="184D6781" w14:textId="77777777" w:rsidTr="008E11D2">
        <w:trPr>
          <w:trHeight w:val="227"/>
          <w:jc w:val="center"/>
        </w:trPr>
        <w:tc>
          <w:tcPr>
            <w:tcW w:w="2948" w:type="dxa"/>
            <w:tcBorders>
              <w:top w:val="single" w:sz="8" w:space="0" w:color="0070AD" w:themeColor="accent1"/>
              <w:bottom w:val="single" w:sz="8" w:space="0" w:color="0070AD" w:themeColor="accent1"/>
            </w:tcBorders>
            <w:vAlign w:val="center"/>
          </w:tcPr>
          <w:p w14:paraId="25355A22" w14:textId="77777777" w:rsidR="005848A4" w:rsidRPr="00925134" w:rsidRDefault="005848A4" w:rsidP="005848A4">
            <w:pPr>
              <w:pStyle w:val="TableParagraph"/>
              <w:keepNext/>
              <w:spacing w:before="29"/>
              <w:ind w:left="63"/>
              <w:rPr>
                <w:rFonts w:asciiTheme="majorHAnsi" w:hAnsiTheme="majorHAnsi"/>
                <w:b/>
                <w:color w:val="0070AD"/>
                <w:sz w:val="14"/>
                <w:szCs w:val="14"/>
              </w:rPr>
            </w:pPr>
            <w:r w:rsidRPr="00925134">
              <w:rPr>
                <w:rFonts w:asciiTheme="majorHAnsi" w:hAnsiTheme="majorHAnsi"/>
                <w:b/>
                <w:color w:val="0070AD"/>
                <w:sz w:val="14"/>
                <w:szCs w:val="14"/>
              </w:rPr>
              <w:t>TOTAL</w:t>
            </w:r>
          </w:p>
        </w:tc>
        <w:tc>
          <w:tcPr>
            <w:tcW w:w="1361" w:type="dxa"/>
            <w:tcBorders>
              <w:top w:val="nil"/>
              <w:left w:val="nil"/>
              <w:bottom w:val="single" w:sz="8" w:space="0" w:color="0070AD"/>
              <w:right w:val="nil"/>
            </w:tcBorders>
            <w:shd w:val="clear" w:color="000000" w:fill="BBE7FF"/>
            <w:vAlign w:val="center"/>
          </w:tcPr>
          <w:p w14:paraId="0ACF9E46" w14:textId="77777777" w:rsidR="005848A4" w:rsidRPr="00925134" w:rsidRDefault="005848A4" w:rsidP="005848A4">
            <w:pPr>
              <w:pStyle w:val="TableParagraph"/>
              <w:keepNext/>
              <w:spacing w:before="60"/>
              <w:ind w:left="1" w:right="537"/>
              <w:jc w:val="right"/>
              <w:rPr>
                <w:b/>
                <w:color w:val="0070AD"/>
                <w:sz w:val="14"/>
                <w:szCs w:val="14"/>
              </w:rPr>
            </w:pPr>
            <w:r w:rsidRPr="00925134">
              <w:rPr>
                <w:b/>
                <w:color w:val="0070AD"/>
                <w:sz w:val="14"/>
                <w:szCs w:val="14"/>
              </w:rPr>
              <w:t>12</w:t>
            </w:r>
            <w:r w:rsidR="00D1738E" w:rsidRPr="00925134">
              <w:rPr>
                <w:b/>
                <w:color w:val="0070AD"/>
                <w:sz w:val="14"/>
                <w:szCs w:val="14"/>
              </w:rPr>
              <w:t>,</w:t>
            </w:r>
            <w:r w:rsidRPr="00925134">
              <w:rPr>
                <w:b/>
                <w:color w:val="0070AD"/>
                <w:sz w:val="14"/>
                <w:szCs w:val="14"/>
              </w:rPr>
              <w:t>792</w:t>
            </w:r>
          </w:p>
        </w:tc>
        <w:tc>
          <w:tcPr>
            <w:tcW w:w="57" w:type="dxa"/>
            <w:tcBorders>
              <w:top w:val="nil"/>
              <w:left w:val="nil"/>
              <w:bottom w:val="single" w:sz="8" w:space="0" w:color="0070AD"/>
              <w:right w:val="nil"/>
            </w:tcBorders>
            <w:shd w:val="clear" w:color="auto" w:fill="auto"/>
            <w:vAlign w:val="center"/>
          </w:tcPr>
          <w:p w14:paraId="59F7A7B0" w14:textId="77777777" w:rsidR="005848A4" w:rsidRPr="00925134" w:rsidRDefault="005848A4" w:rsidP="005848A4">
            <w:pPr>
              <w:pStyle w:val="TableParagraph"/>
              <w:keepNext/>
              <w:spacing w:before="60"/>
              <w:ind w:left="1" w:right="537"/>
              <w:jc w:val="right"/>
              <w:rPr>
                <w:b/>
                <w:color w:val="0070AD"/>
                <w:sz w:val="14"/>
                <w:szCs w:val="14"/>
              </w:rPr>
            </w:pPr>
          </w:p>
        </w:tc>
        <w:tc>
          <w:tcPr>
            <w:tcW w:w="1417" w:type="dxa"/>
            <w:tcBorders>
              <w:top w:val="nil"/>
              <w:left w:val="nil"/>
              <w:bottom w:val="single" w:sz="8" w:space="0" w:color="0070AD"/>
              <w:right w:val="nil"/>
            </w:tcBorders>
            <w:shd w:val="clear" w:color="auto" w:fill="auto"/>
            <w:vAlign w:val="center"/>
          </w:tcPr>
          <w:p w14:paraId="0CE8F6FD" w14:textId="77777777" w:rsidR="005848A4" w:rsidRPr="00925134" w:rsidRDefault="005848A4" w:rsidP="005848A4">
            <w:pPr>
              <w:pStyle w:val="TableParagraph"/>
              <w:keepNext/>
              <w:spacing w:before="60"/>
              <w:ind w:left="1" w:right="537"/>
              <w:jc w:val="right"/>
              <w:rPr>
                <w:b/>
                <w:color w:val="0070AD"/>
                <w:sz w:val="14"/>
                <w:szCs w:val="14"/>
              </w:rPr>
            </w:pPr>
            <w:r w:rsidRPr="00925134">
              <w:rPr>
                <w:b/>
                <w:color w:val="0070AD"/>
                <w:sz w:val="14"/>
                <w:szCs w:val="14"/>
              </w:rPr>
              <w:t>+2</w:t>
            </w:r>
            <w:r w:rsidR="00D1738E" w:rsidRPr="00925134">
              <w:rPr>
                <w:b/>
                <w:color w:val="0070AD"/>
                <w:sz w:val="14"/>
                <w:szCs w:val="14"/>
              </w:rPr>
              <w:t>.</w:t>
            </w:r>
            <w:r w:rsidRPr="00925134">
              <w:rPr>
                <w:b/>
                <w:color w:val="0070AD"/>
                <w:sz w:val="14"/>
                <w:szCs w:val="14"/>
              </w:rPr>
              <w:t>0%</w:t>
            </w:r>
          </w:p>
        </w:tc>
        <w:tc>
          <w:tcPr>
            <w:tcW w:w="1417" w:type="dxa"/>
            <w:tcBorders>
              <w:top w:val="nil"/>
              <w:left w:val="nil"/>
              <w:bottom w:val="single" w:sz="8" w:space="0" w:color="0070AD"/>
              <w:right w:val="nil"/>
            </w:tcBorders>
            <w:shd w:val="clear" w:color="auto" w:fill="auto"/>
            <w:vAlign w:val="center"/>
          </w:tcPr>
          <w:p w14:paraId="6057F889" w14:textId="77777777" w:rsidR="005848A4" w:rsidRPr="00925134" w:rsidRDefault="005848A4" w:rsidP="005848A4">
            <w:pPr>
              <w:pStyle w:val="TableParagraph"/>
              <w:keepNext/>
              <w:spacing w:before="60"/>
              <w:ind w:left="1" w:right="537"/>
              <w:jc w:val="right"/>
              <w:rPr>
                <w:b/>
                <w:color w:val="0070AD"/>
                <w:sz w:val="14"/>
                <w:szCs w:val="14"/>
              </w:rPr>
            </w:pPr>
            <w:r w:rsidRPr="00925134">
              <w:rPr>
                <w:b/>
                <w:color w:val="0070AD"/>
                <w:sz w:val="14"/>
                <w:szCs w:val="14"/>
              </w:rPr>
              <w:t>+4</w:t>
            </w:r>
            <w:r w:rsidR="00D1738E" w:rsidRPr="00925134">
              <w:rPr>
                <w:b/>
                <w:color w:val="0070AD"/>
                <w:sz w:val="14"/>
                <w:szCs w:val="14"/>
              </w:rPr>
              <w:t>.</w:t>
            </w:r>
            <w:r w:rsidRPr="00925134">
              <w:rPr>
                <w:b/>
                <w:color w:val="0070AD"/>
                <w:sz w:val="14"/>
                <w:szCs w:val="14"/>
              </w:rPr>
              <w:t>0%</w:t>
            </w:r>
          </w:p>
        </w:tc>
        <w:tc>
          <w:tcPr>
            <w:tcW w:w="57" w:type="dxa"/>
            <w:tcBorders>
              <w:top w:val="nil"/>
              <w:left w:val="nil"/>
              <w:bottom w:val="single" w:sz="8" w:space="0" w:color="0070AD"/>
              <w:right w:val="nil"/>
            </w:tcBorders>
            <w:shd w:val="clear" w:color="auto" w:fill="auto"/>
            <w:vAlign w:val="center"/>
          </w:tcPr>
          <w:p w14:paraId="29E69B8E" w14:textId="77777777" w:rsidR="005848A4" w:rsidRPr="00925134" w:rsidRDefault="005848A4" w:rsidP="005848A4">
            <w:pPr>
              <w:pStyle w:val="TableParagraph"/>
              <w:keepNext/>
              <w:spacing w:before="60"/>
              <w:ind w:left="1" w:right="537"/>
              <w:jc w:val="right"/>
              <w:rPr>
                <w:b/>
                <w:color w:val="0070AD"/>
                <w:sz w:val="14"/>
                <w:szCs w:val="14"/>
              </w:rPr>
            </w:pPr>
          </w:p>
        </w:tc>
        <w:tc>
          <w:tcPr>
            <w:tcW w:w="1417" w:type="dxa"/>
            <w:tcBorders>
              <w:top w:val="nil"/>
              <w:left w:val="nil"/>
              <w:bottom w:val="single" w:sz="8" w:space="0" w:color="0070AD"/>
              <w:right w:val="nil"/>
            </w:tcBorders>
            <w:shd w:val="clear" w:color="auto" w:fill="auto"/>
            <w:vAlign w:val="center"/>
          </w:tcPr>
          <w:p w14:paraId="0EEA4CC3" w14:textId="77777777" w:rsidR="005848A4" w:rsidRPr="00925134" w:rsidRDefault="005848A4" w:rsidP="005848A4">
            <w:pPr>
              <w:pStyle w:val="TableParagraph"/>
              <w:keepNext/>
              <w:spacing w:before="60"/>
              <w:ind w:left="1" w:right="537"/>
              <w:jc w:val="right"/>
              <w:rPr>
                <w:b/>
                <w:color w:val="0070AD"/>
                <w:sz w:val="14"/>
                <w:szCs w:val="14"/>
              </w:rPr>
            </w:pPr>
            <w:r w:rsidRPr="00925134">
              <w:rPr>
                <w:b/>
                <w:color w:val="0070AD"/>
                <w:sz w:val="14"/>
                <w:szCs w:val="14"/>
              </w:rPr>
              <w:t>11</w:t>
            </w:r>
            <w:r w:rsidR="00D1738E" w:rsidRPr="00925134">
              <w:rPr>
                <w:b/>
                <w:color w:val="0070AD"/>
                <w:sz w:val="14"/>
                <w:szCs w:val="14"/>
              </w:rPr>
              <w:t>.</w:t>
            </w:r>
            <w:r w:rsidRPr="00925134">
              <w:rPr>
                <w:b/>
                <w:color w:val="0070AD"/>
                <w:sz w:val="14"/>
                <w:szCs w:val="14"/>
              </w:rPr>
              <w:t>5%</w:t>
            </w:r>
          </w:p>
        </w:tc>
        <w:tc>
          <w:tcPr>
            <w:tcW w:w="1417" w:type="dxa"/>
            <w:tcBorders>
              <w:top w:val="nil"/>
              <w:left w:val="nil"/>
              <w:bottom w:val="single" w:sz="8" w:space="0" w:color="0070AD"/>
              <w:right w:val="nil"/>
            </w:tcBorders>
            <w:shd w:val="clear" w:color="000000" w:fill="BBE7FF"/>
            <w:vAlign w:val="center"/>
          </w:tcPr>
          <w:p w14:paraId="4D8F94D4" w14:textId="77777777" w:rsidR="005848A4" w:rsidRPr="00925134" w:rsidRDefault="005848A4" w:rsidP="005848A4">
            <w:pPr>
              <w:pStyle w:val="TableParagraph"/>
              <w:keepNext/>
              <w:spacing w:before="60"/>
              <w:ind w:left="1" w:right="537"/>
              <w:jc w:val="right"/>
              <w:rPr>
                <w:b/>
                <w:color w:val="0070AD"/>
                <w:sz w:val="14"/>
                <w:szCs w:val="14"/>
              </w:rPr>
            </w:pPr>
            <w:r w:rsidRPr="00925134">
              <w:rPr>
                <w:b/>
                <w:color w:val="0070AD"/>
                <w:sz w:val="14"/>
                <w:szCs w:val="14"/>
              </w:rPr>
              <w:t>11</w:t>
            </w:r>
            <w:r w:rsidR="00D1738E" w:rsidRPr="00925134">
              <w:rPr>
                <w:b/>
                <w:color w:val="0070AD"/>
                <w:sz w:val="14"/>
                <w:szCs w:val="14"/>
              </w:rPr>
              <w:t>.</w:t>
            </w:r>
            <w:r w:rsidRPr="00925134">
              <w:rPr>
                <w:b/>
                <w:color w:val="0070AD"/>
                <w:sz w:val="14"/>
                <w:szCs w:val="14"/>
              </w:rPr>
              <w:t>7%</w:t>
            </w:r>
          </w:p>
        </w:tc>
      </w:tr>
    </w:tbl>
    <w:p w14:paraId="6C887536" w14:textId="77777777" w:rsidR="00294C36" w:rsidRPr="00925134" w:rsidRDefault="00294C36" w:rsidP="00294C36">
      <w:pPr>
        <w:spacing w:before="120" w:after="120"/>
        <w:rPr>
          <w:rFonts w:cs="Arial"/>
          <w:b/>
          <w:sz w:val="16"/>
          <w:lang w:val="en-US"/>
        </w:rPr>
      </w:pPr>
    </w:p>
    <w:p w14:paraId="4A057F0B" w14:textId="77777777" w:rsidR="00294C36" w:rsidRPr="00925134" w:rsidRDefault="00294C36" w:rsidP="00294C36">
      <w:pPr>
        <w:spacing w:before="120" w:after="120"/>
        <w:rPr>
          <w:rFonts w:cs="Arial"/>
          <w:b/>
          <w:sz w:val="16"/>
          <w:lang w:val="en-US"/>
        </w:rPr>
        <w:sectPr w:rsidR="00294C36" w:rsidRPr="00925134" w:rsidSect="003E11D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62" w:right="862" w:bottom="862" w:left="862" w:header="720" w:footer="720" w:gutter="0"/>
          <w:cols w:space="720"/>
          <w:titlePg/>
          <w:docGrid w:linePitch="272"/>
        </w:sectPr>
      </w:pPr>
    </w:p>
    <w:p w14:paraId="4FE7AE86" w14:textId="77777777" w:rsidR="00BE44F1" w:rsidRPr="00925134" w:rsidRDefault="00D1738E" w:rsidP="00BE44F1">
      <w:pPr>
        <w:pStyle w:val="Overskrift1"/>
        <w:rPr>
          <w:lang w:val="en-US"/>
        </w:rPr>
      </w:pPr>
      <w:r w:rsidRPr="00925134">
        <w:rPr>
          <w:lang w:val="en-US"/>
        </w:rPr>
        <w:lastRenderedPageBreak/>
        <w:t>RESULTS BY BUSINESS</w:t>
      </w:r>
    </w:p>
    <w:tbl>
      <w:tblPr>
        <w:tblW w:w="10079" w:type="dxa"/>
        <w:jc w:val="center"/>
        <w:tblCellMar>
          <w:left w:w="0" w:type="dxa"/>
          <w:right w:w="0" w:type="dxa"/>
        </w:tblCellMar>
        <w:tblLook w:val="01E0" w:firstRow="1" w:lastRow="1" w:firstColumn="1" w:lastColumn="1" w:noHBand="0" w:noVBand="0"/>
      </w:tblPr>
      <w:tblGrid>
        <w:gridCol w:w="2947"/>
        <w:gridCol w:w="1360"/>
        <w:gridCol w:w="57"/>
        <w:gridCol w:w="1416"/>
        <w:gridCol w:w="1416"/>
        <w:gridCol w:w="51"/>
        <w:gridCol w:w="1416"/>
        <w:gridCol w:w="1416"/>
      </w:tblGrid>
      <w:tr w:rsidR="00EC2B31" w:rsidRPr="00925134" w14:paraId="51C3B2B5" w14:textId="77777777" w:rsidTr="00EC2B31">
        <w:trPr>
          <w:trHeight w:hRule="exact" w:val="283"/>
          <w:jc w:val="center"/>
        </w:trPr>
        <w:tc>
          <w:tcPr>
            <w:tcW w:w="2947" w:type="dxa"/>
          </w:tcPr>
          <w:p w14:paraId="061F293E" w14:textId="77777777" w:rsidR="00EC2B31" w:rsidRPr="00925134" w:rsidRDefault="00EC2B31" w:rsidP="00EC2B31">
            <w:pPr>
              <w:keepNext/>
              <w:rPr>
                <w:sz w:val="14"/>
                <w:szCs w:val="14"/>
                <w:lang w:val="en-US"/>
              </w:rPr>
            </w:pPr>
            <w:bookmarkStart w:id="28" w:name="_Hlk501462743"/>
          </w:p>
        </w:tc>
        <w:tc>
          <w:tcPr>
            <w:tcW w:w="1360" w:type="dxa"/>
            <w:tcBorders>
              <w:bottom w:val="single" w:sz="8" w:space="0" w:color="0070AD" w:themeColor="accent1"/>
            </w:tcBorders>
            <w:shd w:val="clear" w:color="auto" w:fill="auto"/>
            <w:vAlign w:val="center"/>
          </w:tcPr>
          <w:p w14:paraId="747DEBD6" w14:textId="77777777" w:rsidR="00EC2B31" w:rsidRPr="00925134" w:rsidRDefault="00EC2B31" w:rsidP="00EC2B31">
            <w:pPr>
              <w:pStyle w:val="TableParagraph"/>
              <w:keepNext/>
              <w:jc w:val="center"/>
              <w:rPr>
                <w:b/>
                <w:sz w:val="14"/>
                <w:szCs w:val="14"/>
              </w:rPr>
            </w:pPr>
            <w:r w:rsidRPr="00925134">
              <w:rPr>
                <w:rFonts w:ascii="Arial"/>
                <w:b/>
                <w:sz w:val="14"/>
                <w:szCs w:val="16"/>
              </w:rPr>
              <w:t>Revenues</w:t>
            </w:r>
          </w:p>
        </w:tc>
        <w:tc>
          <w:tcPr>
            <w:tcW w:w="57" w:type="dxa"/>
          </w:tcPr>
          <w:p w14:paraId="1DCD796A" w14:textId="77777777" w:rsidR="00EC2B31" w:rsidRPr="00925134" w:rsidRDefault="00EC2B31" w:rsidP="00EC2B31">
            <w:pPr>
              <w:pStyle w:val="TableParagraph"/>
              <w:keepNext/>
              <w:ind w:right="105"/>
              <w:jc w:val="center"/>
              <w:rPr>
                <w:b/>
                <w:sz w:val="14"/>
                <w:szCs w:val="14"/>
              </w:rPr>
            </w:pPr>
          </w:p>
        </w:tc>
        <w:tc>
          <w:tcPr>
            <w:tcW w:w="2832" w:type="dxa"/>
            <w:gridSpan w:val="2"/>
            <w:tcBorders>
              <w:bottom w:val="single" w:sz="8" w:space="0" w:color="30849B"/>
            </w:tcBorders>
            <w:vAlign w:val="center"/>
          </w:tcPr>
          <w:p w14:paraId="6EB796F8" w14:textId="77777777" w:rsidR="00EC2B31" w:rsidRPr="00925134" w:rsidRDefault="00EC2B31" w:rsidP="00EC2B31">
            <w:pPr>
              <w:pStyle w:val="TableParagraph"/>
              <w:keepNext/>
              <w:ind w:right="-1"/>
              <w:jc w:val="center"/>
              <w:rPr>
                <w:b/>
                <w:sz w:val="14"/>
                <w:szCs w:val="14"/>
              </w:rPr>
            </w:pPr>
            <w:r w:rsidRPr="00925134">
              <w:rPr>
                <w:rFonts w:ascii="Arial" w:hAnsi="Arial"/>
                <w:b/>
                <w:sz w:val="14"/>
                <w:szCs w:val="16"/>
              </w:rPr>
              <w:t>Year-on-year growth</w:t>
            </w:r>
          </w:p>
        </w:tc>
        <w:tc>
          <w:tcPr>
            <w:tcW w:w="51" w:type="dxa"/>
          </w:tcPr>
          <w:p w14:paraId="1427A288" w14:textId="77777777" w:rsidR="00EC2B31" w:rsidRPr="00925134" w:rsidRDefault="00EC2B31" w:rsidP="00EC2B31">
            <w:pPr>
              <w:pStyle w:val="TableParagraph"/>
              <w:keepNext/>
              <w:ind w:left="-11" w:right="380" w:firstLine="11"/>
              <w:jc w:val="center"/>
              <w:rPr>
                <w:b/>
                <w:sz w:val="14"/>
                <w:szCs w:val="14"/>
              </w:rPr>
            </w:pPr>
          </w:p>
        </w:tc>
        <w:tc>
          <w:tcPr>
            <w:tcW w:w="2832" w:type="dxa"/>
            <w:gridSpan w:val="2"/>
            <w:tcBorders>
              <w:bottom w:val="single" w:sz="4" w:space="0" w:color="0070AD" w:themeColor="accent1"/>
            </w:tcBorders>
            <w:shd w:val="clear" w:color="auto" w:fill="auto"/>
            <w:vAlign w:val="center"/>
          </w:tcPr>
          <w:p w14:paraId="4F92E763" w14:textId="77777777" w:rsidR="00EC2B31" w:rsidRPr="00925134" w:rsidRDefault="00EC2B31" w:rsidP="00EC2B31">
            <w:pPr>
              <w:pStyle w:val="TableParagraph"/>
              <w:keepNext/>
              <w:ind w:left="-11" w:firstLine="11"/>
              <w:jc w:val="center"/>
              <w:rPr>
                <w:rFonts w:eastAsia="Arial" w:cs="Arial"/>
                <w:b/>
                <w:sz w:val="14"/>
                <w:szCs w:val="14"/>
              </w:rPr>
            </w:pPr>
            <w:r w:rsidRPr="00925134">
              <w:rPr>
                <w:rFonts w:ascii="Arial" w:hAnsi="Arial"/>
                <w:b/>
                <w:sz w:val="14"/>
                <w:szCs w:val="16"/>
              </w:rPr>
              <w:t>Operating margin rate</w:t>
            </w:r>
          </w:p>
        </w:tc>
      </w:tr>
      <w:tr w:rsidR="00EC2B31" w:rsidRPr="00925134" w14:paraId="171B3C4A" w14:textId="77777777" w:rsidTr="00EC2B31">
        <w:trPr>
          <w:trHeight w:hRule="exact" w:val="567"/>
          <w:jc w:val="center"/>
        </w:trPr>
        <w:tc>
          <w:tcPr>
            <w:tcW w:w="2947" w:type="dxa"/>
            <w:tcBorders>
              <w:bottom w:val="single" w:sz="8" w:space="0" w:color="0070AD" w:themeColor="accent1"/>
            </w:tcBorders>
          </w:tcPr>
          <w:p w14:paraId="5BAB9940" w14:textId="77777777" w:rsidR="00EC2B31" w:rsidRPr="00925134" w:rsidRDefault="00EC2B31" w:rsidP="00EC2B31">
            <w:pPr>
              <w:keepNext/>
              <w:rPr>
                <w:sz w:val="14"/>
                <w:szCs w:val="14"/>
                <w:lang w:val="en-US"/>
              </w:rPr>
            </w:pPr>
          </w:p>
        </w:tc>
        <w:tc>
          <w:tcPr>
            <w:tcW w:w="1360" w:type="dxa"/>
            <w:tcBorders>
              <w:top w:val="single" w:sz="8" w:space="0" w:color="0070AD" w:themeColor="accent1"/>
              <w:bottom w:val="single" w:sz="8" w:space="0" w:color="0070AD" w:themeColor="accent1"/>
            </w:tcBorders>
            <w:shd w:val="clear" w:color="auto" w:fill="BBE7FF" w:themeFill="accent1" w:themeFillTint="33"/>
            <w:vAlign w:val="center"/>
          </w:tcPr>
          <w:p w14:paraId="612321BC" w14:textId="77777777" w:rsidR="00EC2B31" w:rsidRPr="00925134" w:rsidRDefault="00EC2B31" w:rsidP="00EC2B31">
            <w:pPr>
              <w:pStyle w:val="TableParagraph"/>
              <w:keepNext/>
              <w:jc w:val="center"/>
              <w:rPr>
                <w:rFonts w:ascii="Arial"/>
                <w:b/>
                <w:sz w:val="14"/>
                <w:szCs w:val="16"/>
              </w:rPr>
            </w:pPr>
            <w:r w:rsidRPr="00925134">
              <w:rPr>
                <w:rFonts w:ascii="Arial"/>
                <w:b/>
                <w:sz w:val="14"/>
                <w:szCs w:val="16"/>
              </w:rPr>
              <w:t>2017</w:t>
            </w:r>
          </w:p>
          <w:p w14:paraId="1BD2224F" w14:textId="77777777" w:rsidR="00EC2B31" w:rsidRPr="00925134" w:rsidRDefault="00EC2B31" w:rsidP="00EC2B31">
            <w:pPr>
              <w:keepNext/>
              <w:jc w:val="center"/>
              <w:rPr>
                <w:b/>
                <w:sz w:val="14"/>
                <w:szCs w:val="14"/>
                <w:lang w:val="en-US"/>
              </w:rPr>
            </w:pPr>
            <w:r w:rsidRPr="00925134">
              <w:rPr>
                <w:rFonts w:ascii="Arial" w:hAnsi="Arial"/>
                <w:i/>
                <w:sz w:val="14"/>
                <w:szCs w:val="16"/>
                <w:lang w:val="en-US"/>
              </w:rPr>
              <w:t>(In millions of euros)</w:t>
            </w:r>
          </w:p>
        </w:tc>
        <w:tc>
          <w:tcPr>
            <w:tcW w:w="57" w:type="dxa"/>
            <w:tcBorders>
              <w:bottom w:val="single" w:sz="8" w:space="0" w:color="0070AD" w:themeColor="accent1"/>
            </w:tcBorders>
          </w:tcPr>
          <w:p w14:paraId="677AF196" w14:textId="77777777" w:rsidR="00EC2B31" w:rsidRPr="00925134" w:rsidRDefault="00EC2B31" w:rsidP="00EC2B31">
            <w:pPr>
              <w:pStyle w:val="TableParagraph"/>
              <w:keepNext/>
              <w:spacing w:before="27"/>
              <w:ind w:right="162" w:firstLine="26"/>
              <w:jc w:val="center"/>
              <w:rPr>
                <w:b/>
                <w:sz w:val="14"/>
                <w:szCs w:val="14"/>
              </w:rPr>
            </w:pPr>
          </w:p>
        </w:tc>
        <w:tc>
          <w:tcPr>
            <w:tcW w:w="1416" w:type="dxa"/>
            <w:tcBorders>
              <w:top w:val="single" w:sz="8" w:space="0" w:color="0070AD" w:themeColor="accent1"/>
              <w:bottom w:val="single" w:sz="8" w:space="0" w:color="0070AD" w:themeColor="accent1"/>
            </w:tcBorders>
            <w:vAlign w:val="center"/>
          </w:tcPr>
          <w:p w14:paraId="7292ECDE" w14:textId="77777777" w:rsidR="00EC2B31" w:rsidRPr="00925134" w:rsidRDefault="00EC2B31" w:rsidP="00EC2B31">
            <w:pPr>
              <w:pStyle w:val="TableParagraph"/>
              <w:keepNext/>
              <w:spacing w:before="27"/>
              <w:jc w:val="center"/>
              <w:rPr>
                <w:rFonts w:eastAsia="Arial" w:cs="Arial"/>
                <w:b/>
                <w:sz w:val="14"/>
                <w:szCs w:val="14"/>
              </w:rPr>
            </w:pPr>
            <w:r w:rsidRPr="00925134">
              <w:rPr>
                <w:rFonts w:ascii="Arial" w:hAnsi="Arial"/>
                <w:b/>
                <w:sz w:val="14"/>
                <w:szCs w:val="16"/>
              </w:rPr>
              <w:t>Published</w:t>
            </w:r>
          </w:p>
        </w:tc>
        <w:tc>
          <w:tcPr>
            <w:tcW w:w="1416" w:type="dxa"/>
            <w:tcBorders>
              <w:top w:val="single" w:sz="8" w:space="0" w:color="0070AD" w:themeColor="accent1"/>
              <w:bottom w:val="single" w:sz="8" w:space="0" w:color="0070AD" w:themeColor="accent1"/>
            </w:tcBorders>
            <w:vAlign w:val="center"/>
          </w:tcPr>
          <w:p w14:paraId="0995F7A3" w14:textId="77777777" w:rsidR="00EC2B31" w:rsidRPr="00925134" w:rsidRDefault="00EC2B31" w:rsidP="00EC2B31">
            <w:pPr>
              <w:pStyle w:val="TableParagraph"/>
              <w:keepNext/>
              <w:spacing w:before="27"/>
              <w:ind w:right="-1"/>
              <w:jc w:val="center"/>
              <w:rPr>
                <w:b/>
                <w:sz w:val="14"/>
                <w:szCs w:val="14"/>
              </w:rPr>
            </w:pPr>
            <w:r w:rsidRPr="00925134">
              <w:rPr>
                <w:rFonts w:ascii="Arial" w:hAnsi="Arial"/>
                <w:b/>
                <w:sz w:val="14"/>
                <w:szCs w:val="16"/>
              </w:rPr>
              <w:t>At constant exchange rates</w:t>
            </w:r>
          </w:p>
        </w:tc>
        <w:tc>
          <w:tcPr>
            <w:tcW w:w="51" w:type="dxa"/>
            <w:tcBorders>
              <w:bottom w:val="single" w:sz="8" w:space="0" w:color="0070AD" w:themeColor="accent1"/>
            </w:tcBorders>
            <w:vAlign w:val="center"/>
          </w:tcPr>
          <w:p w14:paraId="5949ECC6" w14:textId="77777777" w:rsidR="00EC2B31" w:rsidRPr="00925134" w:rsidRDefault="00EC2B31" w:rsidP="00EC2B31">
            <w:pPr>
              <w:pStyle w:val="TableParagraph"/>
              <w:keepNext/>
              <w:jc w:val="center"/>
              <w:rPr>
                <w:b/>
                <w:sz w:val="14"/>
                <w:szCs w:val="14"/>
              </w:rPr>
            </w:pPr>
          </w:p>
        </w:tc>
        <w:tc>
          <w:tcPr>
            <w:tcW w:w="1416" w:type="dxa"/>
            <w:tcBorders>
              <w:top w:val="single" w:sz="8" w:space="0" w:color="0070AD" w:themeColor="accent1"/>
              <w:bottom w:val="single" w:sz="8" w:space="0" w:color="0070AD" w:themeColor="accent1"/>
            </w:tcBorders>
            <w:vAlign w:val="center"/>
          </w:tcPr>
          <w:p w14:paraId="040D497E" w14:textId="77777777" w:rsidR="00EC2B31" w:rsidRPr="00925134" w:rsidRDefault="00EC2B31" w:rsidP="00EC2B31">
            <w:pPr>
              <w:pStyle w:val="TableParagraph"/>
              <w:keepNext/>
              <w:jc w:val="center"/>
              <w:rPr>
                <w:b/>
                <w:sz w:val="14"/>
                <w:szCs w:val="14"/>
              </w:rPr>
            </w:pPr>
            <w:r w:rsidRPr="00925134">
              <w:rPr>
                <w:rFonts w:ascii="Arial"/>
                <w:b/>
                <w:sz w:val="14"/>
                <w:szCs w:val="16"/>
              </w:rPr>
              <w:t>2016</w:t>
            </w:r>
          </w:p>
        </w:tc>
        <w:tc>
          <w:tcPr>
            <w:tcW w:w="1416" w:type="dxa"/>
            <w:tcBorders>
              <w:top w:val="single" w:sz="8" w:space="0" w:color="0070AD" w:themeColor="accent1"/>
              <w:bottom w:val="single" w:sz="8" w:space="0" w:color="0070AD" w:themeColor="accent1"/>
            </w:tcBorders>
            <w:shd w:val="clear" w:color="auto" w:fill="BBE7FF" w:themeFill="accent1" w:themeFillTint="33"/>
            <w:vAlign w:val="center"/>
          </w:tcPr>
          <w:p w14:paraId="0CC906EC" w14:textId="77777777" w:rsidR="00EC2B31" w:rsidRPr="00925134" w:rsidRDefault="00EC2B31" w:rsidP="00EC2B31">
            <w:pPr>
              <w:pStyle w:val="TableParagraph"/>
              <w:keepNext/>
              <w:ind w:left="17"/>
              <w:jc w:val="center"/>
              <w:rPr>
                <w:b/>
                <w:sz w:val="14"/>
                <w:szCs w:val="14"/>
              </w:rPr>
            </w:pPr>
            <w:r w:rsidRPr="00925134">
              <w:rPr>
                <w:b/>
                <w:sz w:val="14"/>
                <w:szCs w:val="14"/>
              </w:rPr>
              <w:t>2017</w:t>
            </w:r>
          </w:p>
        </w:tc>
      </w:tr>
      <w:tr w:rsidR="00EC2B31" w:rsidRPr="00925134" w14:paraId="049D5E39" w14:textId="77777777" w:rsidTr="00EC2B31">
        <w:trPr>
          <w:trHeight w:val="227"/>
          <w:jc w:val="center"/>
        </w:trPr>
        <w:tc>
          <w:tcPr>
            <w:tcW w:w="2947" w:type="dxa"/>
            <w:tcBorders>
              <w:top w:val="single" w:sz="8" w:space="0" w:color="0070AD" w:themeColor="accent1"/>
            </w:tcBorders>
            <w:vAlign w:val="center"/>
          </w:tcPr>
          <w:p w14:paraId="0AE4B156" w14:textId="77777777" w:rsidR="00EC2B31" w:rsidRPr="00925134" w:rsidRDefault="00EC2B31" w:rsidP="00EC2B31">
            <w:pPr>
              <w:pStyle w:val="TableParagraph"/>
              <w:keepNext/>
              <w:spacing w:before="52"/>
              <w:ind w:left="142"/>
              <w:rPr>
                <w:rFonts w:asciiTheme="majorHAnsi" w:hAnsiTheme="majorHAnsi"/>
                <w:sz w:val="14"/>
                <w:szCs w:val="14"/>
              </w:rPr>
            </w:pPr>
            <w:r w:rsidRPr="00925134">
              <w:rPr>
                <w:rFonts w:asciiTheme="majorHAnsi" w:hAnsiTheme="majorHAnsi"/>
                <w:sz w:val="14"/>
              </w:rPr>
              <w:t>Consulting services</w:t>
            </w:r>
          </w:p>
        </w:tc>
        <w:tc>
          <w:tcPr>
            <w:tcW w:w="1360" w:type="dxa"/>
            <w:tcBorders>
              <w:top w:val="single" w:sz="8" w:space="0" w:color="0070AD"/>
              <w:left w:val="nil"/>
              <w:bottom w:val="nil"/>
              <w:right w:val="nil"/>
            </w:tcBorders>
            <w:shd w:val="clear" w:color="000000" w:fill="BBE7FF"/>
            <w:vAlign w:val="center"/>
          </w:tcPr>
          <w:p w14:paraId="0273EA8A" w14:textId="77777777" w:rsidR="00EC2B31" w:rsidRPr="00925134" w:rsidRDefault="00EC2B31" w:rsidP="00EC2B31">
            <w:pPr>
              <w:pStyle w:val="TableParagraph"/>
              <w:keepNext/>
              <w:spacing w:before="27"/>
              <w:ind w:right="537"/>
              <w:jc w:val="right"/>
              <w:rPr>
                <w:sz w:val="14"/>
                <w:szCs w:val="14"/>
              </w:rPr>
            </w:pPr>
            <w:r w:rsidRPr="00925134">
              <w:rPr>
                <w:sz w:val="14"/>
                <w:szCs w:val="14"/>
              </w:rPr>
              <w:t>584</w:t>
            </w:r>
          </w:p>
        </w:tc>
        <w:tc>
          <w:tcPr>
            <w:tcW w:w="57" w:type="dxa"/>
            <w:tcBorders>
              <w:top w:val="single" w:sz="8" w:space="0" w:color="0070AD"/>
              <w:left w:val="nil"/>
              <w:bottom w:val="nil"/>
              <w:right w:val="nil"/>
            </w:tcBorders>
            <w:shd w:val="clear" w:color="auto" w:fill="auto"/>
            <w:vAlign w:val="center"/>
          </w:tcPr>
          <w:p w14:paraId="33F96FBF" w14:textId="77777777" w:rsidR="00EC2B31" w:rsidRPr="00925134" w:rsidRDefault="00EC2B31" w:rsidP="00EC2B31">
            <w:pPr>
              <w:jc w:val="center"/>
              <w:rPr>
                <w:rFonts w:ascii="Verdana" w:hAnsi="Verdana"/>
                <w:color w:val="000000"/>
                <w:sz w:val="14"/>
                <w:szCs w:val="14"/>
                <w:lang w:val="en-US"/>
              </w:rPr>
            </w:pPr>
          </w:p>
        </w:tc>
        <w:tc>
          <w:tcPr>
            <w:tcW w:w="1416" w:type="dxa"/>
            <w:tcBorders>
              <w:top w:val="single" w:sz="8" w:space="0" w:color="0070AD"/>
              <w:left w:val="nil"/>
              <w:bottom w:val="nil"/>
              <w:right w:val="nil"/>
            </w:tcBorders>
            <w:shd w:val="clear" w:color="auto" w:fill="auto"/>
            <w:vAlign w:val="center"/>
          </w:tcPr>
          <w:p w14:paraId="0340D466"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+15.4%</w:t>
            </w:r>
          </w:p>
        </w:tc>
        <w:tc>
          <w:tcPr>
            <w:tcW w:w="1416" w:type="dxa"/>
            <w:tcBorders>
              <w:top w:val="single" w:sz="8" w:space="0" w:color="0070AD"/>
              <w:left w:val="nil"/>
              <w:bottom w:val="nil"/>
              <w:right w:val="nil"/>
            </w:tcBorders>
            <w:shd w:val="clear" w:color="auto" w:fill="auto"/>
            <w:vAlign w:val="center"/>
          </w:tcPr>
          <w:p w14:paraId="692107A5"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+14.0%</w:t>
            </w:r>
          </w:p>
        </w:tc>
        <w:tc>
          <w:tcPr>
            <w:tcW w:w="51" w:type="dxa"/>
            <w:tcBorders>
              <w:top w:val="single" w:sz="8" w:space="0" w:color="0070AD"/>
              <w:left w:val="nil"/>
              <w:bottom w:val="nil"/>
              <w:right w:val="nil"/>
            </w:tcBorders>
            <w:shd w:val="clear" w:color="auto" w:fill="auto"/>
            <w:vAlign w:val="center"/>
          </w:tcPr>
          <w:p w14:paraId="332F46CC" w14:textId="77777777" w:rsidR="00EC2B31" w:rsidRPr="00925134" w:rsidRDefault="00EC2B31" w:rsidP="00EC2B31">
            <w:pPr>
              <w:rPr>
                <w:rFonts w:ascii="Verdana" w:hAnsi="Verdana"/>
                <w:color w:val="000000"/>
                <w:sz w:val="14"/>
                <w:szCs w:val="14"/>
                <w:lang w:val="en-US"/>
              </w:rPr>
            </w:pPr>
          </w:p>
        </w:tc>
        <w:tc>
          <w:tcPr>
            <w:tcW w:w="1416" w:type="dxa"/>
            <w:tcBorders>
              <w:top w:val="single" w:sz="8" w:space="0" w:color="0070AD"/>
              <w:left w:val="nil"/>
              <w:bottom w:val="nil"/>
              <w:right w:val="nil"/>
            </w:tcBorders>
            <w:shd w:val="clear" w:color="auto" w:fill="auto"/>
            <w:vAlign w:val="center"/>
          </w:tcPr>
          <w:p w14:paraId="37BBC246"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10.7%</w:t>
            </w:r>
          </w:p>
        </w:tc>
        <w:tc>
          <w:tcPr>
            <w:tcW w:w="1416" w:type="dxa"/>
            <w:tcBorders>
              <w:top w:val="single" w:sz="8" w:space="0" w:color="0070AD" w:themeColor="accent1"/>
            </w:tcBorders>
            <w:shd w:val="clear" w:color="auto" w:fill="BBE7FF" w:themeFill="accent1" w:themeFillTint="33"/>
            <w:vAlign w:val="center"/>
          </w:tcPr>
          <w:p w14:paraId="3918B9D1" w14:textId="77777777" w:rsidR="00EC2B31" w:rsidRPr="00925134" w:rsidRDefault="00EC2B31" w:rsidP="00EC2B31">
            <w:pPr>
              <w:pStyle w:val="TableParagraph"/>
              <w:keepNext/>
              <w:spacing w:before="27"/>
              <w:jc w:val="center"/>
              <w:rPr>
                <w:sz w:val="14"/>
                <w:szCs w:val="14"/>
              </w:rPr>
            </w:pPr>
            <w:r w:rsidRPr="00925134">
              <w:rPr>
                <w:rFonts w:eastAsia="Arial" w:cs="Arial"/>
                <w:sz w:val="14"/>
                <w:szCs w:val="14"/>
              </w:rPr>
              <w:t>11.2%</w:t>
            </w:r>
          </w:p>
        </w:tc>
      </w:tr>
      <w:tr w:rsidR="00EC2B31" w:rsidRPr="00925134" w14:paraId="7CA5CC36" w14:textId="77777777" w:rsidTr="00EC2B31">
        <w:trPr>
          <w:trHeight w:val="227"/>
          <w:jc w:val="center"/>
        </w:trPr>
        <w:tc>
          <w:tcPr>
            <w:tcW w:w="2947" w:type="dxa"/>
            <w:vAlign w:val="center"/>
          </w:tcPr>
          <w:p w14:paraId="24345546" w14:textId="77777777" w:rsidR="00EC2B31" w:rsidRPr="00925134" w:rsidRDefault="00EC2B31" w:rsidP="00EC2B31">
            <w:pPr>
              <w:pStyle w:val="TableParagraph"/>
              <w:keepNext/>
              <w:spacing w:before="53"/>
              <w:ind w:left="142"/>
              <w:rPr>
                <w:rFonts w:asciiTheme="majorHAnsi" w:hAnsiTheme="majorHAnsi"/>
                <w:sz w:val="14"/>
                <w:szCs w:val="14"/>
              </w:rPr>
            </w:pPr>
            <w:r w:rsidRPr="00925134">
              <w:rPr>
                <w:rFonts w:asciiTheme="majorHAnsi" w:hAnsiTheme="majorHAnsi"/>
                <w:sz w:val="14"/>
              </w:rPr>
              <w:t>Technology &amp; Engineering Services</w:t>
            </w:r>
          </w:p>
        </w:tc>
        <w:tc>
          <w:tcPr>
            <w:tcW w:w="1360" w:type="dxa"/>
            <w:tcBorders>
              <w:top w:val="nil"/>
              <w:left w:val="nil"/>
              <w:bottom w:val="nil"/>
              <w:right w:val="nil"/>
            </w:tcBorders>
            <w:shd w:val="clear" w:color="000000" w:fill="BBE7FF"/>
            <w:vAlign w:val="center"/>
          </w:tcPr>
          <w:p w14:paraId="06B82A7C" w14:textId="77777777" w:rsidR="00EC2B31" w:rsidRPr="00925134" w:rsidRDefault="00EC2B31" w:rsidP="00EC2B31">
            <w:pPr>
              <w:pStyle w:val="TableParagraph"/>
              <w:keepNext/>
              <w:spacing w:before="27"/>
              <w:ind w:right="537"/>
              <w:jc w:val="right"/>
              <w:rPr>
                <w:sz w:val="14"/>
                <w:szCs w:val="14"/>
              </w:rPr>
            </w:pPr>
            <w:r w:rsidRPr="00925134">
              <w:rPr>
                <w:sz w:val="14"/>
                <w:szCs w:val="14"/>
              </w:rPr>
              <w:t>1,927</w:t>
            </w:r>
          </w:p>
        </w:tc>
        <w:tc>
          <w:tcPr>
            <w:tcW w:w="57" w:type="dxa"/>
            <w:tcBorders>
              <w:top w:val="nil"/>
              <w:left w:val="nil"/>
              <w:bottom w:val="nil"/>
              <w:right w:val="nil"/>
            </w:tcBorders>
            <w:shd w:val="clear" w:color="auto" w:fill="auto"/>
            <w:vAlign w:val="center"/>
          </w:tcPr>
          <w:p w14:paraId="62429888" w14:textId="77777777" w:rsidR="00EC2B31" w:rsidRPr="00925134" w:rsidRDefault="00EC2B31" w:rsidP="00EC2B31">
            <w:pPr>
              <w:ind w:firstLineChars="200" w:firstLine="280"/>
              <w:jc w:val="right"/>
              <w:rPr>
                <w:rFonts w:ascii="Verdana" w:hAnsi="Verdana"/>
                <w:color w:val="000000"/>
                <w:sz w:val="14"/>
                <w:szCs w:val="14"/>
                <w:lang w:val="en-US"/>
              </w:rPr>
            </w:pPr>
          </w:p>
        </w:tc>
        <w:tc>
          <w:tcPr>
            <w:tcW w:w="1416" w:type="dxa"/>
            <w:tcBorders>
              <w:top w:val="nil"/>
              <w:left w:val="nil"/>
              <w:bottom w:val="nil"/>
              <w:right w:val="nil"/>
            </w:tcBorders>
            <w:shd w:val="clear" w:color="auto" w:fill="auto"/>
            <w:vAlign w:val="center"/>
          </w:tcPr>
          <w:p w14:paraId="2FE2902B"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+2.9%</w:t>
            </w:r>
          </w:p>
        </w:tc>
        <w:tc>
          <w:tcPr>
            <w:tcW w:w="1416" w:type="dxa"/>
            <w:tcBorders>
              <w:top w:val="nil"/>
              <w:left w:val="nil"/>
              <w:bottom w:val="nil"/>
              <w:right w:val="nil"/>
            </w:tcBorders>
            <w:shd w:val="clear" w:color="auto" w:fill="auto"/>
            <w:vAlign w:val="center"/>
          </w:tcPr>
          <w:p w14:paraId="21C197A4"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+4.7%</w:t>
            </w:r>
          </w:p>
        </w:tc>
        <w:tc>
          <w:tcPr>
            <w:tcW w:w="51" w:type="dxa"/>
            <w:tcBorders>
              <w:top w:val="nil"/>
              <w:left w:val="nil"/>
              <w:bottom w:val="nil"/>
              <w:right w:val="nil"/>
            </w:tcBorders>
            <w:shd w:val="clear" w:color="auto" w:fill="auto"/>
            <w:vAlign w:val="center"/>
          </w:tcPr>
          <w:p w14:paraId="1AE33623" w14:textId="77777777" w:rsidR="00EC2B31" w:rsidRPr="00925134" w:rsidRDefault="00EC2B31" w:rsidP="00EC2B31">
            <w:pPr>
              <w:jc w:val="center"/>
              <w:rPr>
                <w:rFonts w:ascii="Verdana" w:hAnsi="Verdana"/>
                <w:color w:val="000000"/>
                <w:sz w:val="14"/>
                <w:szCs w:val="14"/>
                <w:lang w:val="en-US"/>
              </w:rPr>
            </w:pPr>
          </w:p>
        </w:tc>
        <w:tc>
          <w:tcPr>
            <w:tcW w:w="1416" w:type="dxa"/>
            <w:tcBorders>
              <w:top w:val="nil"/>
              <w:left w:val="nil"/>
              <w:bottom w:val="nil"/>
              <w:right w:val="nil"/>
            </w:tcBorders>
            <w:shd w:val="clear" w:color="auto" w:fill="auto"/>
            <w:vAlign w:val="center"/>
          </w:tcPr>
          <w:p w14:paraId="19A0A21A"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12.8%</w:t>
            </w:r>
          </w:p>
        </w:tc>
        <w:tc>
          <w:tcPr>
            <w:tcW w:w="1416" w:type="dxa"/>
            <w:shd w:val="clear" w:color="auto" w:fill="BBE7FF" w:themeFill="accent1" w:themeFillTint="33"/>
            <w:vAlign w:val="center"/>
          </w:tcPr>
          <w:p w14:paraId="42777A90" w14:textId="77777777" w:rsidR="00EC2B31" w:rsidRPr="00925134" w:rsidRDefault="00EC2B31" w:rsidP="00EC2B31">
            <w:pPr>
              <w:pStyle w:val="TableParagraph"/>
              <w:keepNext/>
              <w:spacing w:before="27"/>
              <w:jc w:val="center"/>
              <w:rPr>
                <w:sz w:val="14"/>
                <w:szCs w:val="14"/>
              </w:rPr>
            </w:pPr>
            <w:r w:rsidRPr="00925134">
              <w:rPr>
                <w:rFonts w:eastAsia="Arial" w:cs="Arial"/>
                <w:sz w:val="14"/>
                <w:szCs w:val="14"/>
              </w:rPr>
              <w:t>13.6%</w:t>
            </w:r>
          </w:p>
        </w:tc>
      </w:tr>
      <w:tr w:rsidR="00EC2B31" w:rsidRPr="00925134" w14:paraId="48040F6E" w14:textId="77777777" w:rsidTr="00EC2B31">
        <w:trPr>
          <w:trHeight w:val="227"/>
          <w:jc w:val="center"/>
        </w:trPr>
        <w:tc>
          <w:tcPr>
            <w:tcW w:w="2947" w:type="dxa"/>
            <w:vAlign w:val="center"/>
          </w:tcPr>
          <w:p w14:paraId="7F983504" w14:textId="77777777" w:rsidR="00EC2B31" w:rsidRPr="00925134" w:rsidRDefault="00EC2B31" w:rsidP="00EC2B31">
            <w:pPr>
              <w:pStyle w:val="TableParagraph"/>
              <w:keepNext/>
              <w:spacing w:before="53"/>
              <w:ind w:left="142"/>
              <w:rPr>
                <w:rFonts w:asciiTheme="majorHAnsi" w:hAnsiTheme="majorHAnsi"/>
                <w:sz w:val="14"/>
                <w:szCs w:val="14"/>
              </w:rPr>
            </w:pPr>
            <w:r w:rsidRPr="00925134">
              <w:rPr>
                <w:rFonts w:asciiTheme="majorHAnsi" w:hAnsiTheme="majorHAnsi"/>
                <w:sz w:val="14"/>
              </w:rPr>
              <w:t>Application services</w:t>
            </w:r>
          </w:p>
        </w:tc>
        <w:tc>
          <w:tcPr>
            <w:tcW w:w="1360" w:type="dxa"/>
            <w:tcBorders>
              <w:top w:val="nil"/>
              <w:left w:val="nil"/>
              <w:bottom w:val="nil"/>
              <w:right w:val="nil"/>
            </w:tcBorders>
            <w:shd w:val="clear" w:color="000000" w:fill="BBE7FF"/>
            <w:vAlign w:val="center"/>
          </w:tcPr>
          <w:p w14:paraId="0D36CEF8" w14:textId="77777777" w:rsidR="00EC2B31" w:rsidRPr="00925134" w:rsidRDefault="00EC2B31" w:rsidP="00EC2B31">
            <w:pPr>
              <w:pStyle w:val="TableParagraph"/>
              <w:keepNext/>
              <w:spacing w:before="27"/>
              <w:ind w:right="537"/>
              <w:jc w:val="right"/>
              <w:rPr>
                <w:sz w:val="14"/>
                <w:szCs w:val="14"/>
              </w:rPr>
            </w:pPr>
            <w:r w:rsidRPr="00925134">
              <w:rPr>
                <w:sz w:val="14"/>
                <w:szCs w:val="14"/>
              </w:rPr>
              <w:t>7,940</w:t>
            </w:r>
          </w:p>
        </w:tc>
        <w:tc>
          <w:tcPr>
            <w:tcW w:w="57" w:type="dxa"/>
            <w:tcBorders>
              <w:top w:val="nil"/>
              <w:left w:val="nil"/>
              <w:bottom w:val="nil"/>
              <w:right w:val="nil"/>
            </w:tcBorders>
            <w:shd w:val="clear" w:color="auto" w:fill="auto"/>
            <w:vAlign w:val="center"/>
          </w:tcPr>
          <w:p w14:paraId="0AAEC4F5" w14:textId="77777777" w:rsidR="00EC2B31" w:rsidRPr="00925134" w:rsidRDefault="00EC2B31" w:rsidP="00EC2B31">
            <w:pPr>
              <w:ind w:firstLineChars="200" w:firstLine="280"/>
              <w:jc w:val="right"/>
              <w:rPr>
                <w:rFonts w:ascii="Verdana" w:hAnsi="Verdana"/>
                <w:color w:val="000000"/>
                <w:sz w:val="14"/>
                <w:szCs w:val="14"/>
                <w:lang w:val="en-US"/>
              </w:rPr>
            </w:pPr>
          </w:p>
        </w:tc>
        <w:tc>
          <w:tcPr>
            <w:tcW w:w="1416" w:type="dxa"/>
            <w:tcBorders>
              <w:top w:val="nil"/>
              <w:left w:val="nil"/>
              <w:bottom w:val="nil"/>
              <w:right w:val="nil"/>
            </w:tcBorders>
            <w:shd w:val="clear" w:color="auto" w:fill="auto"/>
            <w:vAlign w:val="center"/>
          </w:tcPr>
          <w:p w14:paraId="6DC69BB4"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+5.1%</w:t>
            </w:r>
          </w:p>
        </w:tc>
        <w:tc>
          <w:tcPr>
            <w:tcW w:w="1416" w:type="dxa"/>
            <w:tcBorders>
              <w:top w:val="nil"/>
              <w:left w:val="nil"/>
              <w:bottom w:val="nil"/>
              <w:right w:val="nil"/>
            </w:tcBorders>
            <w:shd w:val="clear" w:color="auto" w:fill="auto"/>
            <w:vAlign w:val="center"/>
          </w:tcPr>
          <w:p w14:paraId="77504B23"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+6.6%</w:t>
            </w:r>
          </w:p>
        </w:tc>
        <w:tc>
          <w:tcPr>
            <w:tcW w:w="51" w:type="dxa"/>
            <w:tcBorders>
              <w:top w:val="nil"/>
              <w:left w:val="nil"/>
              <w:bottom w:val="nil"/>
              <w:right w:val="nil"/>
            </w:tcBorders>
            <w:shd w:val="clear" w:color="auto" w:fill="auto"/>
            <w:vAlign w:val="center"/>
          </w:tcPr>
          <w:p w14:paraId="5E5F7C91" w14:textId="77777777" w:rsidR="00EC2B31" w:rsidRPr="00925134" w:rsidRDefault="00EC2B31" w:rsidP="00EC2B31">
            <w:pPr>
              <w:jc w:val="center"/>
              <w:rPr>
                <w:rFonts w:ascii="Verdana" w:hAnsi="Verdana"/>
                <w:color w:val="000000"/>
                <w:sz w:val="14"/>
                <w:szCs w:val="14"/>
                <w:lang w:val="en-US"/>
              </w:rPr>
            </w:pPr>
          </w:p>
        </w:tc>
        <w:tc>
          <w:tcPr>
            <w:tcW w:w="1416" w:type="dxa"/>
            <w:tcBorders>
              <w:top w:val="nil"/>
              <w:left w:val="nil"/>
              <w:bottom w:val="nil"/>
              <w:right w:val="nil"/>
            </w:tcBorders>
            <w:shd w:val="clear" w:color="auto" w:fill="auto"/>
            <w:vAlign w:val="center"/>
          </w:tcPr>
          <w:p w14:paraId="103AB473"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12.7%</w:t>
            </w:r>
          </w:p>
        </w:tc>
        <w:tc>
          <w:tcPr>
            <w:tcW w:w="1416" w:type="dxa"/>
            <w:shd w:val="clear" w:color="auto" w:fill="BBE7FF" w:themeFill="accent1" w:themeFillTint="33"/>
            <w:vAlign w:val="center"/>
          </w:tcPr>
          <w:p w14:paraId="3729573A" w14:textId="77777777" w:rsidR="00EC2B31" w:rsidRPr="00925134" w:rsidRDefault="00EC2B31" w:rsidP="00EC2B31">
            <w:pPr>
              <w:pStyle w:val="TableParagraph"/>
              <w:keepNext/>
              <w:spacing w:before="29"/>
              <w:jc w:val="center"/>
              <w:rPr>
                <w:sz w:val="14"/>
                <w:szCs w:val="14"/>
              </w:rPr>
            </w:pPr>
            <w:r w:rsidRPr="00925134">
              <w:rPr>
                <w:rFonts w:eastAsia="Arial" w:cs="Arial"/>
                <w:sz w:val="14"/>
                <w:szCs w:val="14"/>
              </w:rPr>
              <w:t>12.9%</w:t>
            </w:r>
          </w:p>
        </w:tc>
      </w:tr>
      <w:tr w:rsidR="00EC2B31" w:rsidRPr="00925134" w14:paraId="39D690D3" w14:textId="77777777" w:rsidTr="00EC2B31">
        <w:trPr>
          <w:trHeight w:val="227"/>
          <w:jc w:val="center"/>
        </w:trPr>
        <w:tc>
          <w:tcPr>
            <w:tcW w:w="2947" w:type="dxa"/>
            <w:tcBorders>
              <w:bottom w:val="single" w:sz="8" w:space="0" w:color="0070AD" w:themeColor="accent1"/>
            </w:tcBorders>
            <w:vAlign w:val="center"/>
          </w:tcPr>
          <w:p w14:paraId="5ED0D41D" w14:textId="77777777" w:rsidR="00EC2B31" w:rsidRPr="00925134" w:rsidRDefault="00EC2B31" w:rsidP="00EC2B31">
            <w:pPr>
              <w:pStyle w:val="TableParagraph"/>
              <w:keepNext/>
              <w:spacing w:before="53"/>
              <w:ind w:left="142"/>
              <w:rPr>
                <w:rFonts w:asciiTheme="majorHAnsi" w:eastAsia="Arial" w:hAnsiTheme="majorHAnsi" w:cs="Arial"/>
                <w:sz w:val="14"/>
                <w:szCs w:val="14"/>
              </w:rPr>
            </w:pPr>
            <w:r w:rsidRPr="00925134">
              <w:rPr>
                <w:rFonts w:asciiTheme="majorHAnsi" w:hAnsiTheme="majorHAnsi"/>
                <w:sz w:val="14"/>
                <w:szCs w:val="16"/>
              </w:rPr>
              <w:t>Other managed services</w:t>
            </w:r>
          </w:p>
        </w:tc>
        <w:tc>
          <w:tcPr>
            <w:tcW w:w="1360" w:type="dxa"/>
            <w:tcBorders>
              <w:top w:val="nil"/>
              <w:left w:val="nil"/>
              <w:bottom w:val="single" w:sz="8" w:space="0" w:color="0070AD"/>
              <w:right w:val="nil"/>
            </w:tcBorders>
            <w:shd w:val="clear" w:color="000000" w:fill="BBE7FF"/>
            <w:vAlign w:val="center"/>
          </w:tcPr>
          <w:p w14:paraId="0C663E9F" w14:textId="77777777" w:rsidR="00EC2B31" w:rsidRPr="00925134" w:rsidRDefault="00EC2B31" w:rsidP="00EC2B31">
            <w:pPr>
              <w:pStyle w:val="TableParagraph"/>
              <w:keepNext/>
              <w:spacing w:before="27"/>
              <w:ind w:right="537"/>
              <w:jc w:val="right"/>
              <w:rPr>
                <w:sz w:val="14"/>
                <w:szCs w:val="14"/>
              </w:rPr>
            </w:pPr>
            <w:r w:rsidRPr="00925134">
              <w:rPr>
                <w:sz w:val="14"/>
                <w:szCs w:val="14"/>
              </w:rPr>
              <w:t>2,341</w:t>
            </w:r>
          </w:p>
        </w:tc>
        <w:tc>
          <w:tcPr>
            <w:tcW w:w="57" w:type="dxa"/>
            <w:tcBorders>
              <w:top w:val="nil"/>
              <w:left w:val="nil"/>
              <w:bottom w:val="single" w:sz="8" w:space="0" w:color="0070AD"/>
              <w:right w:val="nil"/>
            </w:tcBorders>
            <w:shd w:val="clear" w:color="auto" w:fill="auto"/>
            <w:vAlign w:val="center"/>
          </w:tcPr>
          <w:p w14:paraId="497D0452" w14:textId="77777777" w:rsidR="00EC2B31" w:rsidRPr="00925134" w:rsidRDefault="00EC2B31" w:rsidP="00EC2B31">
            <w:pPr>
              <w:jc w:val="center"/>
              <w:rPr>
                <w:rFonts w:ascii="Verdana" w:hAnsi="Verdana"/>
                <w:color w:val="000000"/>
                <w:sz w:val="14"/>
                <w:szCs w:val="14"/>
                <w:lang w:val="en-US"/>
              </w:rPr>
            </w:pPr>
          </w:p>
        </w:tc>
        <w:tc>
          <w:tcPr>
            <w:tcW w:w="1416" w:type="dxa"/>
            <w:tcBorders>
              <w:top w:val="nil"/>
              <w:left w:val="nil"/>
              <w:bottom w:val="single" w:sz="8" w:space="0" w:color="0070AD"/>
              <w:right w:val="nil"/>
            </w:tcBorders>
            <w:shd w:val="clear" w:color="auto" w:fill="auto"/>
            <w:vAlign w:val="center"/>
          </w:tcPr>
          <w:p w14:paraId="5C1B9E38"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-10.1%</w:t>
            </w:r>
          </w:p>
        </w:tc>
        <w:tc>
          <w:tcPr>
            <w:tcW w:w="1416" w:type="dxa"/>
            <w:tcBorders>
              <w:top w:val="nil"/>
              <w:left w:val="nil"/>
              <w:bottom w:val="single" w:sz="8" w:space="0" w:color="0070AD"/>
              <w:right w:val="nil"/>
            </w:tcBorders>
            <w:shd w:val="clear" w:color="auto" w:fill="auto"/>
            <w:vAlign w:val="center"/>
          </w:tcPr>
          <w:p w14:paraId="2A91C1C8"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-6.4%</w:t>
            </w:r>
          </w:p>
        </w:tc>
        <w:tc>
          <w:tcPr>
            <w:tcW w:w="51" w:type="dxa"/>
            <w:tcBorders>
              <w:top w:val="nil"/>
              <w:left w:val="nil"/>
              <w:bottom w:val="single" w:sz="8" w:space="0" w:color="0070AD"/>
              <w:right w:val="nil"/>
            </w:tcBorders>
            <w:shd w:val="clear" w:color="auto" w:fill="auto"/>
            <w:vAlign w:val="center"/>
          </w:tcPr>
          <w:p w14:paraId="34C3DDAA" w14:textId="77777777" w:rsidR="00EC2B31" w:rsidRPr="00925134" w:rsidRDefault="00EC2B31" w:rsidP="00EC2B31">
            <w:pPr>
              <w:rPr>
                <w:rFonts w:ascii="Verdana" w:hAnsi="Verdana"/>
                <w:color w:val="000000"/>
                <w:sz w:val="14"/>
                <w:szCs w:val="14"/>
                <w:lang w:val="en-US"/>
              </w:rPr>
            </w:pPr>
          </w:p>
        </w:tc>
        <w:tc>
          <w:tcPr>
            <w:tcW w:w="1416" w:type="dxa"/>
            <w:tcBorders>
              <w:top w:val="nil"/>
              <w:left w:val="nil"/>
              <w:bottom w:val="single" w:sz="8" w:space="0" w:color="0070AD"/>
              <w:right w:val="nil"/>
            </w:tcBorders>
            <w:shd w:val="clear" w:color="auto" w:fill="auto"/>
            <w:vAlign w:val="center"/>
          </w:tcPr>
          <w:p w14:paraId="591B8B96" w14:textId="77777777" w:rsidR="00EC2B31" w:rsidRPr="00925134" w:rsidRDefault="00EC2B31" w:rsidP="00EC2B31">
            <w:pPr>
              <w:jc w:val="center"/>
              <w:rPr>
                <w:rFonts w:ascii="Verdana" w:hAnsi="Verdana"/>
                <w:color w:val="000000"/>
                <w:sz w:val="14"/>
                <w:szCs w:val="14"/>
                <w:lang w:val="en-US"/>
              </w:rPr>
            </w:pPr>
            <w:r w:rsidRPr="00925134">
              <w:rPr>
                <w:rFonts w:ascii="Verdana" w:hAnsi="Verdana"/>
                <w:color w:val="000000"/>
                <w:sz w:val="14"/>
                <w:szCs w:val="14"/>
                <w:lang w:val="en-US"/>
              </w:rPr>
              <w:t>10.0%</w:t>
            </w:r>
          </w:p>
        </w:tc>
        <w:tc>
          <w:tcPr>
            <w:tcW w:w="1416" w:type="dxa"/>
            <w:tcBorders>
              <w:bottom w:val="single" w:sz="8" w:space="0" w:color="0070AD" w:themeColor="accent1"/>
            </w:tcBorders>
            <w:shd w:val="clear" w:color="auto" w:fill="BBE7FF" w:themeFill="accent1" w:themeFillTint="33"/>
            <w:vAlign w:val="center"/>
          </w:tcPr>
          <w:p w14:paraId="10C6E89D" w14:textId="77777777" w:rsidR="00EC2B31" w:rsidRPr="00925134" w:rsidRDefault="00EC2B31" w:rsidP="00EC2B31">
            <w:pPr>
              <w:pStyle w:val="TableParagraph"/>
              <w:keepNext/>
              <w:spacing w:before="27"/>
              <w:jc w:val="center"/>
              <w:rPr>
                <w:rFonts w:eastAsia="Arial" w:cs="Arial"/>
                <w:sz w:val="14"/>
                <w:szCs w:val="14"/>
              </w:rPr>
            </w:pPr>
            <w:r w:rsidRPr="00925134">
              <w:rPr>
                <w:rFonts w:eastAsia="Arial" w:cs="Arial"/>
                <w:sz w:val="14"/>
                <w:szCs w:val="14"/>
              </w:rPr>
              <w:t>9.2%</w:t>
            </w:r>
          </w:p>
        </w:tc>
      </w:tr>
      <w:tr w:rsidR="005848A4" w:rsidRPr="00925134" w14:paraId="24CB1F8A" w14:textId="77777777" w:rsidTr="00EC2B31">
        <w:trPr>
          <w:trHeight w:val="227"/>
          <w:jc w:val="center"/>
        </w:trPr>
        <w:tc>
          <w:tcPr>
            <w:tcW w:w="2947" w:type="dxa"/>
            <w:tcBorders>
              <w:top w:val="single" w:sz="8" w:space="0" w:color="0070AD" w:themeColor="accent1"/>
              <w:bottom w:val="single" w:sz="8" w:space="0" w:color="0070AD" w:themeColor="accent1"/>
            </w:tcBorders>
            <w:vAlign w:val="center"/>
          </w:tcPr>
          <w:p w14:paraId="777EB48F" w14:textId="77777777" w:rsidR="005848A4" w:rsidRPr="00925134" w:rsidRDefault="005848A4" w:rsidP="005848A4">
            <w:pPr>
              <w:pStyle w:val="TableParagraph"/>
              <w:keepNext/>
              <w:spacing w:before="29"/>
              <w:ind w:left="63"/>
              <w:rPr>
                <w:rFonts w:asciiTheme="majorHAnsi" w:hAnsiTheme="majorHAnsi"/>
                <w:b/>
                <w:color w:val="0070AD"/>
                <w:sz w:val="14"/>
                <w:szCs w:val="14"/>
              </w:rPr>
            </w:pPr>
            <w:r w:rsidRPr="00925134">
              <w:rPr>
                <w:rFonts w:asciiTheme="majorHAnsi" w:hAnsiTheme="majorHAnsi"/>
                <w:b/>
                <w:color w:val="0070AD"/>
                <w:sz w:val="14"/>
                <w:szCs w:val="14"/>
              </w:rPr>
              <w:t>TOTAL</w:t>
            </w:r>
          </w:p>
        </w:tc>
        <w:tc>
          <w:tcPr>
            <w:tcW w:w="1360" w:type="dxa"/>
            <w:tcBorders>
              <w:top w:val="nil"/>
              <w:left w:val="nil"/>
              <w:bottom w:val="single" w:sz="8" w:space="0" w:color="0070AD"/>
              <w:right w:val="nil"/>
            </w:tcBorders>
            <w:shd w:val="clear" w:color="000000" w:fill="BBE7FF"/>
            <w:vAlign w:val="center"/>
          </w:tcPr>
          <w:p w14:paraId="52E1BDD8" w14:textId="77777777" w:rsidR="005848A4" w:rsidRPr="00925134" w:rsidRDefault="005848A4" w:rsidP="005848A4">
            <w:pPr>
              <w:pStyle w:val="TableParagraph"/>
              <w:keepNext/>
              <w:spacing w:before="27"/>
              <w:ind w:right="537"/>
              <w:jc w:val="right"/>
              <w:rPr>
                <w:b/>
                <w:color w:val="0070AD"/>
                <w:sz w:val="14"/>
                <w:szCs w:val="14"/>
              </w:rPr>
            </w:pPr>
            <w:r w:rsidRPr="00925134">
              <w:rPr>
                <w:b/>
                <w:color w:val="0070AD"/>
                <w:sz w:val="14"/>
                <w:szCs w:val="14"/>
              </w:rPr>
              <w:t>12</w:t>
            </w:r>
            <w:r w:rsidR="00D1738E" w:rsidRPr="00925134">
              <w:rPr>
                <w:b/>
                <w:color w:val="0070AD"/>
                <w:sz w:val="14"/>
                <w:szCs w:val="14"/>
              </w:rPr>
              <w:t>,</w:t>
            </w:r>
            <w:r w:rsidRPr="00925134">
              <w:rPr>
                <w:b/>
                <w:color w:val="0070AD"/>
                <w:sz w:val="14"/>
                <w:szCs w:val="14"/>
              </w:rPr>
              <w:t>792</w:t>
            </w:r>
          </w:p>
        </w:tc>
        <w:tc>
          <w:tcPr>
            <w:tcW w:w="57" w:type="dxa"/>
            <w:tcBorders>
              <w:top w:val="nil"/>
              <w:left w:val="nil"/>
              <w:bottom w:val="single" w:sz="8" w:space="0" w:color="0070AD"/>
              <w:right w:val="nil"/>
            </w:tcBorders>
            <w:shd w:val="clear" w:color="auto" w:fill="auto"/>
            <w:vAlign w:val="center"/>
          </w:tcPr>
          <w:p w14:paraId="393CF6E3" w14:textId="77777777" w:rsidR="005848A4" w:rsidRPr="00925134" w:rsidRDefault="005848A4" w:rsidP="005848A4">
            <w:pPr>
              <w:jc w:val="center"/>
              <w:rPr>
                <w:rFonts w:ascii="Verdana" w:hAnsi="Verdana"/>
                <w:b/>
                <w:bCs/>
                <w:color w:val="0070AD"/>
                <w:sz w:val="14"/>
                <w:szCs w:val="14"/>
                <w:lang w:val="en-US"/>
              </w:rPr>
            </w:pPr>
          </w:p>
        </w:tc>
        <w:tc>
          <w:tcPr>
            <w:tcW w:w="1416" w:type="dxa"/>
            <w:tcBorders>
              <w:top w:val="nil"/>
              <w:left w:val="nil"/>
              <w:bottom w:val="single" w:sz="8" w:space="0" w:color="0070AD"/>
              <w:right w:val="nil"/>
            </w:tcBorders>
            <w:shd w:val="clear" w:color="auto" w:fill="auto"/>
            <w:vAlign w:val="center"/>
          </w:tcPr>
          <w:p w14:paraId="72D8401F" w14:textId="77777777" w:rsidR="005848A4" w:rsidRPr="00925134" w:rsidRDefault="005848A4" w:rsidP="005848A4">
            <w:pPr>
              <w:jc w:val="center"/>
              <w:rPr>
                <w:rFonts w:ascii="Verdana" w:hAnsi="Verdana"/>
                <w:b/>
                <w:bCs/>
                <w:color w:val="0070AD"/>
                <w:sz w:val="14"/>
                <w:szCs w:val="14"/>
                <w:lang w:val="en-US"/>
              </w:rPr>
            </w:pPr>
            <w:r w:rsidRPr="00925134">
              <w:rPr>
                <w:rFonts w:ascii="Verdana" w:hAnsi="Verdana"/>
                <w:b/>
                <w:bCs/>
                <w:color w:val="0070AD"/>
                <w:sz w:val="14"/>
                <w:szCs w:val="14"/>
                <w:lang w:val="en-US"/>
              </w:rPr>
              <w:t>+2</w:t>
            </w:r>
            <w:r w:rsidR="00D1738E" w:rsidRPr="00925134">
              <w:rPr>
                <w:rFonts w:ascii="Verdana" w:hAnsi="Verdana"/>
                <w:b/>
                <w:bCs/>
                <w:color w:val="0070AD"/>
                <w:sz w:val="14"/>
                <w:szCs w:val="14"/>
                <w:lang w:val="en-US"/>
              </w:rPr>
              <w:t>.</w:t>
            </w:r>
            <w:r w:rsidRPr="00925134">
              <w:rPr>
                <w:rFonts w:ascii="Verdana" w:hAnsi="Verdana"/>
                <w:b/>
                <w:bCs/>
                <w:color w:val="0070AD"/>
                <w:sz w:val="14"/>
                <w:szCs w:val="14"/>
                <w:lang w:val="en-US"/>
              </w:rPr>
              <w:t>0%</w:t>
            </w:r>
          </w:p>
        </w:tc>
        <w:tc>
          <w:tcPr>
            <w:tcW w:w="1416" w:type="dxa"/>
            <w:tcBorders>
              <w:top w:val="nil"/>
              <w:left w:val="nil"/>
              <w:bottom w:val="single" w:sz="8" w:space="0" w:color="0070AD"/>
              <w:right w:val="nil"/>
            </w:tcBorders>
            <w:shd w:val="clear" w:color="auto" w:fill="auto"/>
            <w:vAlign w:val="center"/>
          </w:tcPr>
          <w:p w14:paraId="6D20E769" w14:textId="77777777" w:rsidR="005848A4" w:rsidRPr="00925134" w:rsidRDefault="00A33C80" w:rsidP="005848A4">
            <w:pPr>
              <w:jc w:val="center"/>
              <w:rPr>
                <w:rFonts w:ascii="Verdana" w:hAnsi="Verdana"/>
                <w:b/>
                <w:bCs/>
                <w:color w:val="0070AD"/>
                <w:sz w:val="14"/>
                <w:szCs w:val="14"/>
                <w:lang w:val="en-US"/>
              </w:rPr>
            </w:pPr>
            <w:r w:rsidRPr="00925134">
              <w:rPr>
                <w:rFonts w:ascii="Verdana" w:hAnsi="Verdana"/>
                <w:b/>
                <w:bCs/>
                <w:color w:val="0070AD"/>
                <w:sz w:val="14"/>
                <w:szCs w:val="14"/>
                <w:lang w:val="en-US"/>
              </w:rPr>
              <w:t>+4</w:t>
            </w:r>
            <w:r w:rsidR="00D1738E" w:rsidRPr="00925134">
              <w:rPr>
                <w:rFonts w:ascii="Verdana" w:hAnsi="Verdana"/>
                <w:b/>
                <w:bCs/>
                <w:color w:val="0070AD"/>
                <w:sz w:val="14"/>
                <w:szCs w:val="14"/>
                <w:lang w:val="en-US"/>
              </w:rPr>
              <w:t>.</w:t>
            </w:r>
            <w:r w:rsidRPr="00925134">
              <w:rPr>
                <w:rFonts w:ascii="Verdana" w:hAnsi="Verdana"/>
                <w:b/>
                <w:bCs/>
                <w:color w:val="0070AD"/>
                <w:sz w:val="14"/>
                <w:szCs w:val="14"/>
                <w:lang w:val="en-US"/>
              </w:rPr>
              <w:t>0</w:t>
            </w:r>
            <w:r w:rsidR="005848A4" w:rsidRPr="00925134">
              <w:rPr>
                <w:rFonts w:ascii="Verdana" w:hAnsi="Verdana"/>
                <w:b/>
                <w:bCs/>
                <w:color w:val="0070AD"/>
                <w:sz w:val="14"/>
                <w:szCs w:val="14"/>
                <w:lang w:val="en-US"/>
              </w:rPr>
              <w:t>%</w:t>
            </w:r>
          </w:p>
        </w:tc>
        <w:tc>
          <w:tcPr>
            <w:tcW w:w="51" w:type="dxa"/>
            <w:tcBorders>
              <w:top w:val="nil"/>
              <w:left w:val="nil"/>
              <w:bottom w:val="single" w:sz="8" w:space="0" w:color="0070AD"/>
              <w:right w:val="nil"/>
            </w:tcBorders>
            <w:shd w:val="clear" w:color="auto" w:fill="auto"/>
            <w:vAlign w:val="center"/>
          </w:tcPr>
          <w:p w14:paraId="225A949E" w14:textId="77777777" w:rsidR="005848A4" w:rsidRPr="00925134" w:rsidRDefault="005848A4" w:rsidP="005848A4">
            <w:pPr>
              <w:jc w:val="center"/>
              <w:rPr>
                <w:rFonts w:ascii="Verdana" w:hAnsi="Verdana"/>
                <w:b/>
                <w:bCs/>
                <w:color w:val="0070AD"/>
                <w:sz w:val="14"/>
                <w:szCs w:val="14"/>
                <w:lang w:val="en-US"/>
              </w:rPr>
            </w:pPr>
          </w:p>
        </w:tc>
        <w:tc>
          <w:tcPr>
            <w:tcW w:w="1416" w:type="dxa"/>
            <w:tcBorders>
              <w:top w:val="nil"/>
              <w:left w:val="nil"/>
              <w:bottom w:val="single" w:sz="8" w:space="0" w:color="0070AD"/>
              <w:right w:val="nil"/>
            </w:tcBorders>
            <w:shd w:val="clear" w:color="auto" w:fill="auto"/>
            <w:vAlign w:val="center"/>
          </w:tcPr>
          <w:p w14:paraId="0804336A" w14:textId="77777777" w:rsidR="005848A4" w:rsidRPr="00925134" w:rsidRDefault="005848A4" w:rsidP="005848A4">
            <w:pPr>
              <w:jc w:val="center"/>
              <w:rPr>
                <w:rFonts w:ascii="Verdana" w:hAnsi="Verdana"/>
                <w:b/>
                <w:bCs/>
                <w:color w:val="0070AD"/>
                <w:sz w:val="14"/>
                <w:szCs w:val="14"/>
                <w:lang w:val="en-US"/>
              </w:rPr>
            </w:pPr>
            <w:r w:rsidRPr="00925134">
              <w:rPr>
                <w:rFonts w:ascii="Verdana" w:hAnsi="Verdana"/>
                <w:b/>
                <w:bCs/>
                <w:color w:val="0070AD"/>
                <w:sz w:val="14"/>
                <w:szCs w:val="14"/>
                <w:lang w:val="en-US"/>
              </w:rPr>
              <w:t>11</w:t>
            </w:r>
            <w:r w:rsidR="00D1738E" w:rsidRPr="00925134">
              <w:rPr>
                <w:rFonts w:ascii="Verdana" w:hAnsi="Verdana"/>
                <w:b/>
                <w:bCs/>
                <w:color w:val="0070AD"/>
                <w:sz w:val="14"/>
                <w:szCs w:val="14"/>
                <w:lang w:val="en-US"/>
              </w:rPr>
              <w:t>.</w:t>
            </w:r>
            <w:r w:rsidRPr="00925134">
              <w:rPr>
                <w:rFonts w:ascii="Verdana" w:hAnsi="Verdana"/>
                <w:b/>
                <w:bCs/>
                <w:color w:val="0070AD"/>
                <w:sz w:val="14"/>
                <w:szCs w:val="14"/>
                <w:lang w:val="en-US"/>
              </w:rPr>
              <w:t>5%</w:t>
            </w:r>
          </w:p>
        </w:tc>
        <w:tc>
          <w:tcPr>
            <w:tcW w:w="1416" w:type="dxa"/>
            <w:tcBorders>
              <w:top w:val="single" w:sz="8" w:space="0" w:color="0070AD" w:themeColor="accent1"/>
              <w:bottom w:val="single" w:sz="8" w:space="0" w:color="0070AD" w:themeColor="accent1"/>
            </w:tcBorders>
            <w:shd w:val="clear" w:color="auto" w:fill="BBE7FF" w:themeFill="accent1" w:themeFillTint="33"/>
            <w:vAlign w:val="center"/>
          </w:tcPr>
          <w:p w14:paraId="24351DF6" w14:textId="77777777" w:rsidR="005848A4" w:rsidRPr="00925134" w:rsidRDefault="005848A4" w:rsidP="005848A4">
            <w:pPr>
              <w:pStyle w:val="TableParagraph"/>
              <w:keepNext/>
              <w:spacing w:before="27"/>
              <w:ind w:right="1"/>
              <w:jc w:val="center"/>
              <w:rPr>
                <w:b/>
                <w:color w:val="0070AD"/>
                <w:sz w:val="14"/>
                <w:szCs w:val="14"/>
              </w:rPr>
            </w:pPr>
            <w:r w:rsidRPr="00925134">
              <w:rPr>
                <w:b/>
                <w:color w:val="0070AD"/>
                <w:sz w:val="14"/>
                <w:szCs w:val="14"/>
              </w:rPr>
              <w:t>11</w:t>
            </w:r>
            <w:r w:rsidR="00D1738E" w:rsidRPr="00925134">
              <w:rPr>
                <w:b/>
                <w:color w:val="0070AD"/>
                <w:sz w:val="14"/>
                <w:szCs w:val="14"/>
              </w:rPr>
              <w:t>.</w:t>
            </w:r>
            <w:r w:rsidR="006272C2" w:rsidRPr="00925134">
              <w:rPr>
                <w:b/>
                <w:color w:val="0070AD"/>
                <w:sz w:val="14"/>
                <w:szCs w:val="14"/>
              </w:rPr>
              <w:t>7</w:t>
            </w:r>
            <w:r w:rsidRPr="00925134">
              <w:rPr>
                <w:b/>
                <w:color w:val="0070AD"/>
                <w:sz w:val="14"/>
                <w:szCs w:val="14"/>
              </w:rPr>
              <w:t>%</w:t>
            </w:r>
          </w:p>
        </w:tc>
      </w:tr>
      <w:bookmarkEnd w:id="28"/>
    </w:tbl>
    <w:p w14:paraId="1F85BB50" w14:textId="77777777" w:rsidR="003E11DB" w:rsidRPr="00925134" w:rsidRDefault="003E11DB" w:rsidP="003E11DB">
      <w:pPr>
        <w:spacing w:before="120" w:after="120"/>
        <w:rPr>
          <w:b/>
          <w:caps/>
          <w:lang w:val="en-US"/>
        </w:rPr>
      </w:pPr>
    </w:p>
    <w:p w14:paraId="686FBF28" w14:textId="77777777" w:rsidR="003E11DB" w:rsidRPr="00925134" w:rsidRDefault="00D1738E" w:rsidP="003E11DB">
      <w:pPr>
        <w:pStyle w:val="Overskrift1"/>
        <w:rPr>
          <w:lang w:val="en-US"/>
        </w:rPr>
      </w:pPr>
      <w:bookmarkStart w:id="29" w:name="_Hlk501462813"/>
      <w:r w:rsidRPr="00925134">
        <w:rPr>
          <w:lang w:val="en-US"/>
        </w:rPr>
        <w:t>SUMMARY INCOME STATEMENT AND OPERATING MARGIN</w:t>
      </w:r>
    </w:p>
    <w:tbl>
      <w:tblPr>
        <w:tblW w:w="9865" w:type="dxa"/>
        <w:jc w:val="center"/>
        <w:tblLook w:val="04A0" w:firstRow="1" w:lastRow="0" w:firstColumn="1" w:lastColumn="0" w:noHBand="0" w:noVBand="1"/>
      </w:tblPr>
      <w:tblGrid>
        <w:gridCol w:w="5783"/>
        <w:gridCol w:w="1474"/>
        <w:gridCol w:w="1474"/>
        <w:gridCol w:w="1134"/>
      </w:tblGrid>
      <w:tr w:rsidR="00EC2B31" w:rsidRPr="00925134" w14:paraId="583A4A5B" w14:textId="77777777" w:rsidTr="00EC2B31">
        <w:trPr>
          <w:trHeight w:val="284"/>
          <w:jc w:val="center"/>
        </w:trPr>
        <w:tc>
          <w:tcPr>
            <w:tcW w:w="5783" w:type="dxa"/>
            <w:tcBorders>
              <w:bottom w:val="single" w:sz="8" w:space="0" w:color="0070AD" w:themeColor="accent1"/>
            </w:tcBorders>
            <w:vAlign w:val="center"/>
          </w:tcPr>
          <w:p w14:paraId="22054C3B" w14:textId="77777777" w:rsidR="00EC2B31" w:rsidRPr="00925134" w:rsidRDefault="00EC2B31" w:rsidP="00EC2B31">
            <w:pPr>
              <w:keepNext/>
              <w:jc w:val="center"/>
              <w:rPr>
                <w:rFonts w:cs="Arial"/>
                <w:i/>
                <w:sz w:val="14"/>
                <w:szCs w:val="14"/>
                <w:lang w:val="en-US"/>
              </w:rPr>
            </w:pPr>
            <w:r w:rsidRPr="00925134">
              <w:rPr>
                <w:rFonts w:ascii="Arial" w:hAnsi="Arial"/>
                <w:i/>
                <w:sz w:val="14"/>
                <w:szCs w:val="16"/>
                <w:lang w:val="en-US"/>
              </w:rPr>
              <w:t>(In millions of euros)</w:t>
            </w:r>
          </w:p>
        </w:tc>
        <w:tc>
          <w:tcPr>
            <w:tcW w:w="1474" w:type="dxa"/>
            <w:tcBorders>
              <w:bottom w:val="single" w:sz="8" w:space="0" w:color="0070AD" w:themeColor="accent1"/>
            </w:tcBorders>
            <w:vAlign w:val="center"/>
          </w:tcPr>
          <w:p w14:paraId="404A4016" w14:textId="77777777" w:rsidR="00EC2B31" w:rsidRPr="00925134" w:rsidRDefault="00EC2B31" w:rsidP="00EC2B31">
            <w:pPr>
              <w:keepNext/>
              <w:jc w:val="center"/>
              <w:rPr>
                <w:b/>
                <w:sz w:val="14"/>
                <w:szCs w:val="14"/>
                <w:lang w:val="en-US"/>
              </w:rPr>
            </w:pPr>
            <w:r w:rsidRPr="00925134">
              <w:rPr>
                <w:rFonts w:cs="Arial"/>
                <w:b/>
                <w:sz w:val="14"/>
                <w:szCs w:val="14"/>
                <w:lang w:val="en-US"/>
              </w:rPr>
              <w:t>2016</w:t>
            </w:r>
          </w:p>
        </w:tc>
        <w:tc>
          <w:tcPr>
            <w:tcW w:w="1474" w:type="dxa"/>
            <w:tcBorders>
              <w:bottom w:val="single" w:sz="8" w:space="0" w:color="0070AD" w:themeColor="accent1"/>
            </w:tcBorders>
            <w:shd w:val="clear" w:color="auto" w:fill="BBE7FF" w:themeFill="accent1" w:themeFillTint="33"/>
            <w:vAlign w:val="center"/>
          </w:tcPr>
          <w:p w14:paraId="7B895EDC" w14:textId="77777777" w:rsidR="00EC2B31" w:rsidRPr="00925134" w:rsidRDefault="00EC2B31" w:rsidP="00EC2B31">
            <w:pPr>
              <w:keepNext/>
              <w:jc w:val="center"/>
              <w:rPr>
                <w:b/>
                <w:sz w:val="14"/>
                <w:szCs w:val="14"/>
                <w:lang w:val="en-US"/>
              </w:rPr>
            </w:pPr>
            <w:r w:rsidRPr="00925134">
              <w:rPr>
                <w:rFonts w:cs="Arial"/>
                <w:b/>
                <w:sz w:val="14"/>
                <w:szCs w:val="14"/>
                <w:lang w:val="en-US"/>
              </w:rPr>
              <w:t>2017</w:t>
            </w:r>
          </w:p>
        </w:tc>
        <w:tc>
          <w:tcPr>
            <w:tcW w:w="1134" w:type="dxa"/>
            <w:tcBorders>
              <w:bottom w:val="single" w:sz="8" w:space="0" w:color="0070AD" w:themeColor="accent1"/>
            </w:tcBorders>
            <w:shd w:val="clear" w:color="auto" w:fill="auto"/>
            <w:vAlign w:val="center"/>
          </w:tcPr>
          <w:p w14:paraId="60091A14" w14:textId="77777777" w:rsidR="00EC2B31" w:rsidRPr="00925134" w:rsidRDefault="00EC2B31" w:rsidP="00EC2B31">
            <w:pPr>
              <w:keepNext/>
              <w:jc w:val="center"/>
              <w:rPr>
                <w:b/>
                <w:i/>
                <w:sz w:val="14"/>
                <w:szCs w:val="14"/>
                <w:lang w:val="en-US"/>
              </w:rPr>
            </w:pPr>
            <w:r w:rsidRPr="00925134">
              <w:rPr>
                <w:rFonts w:cs="Arial"/>
                <w:b/>
                <w:i/>
                <w:sz w:val="14"/>
                <w:szCs w:val="14"/>
                <w:lang w:val="en-US"/>
              </w:rPr>
              <w:t>Change</w:t>
            </w:r>
          </w:p>
        </w:tc>
      </w:tr>
      <w:tr w:rsidR="00EC2B31" w:rsidRPr="00925134" w14:paraId="6DD6B3EF" w14:textId="77777777" w:rsidTr="00EC2B31">
        <w:trPr>
          <w:trHeight w:val="227"/>
          <w:jc w:val="center"/>
        </w:trPr>
        <w:tc>
          <w:tcPr>
            <w:tcW w:w="5783" w:type="dxa"/>
            <w:tcBorders>
              <w:top w:val="single" w:sz="8" w:space="0" w:color="0070AD" w:themeColor="accent1"/>
              <w:bottom w:val="single" w:sz="8" w:space="0" w:color="0070AD" w:themeColor="accent1"/>
            </w:tcBorders>
            <w:vAlign w:val="center"/>
          </w:tcPr>
          <w:p w14:paraId="4F435DC6" w14:textId="77777777" w:rsidR="00EC2B31" w:rsidRPr="00925134" w:rsidRDefault="00EC2B31" w:rsidP="00EC2B31">
            <w:pPr>
              <w:keepNext/>
              <w:rPr>
                <w:rFonts w:asciiTheme="majorHAnsi" w:hAnsiTheme="majorHAnsi" w:cs="Arial"/>
                <w:b/>
                <w:color w:val="0070AD"/>
                <w:sz w:val="14"/>
                <w:szCs w:val="14"/>
                <w:lang w:val="en-US"/>
              </w:rPr>
            </w:pPr>
            <w:r w:rsidRPr="00925134">
              <w:rPr>
                <w:rFonts w:asciiTheme="majorHAnsi" w:hAnsiTheme="majorHAnsi"/>
                <w:b/>
                <w:color w:val="0070AD"/>
                <w:sz w:val="14"/>
                <w:lang w:val="en-US"/>
              </w:rPr>
              <w:t xml:space="preserve">Revenues </w:t>
            </w:r>
          </w:p>
        </w:tc>
        <w:tc>
          <w:tcPr>
            <w:tcW w:w="1474" w:type="dxa"/>
            <w:tcBorders>
              <w:top w:val="single" w:sz="8" w:space="0" w:color="0070AD" w:themeColor="accent1"/>
              <w:bottom w:val="single" w:sz="8" w:space="0" w:color="0070AD" w:themeColor="accent1"/>
            </w:tcBorders>
            <w:shd w:val="clear" w:color="auto" w:fill="auto"/>
            <w:vAlign w:val="center"/>
          </w:tcPr>
          <w:p w14:paraId="6671512A" w14:textId="77777777" w:rsidR="00EC2B31" w:rsidRPr="00925134" w:rsidRDefault="00EC2B31" w:rsidP="00EC2B31">
            <w:pPr>
              <w:keepNext/>
              <w:ind w:left="-170" w:right="397"/>
              <w:jc w:val="right"/>
              <w:rPr>
                <w:b/>
                <w:color w:val="0070AD" w:themeColor="accent1"/>
                <w:sz w:val="14"/>
                <w:szCs w:val="14"/>
                <w:lang w:val="en-US"/>
              </w:rPr>
            </w:pPr>
            <w:r w:rsidRPr="00925134">
              <w:rPr>
                <w:rFonts w:cs="Arial"/>
                <w:b/>
                <w:color w:val="0070AD" w:themeColor="accent1"/>
                <w:sz w:val="14"/>
                <w:szCs w:val="14"/>
                <w:lang w:val="en-US"/>
              </w:rPr>
              <w:t>12,539</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443A91A" w14:textId="77777777" w:rsidR="00EC2B31" w:rsidRPr="00925134" w:rsidRDefault="00EC2B31" w:rsidP="00EC2B31">
            <w:pPr>
              <w:keepNext/>
              <w:ind w:left="-170" w:right="397"/>
              <w:jc w:val="right"/>
              <w:rPr>
                <w:b/>
                <w:color w:val="0070AD" w:themeColor="accent1"/>
                <w:sz w:val="14"/>
                <w:szCs w:val="14"/>
                <w:lang w:val="en-US"/>
              </w:rPr>
            </w:pPr>
            <w:r w:rsidRPr="00925134">
              <w:rPr>
                <w:rFonts w:cs="Arial"/>
                <w:b/>
                <w:color w:val="0070AD" w:themeColor="accent1"/>
                <w:sz w:val="14"/>
                <w:szCs w:val="14"/>
                <w:lang w:val="en-US"/>
              </w:rPr>
              <w:t>12,792</w:t>
            </w:r>
          </w:p>
        </w:tc>
        <w:tc>
          <w:tcPr>
            <w:tcW w:w="1134" w:type="dxa"/>
            <w:tcBorders>
              <w:top w:val="single" w:sz="8" w:space="0" w:color="0070AD" w:themeColor="accent1"/>
              <w:bottom w:val="single" w:sz="8" w:space="0" w:color="0070AD" w:themeColor="accent1"/>
            </w:tcBorders>
            <w:shd w:val="clear" w:color="auto" w:fill="auto"/>
            <w:vAlign w:val="center"/>
          </w:tcPr>
          <w:p w14:paraId="52BB130D" w14:textId="77777777" w:rsidR="00EC2B31" w:rsidRPr="00925134" w:rsidRDefault="00EC2B31" w:rsidP="00EC2B31">
            <w:pPr>
              <w:keepNext/>
              <w:jc w:val="center"/>
              <w:rPr>
                <w:b/>
                <w:color w:val="0070AD" w:themeColor="accent1"/>
                <w:sz w:val="14"/>
                <w:szCs w:val="14"/>
                <w:lang w:val="en-US"/>
              </w:rPr>
            </w:pPr>
            <w:r w:rsidRPr="00925134">
              <w:rPr>
                <w:rFonts w:cs="Arial"/>
                <w:b/>
                <w:color w:val="0070AD" w:themeColor="accent1"/>
                <w:sz w:val="14"/>
                <w:szCs w:val="14"/>
                <w:lang w:val="en-US"/>
              </w:rPr>
              <w:t>+2.0%</w:t>
            </w:r>
          </w:p>
        </w:tc>
      </w:tr>
      <w:tr w:rsidR="00EC2B31" w:rsidRPr="00925134" w14:paraId="4229900D" w14:textId="77777777" w:rsidTr="00EC2B31">
        <w:trPr>
          <w:trHeight w:val="227"/>
          <w:jc w:val="center"/>
        </w:trPr>
        <w:tc>
          <w:tcPr>
            <w:tcW w:w="5783" w:type="dxa"/>
            <w:tcBorders>
              <w:top w:val="single" w:sz="8" w:space="0" w:color="0070AD" w:themeColor="accent1"/>
              <w:bottom w:val="single" w:sz="8" w:space="0" w:color="0070AD" w:themeColor="accent1"/>
            </w:tcBorders>
            <w:vAlign w:val="center"/>
          </w:tcPr>
          <w:p w14:paraId="60C1CC56" w14:textId="77777777" w:rsidR="00EC2B31" w:rsidRPr="00925134" w:rsidRDefault="00EC2B31" w:rsidP="00EC2B31">
            <w:pPr>
              <w:keepNext/>
              <w:ind w:left="149"/>
              <w:rPr>
                <w:rFonts w:asciiTheme="majorHAnsi" w:hAnsiTheme="majorHAnsi" w:cs="Arial"/>
                <w:sz w:val="14"/>
                <w:szCs w:val="14"/>
                <w:lang w:val="en-US"/>
              </w:rPr>
            </w:pPr>
            <w:r w:rsidRPr="00925134">
              <w:rPr>
                <w:rFonts w:asciiTheme="majorHAnsi" w:hAnsiTheme="majorHAnsi"/>
                <w:sz w:val="14"/>
                <w:lang w:val="en-US"/>
              </w:rPr>
              <w:t>Operating expenses</w:t>
            </w:r>
          </w:p>
        </w:tc>
        <w:tc>
          <w:tcPr>
            <w:tcW w:w="1474" w:type="dxa"/>
            <w:tcBorders>
              <w:top w:val="single" w:sz="8" w:space="0" w:color="0070AD" w:themeColor="accent1"/>
              <w:bottom w:val="single" w:sz="8" w:space="0" w:color="0070AD" w:themeColor="accent1"/>
            </w:tcBorders>
            <w:shd w:val="clear" w:color="auto" w:fill="auto"/>
            <w:vAlign w:val="center"/>
          </w:tcPr>
          <w:p w14:paraId="05C8EA78" w14:textId="77777777" w:rsidR="00EC2B31" w:rsidRPr="00925134" w:rsidRDefault="00EC2B31" w:rsidP="00EC2B31">
            <w:pPr>
              <w:keepNext/>
              <w:ind w:left="-170" w:right="397"/>
              <w:jc w:val="right"/>
              <w:rPr>
                <w:sz w:val="14"/>
                <w:szCs w:val="14"/>
                <w:lang w:val="en-US"/>
              </w:rPr>
            </w:pPr>
            <w:r w:rsidRPr="00925134">
              <w:rPr>
                <w:rFonts w:cs="Arial"/>
                <w:sz w:val="14"/>
                <w:szCs w:val="14"/>
                <w:lang w:val="en-US"/>
              </w:rPr>
              <w:t>(11,099)</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07D7AE4D" w14:textId="77777777" w:rsidR="00EC2B31" w:rsidRPr="00925134" w:rsidRDefault="00EC2B31" w:rsidP="00EC2B31">
            <w:pPr>
              <w:keepNext/>
              <w:ind w:left="-170" w:right="397"/>
              <w:jc w:val="right"/>
              <w:rPr>
                <w:sz w:val="14"/>
                <w:szCs w:val="14"/>
                <w:lang w:val="en-US"/>
              </w:rPr>
            </w:pPr>
            <w:r w:rsidRPr="00925134">
              <w:rPr>
                <w:rFonts w:cs="Arial"/>
                <w:sz w:val="14"/>
                <w:szCs w:val="14"/>
                <w:lang w:val="en-US"/>
              </w:rPr>
              <w:t>(11,299)</w:t>
            </w:r>
          </w:p>
        </w:tc>
        <w:tc>
          <w:tcPr>
            <w:tcW w:w="1134" w:type="dxa"/>
            <w:tcBorders>
              <w:top w:val="single" w:sz="8" w:space="0" w:color="0070AD" w:themeColor="accent1"/>
              <w:bottom w:val="single" w:sz="8" w:space="0" w:color="0070AD" w:themeColor="accent1"/>
            </w:tcBorders>
            <w:shd w:val="clear" w:color="auto" w:fill="auto"/>
            <w:vAlign w:val="center"/>
          </w:tcPr>
          <w:p w14:paraId="784675FE" w14:textId="77777777" w:rsidR="00EC2B31" w:rsidRPr="00925134" w:rsidRDefault="00EC2B31" w:rsidP="00EC2B31">
            <w:pPr>
              <w:keepNext/>
              <w:jc w:val="center"/>
              <w:rPr>
                <w:sz w:val="14"/>
                <w:szCs w:val="14"/>
                <w:lang w:val="en-US"/>
              </w:rPr>
            </w:pPr>
          </w:p>
        </w:tc>
      </w:tr>
      <w:tr w:rsidR="00EC2B31" w:rsidRPr="00925134" w14:paraId="200243BB" w14:textId="77777777" w:rsidTr="00EC2B31">
        <w:trPr>
          <w:trHeight w:val="227"/>
          <w:jc w:val="center"/>
        </w:trPr>
        <w:tc>
          <w:tcPr>
            <w:tcW w:w="5783" w:type="dxa"/>
            <w:tcBorders>
              <w:top w:val="single" w:sz="8" w:space="0" w:color="0070AD" w:themeColor="accent1"/>
              <w:bottom w:val="single" w:sz="8" w:space="0" w:color="0070AD" w:themeColor="accent1"/>
            </w:tcBorders>
            <w:vAlign w:val="center"/>
          </w:tcPr>
          <w:p w14:paraId="4F882973" w14:textId="77777777" w:rsidR="00EC2B31" w:rsidRPr="00925134" w:rsidRDefault="00EC2B31" w:rsidP="00EC2B31">
            <w:pPr>
              <w:keepNext/>
              <w:rPr>
                <w:rFonts w:asciiTheme="majorHAnsi" w:hAnsiTheme="majorHAnsi" w:cs="Arial"/>
                <w:b/>
                <w:color w:val="0070AD"/>
                <w:sz w:val="14"/>
                <w:szCs w:val="14"/>
                <w:lang w:val="en-US"/>
              </w:rPr>
            </w:pPr>
            <w:r w:rsidRPr="00925134">
              <w:rPr>
                <w:rFonts w:asciiTheme="majorHAnsi" w:hAnsiTheme="majorHAnsi"/>
                <w:b/>
                <w:color w:val="0070AD"/>
                <w:sz w:val="14"/>
                <w:lang w:val="en-US"/>
              </w:rPr>
              <w:t>Operating margin</w:t>
            </w:r>
          </w:p>
        </w:tc>
        <w:tc>
          <w:tcPr>
            <w:tcW w:w="1474" w:type="dxa"/>
            <w:tcBorders>
              <w:top w:val="single" w:sz="8" w:space="0" w:color="0070AD" w:themeColor="accent1"/>
              <w:bottom w:val="single" w:sz="8" w:space="0" w:color="0070AD" w:themeColor="accent1"/>
            </w:tcBorders>
            <w:shd w:val="clear" w:color="auto" w:fill="auto"/>
            <w:vAlign w:val="center"/>
          </w:tcPr>
          <w:p w14:paraId="35AAFBBE" w14:textId="77777777" w:rsidR="00EC2B31" w:rsidRPr="00925134" w:rsidRDefault="00EC2B31" w:rsidP="00EC2B31">
            <w:pPr>
              <w:keepNext/>
              <w:ind w:left="-170" w:right="397"/>
              <w:jc w:val="right"/>
              <w:rPr>
                <w:b/>
                <w:color w:val="0070AD" w:themeColor="accent1"/>
                <w:sz w:val="14"/>
                <w:szCs w:val="14"/>
                <w:lang w:val="en-US"/>
              </w:rPr>
            </w:pPr>
            <w:r w:rsidRPr="00925134">
              <w:rPr>
                <w:rFonts w:cs="Arial"/>
                <w:b/>
                <w:color w:val="0070AD" w:themeColor="accent1"/>
                <w:sz w:val="14"/>
                <w:szCs w:val="14"/>
                <w:lang w:val="en-US"/>
              </w:rPr>
              <w:t>1,440</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7B886F21" w14:textId="77777777" w:rsidR="00EC2B31" w:rsidRPr="00925134" w:rsidRDefault="00EC2B31" w:rsidP="00EC2B31">
            <w:pPr>
              <w:keepNext/>
              <w:ind w:left="-170" w:right="397"/>
              <w:jc w:val="right"/>
              <w:rPr>
                <w:b/>
                <w:color w:val="0070AD" w:themeColor="accent1"/>
                <w:sz w:val="14"/>
                <w:szCs w:val="14"/>
                <w:lang w:val="en-US"/>
              </w:rPr>
            </w:pPr>
            <w:r w:rsidRPr="00925134">
              <w:rPr>
                <w:rFonts w:cs="Arial"/>
                <w:b/>
                <w:color w:val="0070AD" w:themeColor="accent1"/>
                <w:sz w:val="14"/>
                <w:szCs w:val="14"/>
                <w:lang w:val="en-US"/>
              </w:rPr>
              <w:t>1,493</w:t>
            </w:r>
          </w:p>
        </w:tc>
        <w:tc>
          <w:tcPr>
            <w:tcW w:w="1134" w:type="dxa"/>
            <w:tcBorders>
              <w:top w:val="single" w:sz="8" w:space="0" w:color="0070AD" w:themeColor="accent1"/>
              <w:bottom w:val="single" w:sz="8" w:space="0" w:color="0070AD" w:themeColor="accent1"/>
            </w:tcBorders>
            <w:shd w:val="clear" w:color="auto" w:fill="auto"/>
            <w:vAlign w:val="center"/>
          </w:tcPr>
          <w:p w14:paraId="3C1C2D4A" w14:textId="77777777" w:rsidR="00EC2B31" w:rsidRPr="00925134" w:rsidRDefault="00EC2B31" w:rsidP="00EC2B31">
            <w:pPr>
              <w:keepNext/>
              <w:jc w:val="center"/>
              <w:rPr>
                <w:b/>
                <w:color w:val="0070AD" w:themeColor="accent1"/>
                <w:sz w:val="14"/>
                <w:szCs w:val="14"/>
                <w:lang w:val="en-US"/>
              </w:rPr>
            </w:pPr>
            <w:r w:rsidRPr="00925134">
              <w:rPr>
                <w:rFonts w:cs="Arial"/>
                <w:b/>
                <w:color w:val="0070AD" w:themeColor="accent1"/>
                <w:sz w:val="14"/>
                <w:szCs w:val="14"/>
                <w:lang w:val="en-US"/>
              </w:rPr>
              <w:t>+4%</w:t>
            </w:r>
          </w:p>
        </w:tc>
      </w:tr>
      <w:tr w:rsidR="00EC2B31" w:rsidRPr="00925134" w14:paraId="226728C3" w14:textId="77777777" w:rsidTr="00EC2B31">
        <w:trPr>
          <w:trHeight w:val="227"/>
          <w:jc w:val="center"/>
        </w:trPr>
        <w:tc>
          <w:tcPr>
            <w:tcW w:w="5783" w:type="dxa"/>
            <w:tcBorders>
              <w:top w:val="single" w:sz="8" w:space="0" w:color="0070AD" w:themeColor="accent1"/>
            </w:tcBorders>
            <w:vAlign w:val="center"/>
          </w:tcPr>
          <w:p w14:paraId="11ED1A3A" w14:textId="77777777" w:rsidR="00EC2B31" w:rsidRPr="00925134" w:rsidRDefault="00EC2B31" w:rsidP="00EC2B31">
            <w:pPr>
              <w:keepNext/>
              <w:rPr>
                <w:rFonts w:asciiTheme="majorHAnsi" w:hAnsiTheme="majorHAnsi" w:cs="Arial"/>
                <w:i/>
                <w:sz w:val="14"/>
                <w:szCs w:val="14"/>
                <w:lang w:val="en-US"/>
              </w:rPr>
            </w:pPr>
            <w:r w:rsidRPr="00925134">
              <w:rPr>
                <w:rFonts w:asciiTheme="majorHAnsi" w:hAnsiTheme="majorHAnsi"/>
                <w:sz w:val="14"/>
                <w:lang w:val="en-US"/>
              </w:rPr>
              <w:t>as a % of revenues</w:t>
            </w:r>
          </w:p>
        </w:tc>
        <w:tc>
          <w:tcPr>
            <w:tcW w:w="1474" w:type="dxa"/>
            <w:tcBorders>
              <w:top w:val="single" w:sz="8" w:space="0" w:color="0070AD" w:themeColor="accent1"/>
            </w:tcBorders>
            <w:shd w:val="clear" w:color="auto" w:fill="auto"/>
            <w:vAlign w:val="center"/>
          </w:tcPr>
          <w:p w14:paraId="5013ECE0" w14:textId="77777777" w:rsidR="00EC2B31" w:rsidRPr="00925134" w:rsidRDefault="00EC2B31" w:rsidP="00EC2B31">
            <w:pPr>
              <w:keepNext/>
              <w:ind w:left="-170" w:right="397"/>
              <w:jc w:val="right"/>
              <w:rPr>
                <w:rFonts w:cs="Arial"/>
                <w:i/>
                <w:sz w:val="14"/>
                <w:szCs w:val="14"/>
                <w:lang w:val="en-US"/>
              </w:rPr>
            </w:pPr>
            <w:r w:rsidRPr="00925134">
              <w:rPr>
                <w:rFonts w:cs="Arial"/>
                <w:i/>
                <w:sz w:val="14"/>
                <w:szCs w:val="14"/>
                <w:lang w:val="en-US"/>
              </w:rPr>
              <w:t>11.5%</w:t>
            </w:r>
          </w:p>
        </w:tc>
        <w:tc>
          <w:tcPr>
            <w:tcW w:w="1474" w:type="dxa"/>
            <w:tcBorders>
              <w:top w:val="single" w:sz="8" w:space="0" w:color="0070AD" w:themeColor="accent1"/>
            </w:tcBorders>
            <w:shd w:val="clear" w:color="auto" w:fill="BBE7FF" w:themeFill="accent1" w:themeFillTint="33"/>
            <w:vAlign w:val="center"/>
          </w:tcPr>
          <w:p w14:paraId="277323FE" w14:textId="77777777" w:rsidR="00EC2B31" w:rsidRPr="00925134" w:rsidRDefault="00EC2B31" w:rsidP="00EC2B31">
            <w:pPr>
              <w:keepNext/>
              <w:ind w:left="-170" w:right="397"/>
              <w:jc w:val="right"/>
              <w:rPr>
                <w:rFonts w:cs="Arial"/>
                <w:i/>
                <w:sz w:val="14"/>
                <w:szCs w:val="14"/>
                <w:lang w:val="en-US"/>
              </w:rPr>
            </w:pPr>
            <w:r w:rsidRPr="00925134">
              <w:rPr>
                <w:rFonts w:cs="Arial"/>
                <w:i/>
                <w:sz w:val="14"/>
                <w:szCs w:val="14"/>
                <w:lang w:val="en-US"/>
              </w:rPr>
              <w:t>11.7%</w:t>
            </w:r>
          </w:p>
        </w:tc>
        <w:tc>
          <w:tcPr>
            <w:tcW w:w="1134" w:type="dxa"/>
            <w:tcBorders>
              <w:top w:val="single" w:sz="8" w:space="0" w:color="0070AD" w:themeColor="accent1"/>
            </w:tcBorders>
            <w:shd w:val="clear" w:color="auto" w:fill="auto"/>
            <w:vAlign w:val="center"/>
          </w:tcPr>
          <w:p w14:paraId="0738A038" w14:textId="77777777" w:rsidR="00EC2B31" w:rsidRPr="00925134" w:rsidRDefault="00EC2B31" w:rsidP="00EC2B31">
            <w:pPr>
              <w:keepNext/>
              <w:jc w:val="center"/>
              <w:rPr>
                <w:rFonts w:cs="Arial"/>
                <w:i/>
                <w:sz w:val="14"/>
                <w:szCs w:val="14"/>
                <w:lang w:val="en-US"/>
              </w:rPr>
            </w:pPr>
            <w:r w:rsidRPr="00925134">
              <w:rPr>
                <w:rFonts w:cs="Arial"/>
                <w:i/>
                <w:sz w:val="14"/>
                <w:szCs w:val="14"/>
                <w:lang w:val="en-US"/>
              </w:rPr>
              <w:t>+20bp</w:t>
            </w:r>
          </w:p>
        </w:tc>
      </w:tr>
      <w:tr w:rsidR="00EC2B31" w:rsidRPr="00925134" w14:paraId="6E5A5239" w14:textId="77777777" w:rsidTr="00EC2B31">
        <w:trPr>
          <w:trHeight w:val="227"/>
          <w:jc w:val="center"/>
        </w:trPr>
        <w:tc>
          <w:tcPr>
            <w:tcW w:w="5783" w:type="dxa"/>
            <w:tcBorders>
              <w:bottom w:val="single" w:sz="8" w:space="0" w:color="0070AD" w:themeColor="accent1"/>
            </w:tcBorders>
            <w:vAlign w:val="center"/>
          </w:tcPr>
          <w:p w14:paraId="6A937EF4" w14:textId="77777777" w:rsidR="00EC2B31" w:rsidRPr="00925134" w:rsidRDefault="00EC2B31" w:rsidP="00EC2B31">
            <w:pPr>
              <w:keepNext/>
              <w:ind w:left="149"/>
              <w:rPr>
                <w:rFonts w:asciiTheme="majorHAnsi" w:hAnsiTheme="majorHAnsi" w:cs="Arial"/>
                <w:sz w:val="14"/>
                <w:szCs w:val="14"/>
                <w:lang w:val="en-US"/>
              </w:rPr>
            </w:pPr>
            <w:r w:rsidRPr="00925134">
              <w:rPr>
                <w:rFonts w:asciiTheme="majorHAnsi" w:hAnsiTheme="majorHAnsi"/>
                <w:sz w:val="14"/>
                <w:lang w:val="en-US"/>
              </w:rPr>
              <w:t>Other operating income and expense</w:t>
            </w:r>
          </w:p>
        </w:tc>
        <w:tc>
          <w:tcPr>
            <w:tcW w:w="1474" w:type="dxa"/>
            <w:tcBorders>
              <w:bottom w:val="single" w:sz="8" w:space="0" w:color="0070AD" w:themeColor="accent1"/>
            </w:tcBorders>
            <w:shd w:val="clear" w:color="auto" w:fill="auto"/>
            <w:vAlign w:val="center"/>
          </w:tcPr>
          <w:p w14:paraId="377A46BC"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(292)</w:t>
            </w:r>
          </w:p>
        </w:tc>
        <w:tc>
          <w:tcPr>
            <w:tcW w:w="1474" w:type="dxa"/>
            <w:tcBorders>
              <w:bottom w:val="single" w:sz="8" w:space="0" w:color="0070AD" w:themeColor="accent1"/>
            </w:tcBorders>
            <w:shd w:val="clear" w:color="auto" w:fill="BBE7FF" w:themeFill="accent1" w:themeFillTint="33"/>
            <w:vAlign w:val="center"/>
          </w:tcPr>
          <w:p w14:paraId="68F869F2"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(310)</w:t>
            </w:r>
          </w:p>
        </w:tc>
        <w:tc>
          <w:tcPr>
            <w:tcW w:w="1134" w:type="dxa"/>
            <w:tcBorders>
              <w:bottom w:val="single" w:sz="8" w:space="0" w:color="0070AD" w:themeColor="accent1"/>
            </w:tcBorders>
            <w:shd w:val="clear" w:color="auto" w:fill="auto"/>
            <w:vAlign w:val="center"/>
          </w:tcPr>
          <w:p w14:paraId="1D0545FA" w14:textId="77777777" w:rsidR="00EC2B31" w:rsidRPr="00925134" w:rsidRDefault="00EC2B31" w:rsidP="00EC2B31">
            <w:pPr>
              <w:keepNext/>
              <w:jc w:val="center"/>
              <w:rPr>
                <w:rFonts w:cs="Arial"/>
                <w:sz w:val="14"/>
                <w:szCs w:val="14"/>
                <w:lang w:val="en-US"/>
              </w:rPr>
            </w:pPr>
          </w:p>
        </w:tc>
      </w:tr>
      <w:tr w:rsidR="00EC2B31" w:rsidRPr="00925134" w14:paraId="6E54A3BB" w14:textId="77777777" w:rsidTr="00EC2B31">
        <w:trPr>
          <w:trHeight w:val="227"/>
          <w:jc w:val="center"/>
        </w:trPr>
        <w:tc>
          <w:tcPr>
            <w:tcW w:w="5783" w:type="dxa"/>
            <w:tcBorders>
              <w:top w:val="single" w:sz="8" w:space="0" w:color="0070AD" w:themeColor="accent1"/>
              <w:bottom w:val="single" w:sz="8" w:space="0" w:color="0070AD" w:themeColor="accent1"/>
            </w:tcBorders>
            <w:vAlign w:val="center"/>
          </w:tcPr>
          <w:p w14:paraId="1A113CB6" w14:textId="77777777" w:rsidR="00EC2B31" w:rsidRPr="00925134" w:rsidRDefault="00EC2B31" w:rsidP="00EC2B31">
            <w:pPr>
              <w:keepNext/>
              <w:rPr>
                <w:rFonts w:asciiTheme="majorHAnsi" w:hAnsiTheme="majorHAnsi" w:cs="Arial"/>
                <w:b/>
                <w:color w:val="0070AD"/>
                <w:sz w:val="14"/>
                <w:szCs w:val="14"/>
                <w:lang w:val="en-US"/>
              </w:rPr>
            </w:pPr>
            <w:r w:rsidRPr="00925134">
              <w:rPr>
                <w:rFonts w:asciiTheme="majorHAnsi" w:hAnsiTheme="majorHAnsi"/>
                <w:b/>
                <w:color w:val="0070AD"/>
                <w:sz w:val="14"/>
                <w:lang w:val="en-US"/>
              </w:rPr>
              <w:t>Operating profit</w:t>
            </w:r>
          </w:p>
        </w:tc>
        <w:tc>
          <w:tcPr>
            <w:tcW w:w="1474" w:type="dxa"/>
            <w:tcBorders>
              <w:top w:val="single" w:sz="8" w:space="0" w:color="0070AD" w:themeColor="accent1"/>
              <w:bottom w:val="single" w:sz="8" w:space="0" w:color="0070AD" w:themeColor="accent1"/>
            </w:tcBorders>
            <w:shd w:val="clear" w:color="auto" w:fill="auto"/>
            <w:vAlign w:val="center"/>
          </w:tcPr>
          <w:p w14:paraId="2252CA17"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1,148</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5D1FA221"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1,183</w:t>
            </w:r>
          </w:p>
        </w:tc>
        <w:tc>
          <w:tcPr>
            <w:tcW w:w="1134" w:type="dxa"/>
            <w:tcBorders>
              <w:top w:val="single" w:sz="8" w:space="0" w:color="0070AD" w:themeColor="accent1"/>
              <w:bottom w:val="single" w:sz="8" w:space="0" w:color="0070AD" w:themeColor="accent1"/>
            </w:tcBorders>
            <w:shd w:val="clear" w:color="auto" w:fill="auto"/>
            <w:vAlign w:val="center"/>
          </w:tcPr>
          <w:p w14:paraId="219BBAA9" w14:textId="77777777" w:rsidR="00EC2B31" w:rsidRPr="00925134" w:rsidRDefault="00EC2B31" w:rsidP="00EC2B31">
            <w:pPr>
              <w:keepNext/>
              <w:jc w:val="center"/>
              <w:rPr>
                <w:rFonts w:cs="Arial"/>
                <w:b/>
                <w:color w:val="0070AD" w:themeColor="accent1"/>
                <w:sz w:val="14"/>
                <w:szCs w:val="14"/>
                <w:lang w:val="en-US"/>
              </w:rPr>
            </w:pPr>
            <w:r w:rsidRPr="00925134">
              <w:rPr>
                <w:rFonts w:cs="Arial"/>
                <w:b/>
                <w:color w:val="0070AD" w:themeColor="accent1"/>
                <w:sz w:val="14"/>
                <w:szCs w:val="14"/>
                <w:lang w:val="en-US"/>
              </w:rPr>
              <w:t>+3%</w:t>
            </w:r>
          </w:p>
        </w:tc>
      </w:tr>
      <w:tr w:rsidR="00EC2B31" w:rsidRPr="00925134" w14:paraId="2DBB7518" w14:textId="77777777" w:rsidTr="00EC2B31">
        <w:trPr>
          <w:trHeight w:val="227"/>
          <w:jc w:val="center"/>
        </w:trPr>
        <w:tc>
          <w:tcPr>
            <w:tcW w:w="5783" w:type="dxa"/>
            <w:tcBorders>
              <w:top w:val="single" w:sz="8" w:space="0" w:color="0070AD" w:themeColor="accent1"/>
            </w:tcBorders>
            <w:vAlign w:val="center"/>
          </w:tcPr>
          <w:p w14:paraId="401A41EE" w14:textId="77777777" w:rsidR="00EC2B31" w:rsidRPr="00925134" w:rsidRDefault="00EC2B31" w:rsidP="00EC2B31">
            <w:pPr>
              <w:keepNext/>
              <w:rPr>
                <w:rFonts w:asciiTheme="majorHAnsi" w:hAnsiTheme="majorHAnsi" w:cs="Arial"/>
                <w:i/>
                <w:sz w:val="14"/>
                <w:szCs w:val="14"/>
                <w:lang w:val="en-US"/>
              </w:rPr>
            </w:pPr>
            <w:r w:rsidRPr="00925134">
              <w:rPr>
                <w:rFonts w:asciiTheme="majorHAnsi" w:hAnsiTheme="majorHAnsi"/>
                <w:sz w:val="14"/>
                <w:lang w:val="en-US"/>
              </w:rPr>
              <w:t>as a % of revenues</w:t>
            </w:r>
          </w:p>
        </w:tc>
        <w:tc>
          <w:tcPr>
            <w:tcW w:w="1474" w:type="dxa"/>
            <w:tcBorders>
              <w:top w:val="single" w:sz="8" w:space="0" w:color="0070AD" w:themeColor="accent1"/>
            </w:tcBorders>
            <w:shd w:val="clear" w:color="auto" w:fill="auto"/>
            <w:vAlign w:val="center"/>
          </w:tcPr>
          <w:p w14:paraId="4A60312F" w14:textId="77777777" w:rsidR="00EC2B31" w:rsidRPr="00925134" w:rsidRDefault="00EC2B31" w:rsidP="00EC2B31">
            <w:pPr>
              <w:keepNext/>
              <w:ind w:left="-170" w:right="397"/>
              <w:jc w:val="right"/>
              <w:rPr>
                <w:rFonts w:cs="Arial"/>
                <w:i/>
                <w:sz w:val="14"/>
                <w:szCs w:val="14"/>
                <w:lang w:val="en-US"/>
              </w:rPr>
            </w:pPr>
            <w:r w:rsidRPr="00925134">
              <w:rPr>
                <w:rFonts w:cs="Arial"/>
                <w:i/>
                <w:sz w:val="14"/>
                <w:szCs w:val="14"/>
                <w:lang w:val="en-US"/>
              </w:rPr>
              <w:t>9.2%</w:t>
            </w:r>
          </w:p>
        </w:tc>
        <w:tc>
          <w:tcPr>
            <w:tcW w:w="1474" w:type="dxa"/>
            <w:tcBorders>
              <w:top w:val="single" w:sz="8" w:space="0" w:color="0070AD" w:themeColor="accent1"/>
            </w:tcBorders>
            <w:shd w:val="clear" w:color="auto" w:fill="BBE7FF" w:themeFill="accent1" w:themeFillTint="33"/>
            <w:vAlign w:val="center"/>
          </w:tcPr>
          <w:p w14:paraId="674BBD3A" w14:textId="77777777" w:rsidR="00EC2B31" w:rsidRPr="00925134" w:rsidRDefault="00EC2B31" w:rsidP="00EC2B31">
            <w:pPr>
              <w:keepNext/>
              <w:ind w:left="-170" w:right="397"/>
              <w:jc w:val="right"/>
              <w:rPr>
                <w:rFonts w:cs="Arial"/>
                <w:i/>
                <w:sz w:val="14"/>
                <w:szCs w:val="14"/>
                <w:lang w:val="en-US"/>
              </w:rPr>
            </w:pPr>
            <w:r w:rsidRPr="00925134">
              <w:rPr>
                <w:rFonts w:cs="Arial"/>
                <w:i/>
                <w:sz w:val="14"/>
                <w:szCs w:val="14"/>
                <w:lang w:val="en-US"/>
              </w:rPr>
              <w:t>9.2%</w:t>
            </w:r>
          </w:p>
        </w:tc>
        <w:tc>
          <w:tcPr>
            <w:tcW w:w="1134" w:type="dxa"/>
            <w:tcBorders>
              <w:top w:val="single" w:sz="8" w:space="0" w:color="0070AD" w:themeColor="accent1"/>
            </w:tcBorders>
            <w:shd w:val="clear" w:color="auto" w:fill="auto"/>
            <w:vAlign w:val="center"/>
          </w:tcPr>
          <w:p w14:paraId="5FA73C26" w14:textId="77777777" w:rsidR="00EC2B31" w:rsidRPr="00925134" w:rsidRDefault="00EC2B31" w:rsidP="00EC2B31">
            <w:pPr>
              <w:keepNext/>
              <w:jc w:val="center"/>
              <w:rPr>
                <w:rFonts w:cs="Arial"/>
                <w:i/>
                <w:sz w:val="14"/>
                <w:szCs w:val="14"/>
                <w:lang w:val="en-US"/>
              </w:rPr>
            </w:pPr>
          </w:p>
        </w:tc>
      </w:tr>
      <w:tr w:rsidR="00EC2B31" w:rsidRPr="00925134" w14:paraId="644EDADC" w14:textId="77777777" w:rsidTr="00EC2B31">
        <w:trPr>
          <w:trHeight w:val="227"/>
          <w:jc w:val="center"/>
        </w:trPr>
        <w:tc>
          <w:tcPr>
            <w:tcW w:w="5783" w:type="dxa"/>
            <w:vAlign w:val="center"/>
          </w:tcPr>
          <w:p w14:paraId="0B87D3CB" w14:textId="77777777" w:rsidR="00EC2B31" w:rsidRPr="00925134" w:rsidRDefault="00EC2B31" w:rsidP="00EC2B31">
            <w:pPr>
              <w:keepNext/>
              <w:ind w:left="149"/>
              <w:rPr>
                <w:rFonts w:asciiTheme="majorHAnsi" w:hAnsiTheme="majorHAnsi" w:cs="Arial"/>
                <w:sz w:val="14"/>
                <w:szCs w:val="14"/>
                <w:lang w:val="en-US"/>
              </w:rPr>
            </w:pPr>
            <w:r w:rsidRPr="00925134">
              <w:rPr>
                <w:rFonts w:asciiTheme="majorHAnsi" w:hAnsiTheme="majorHAnsi"/>
                <w:sz w:val="14"/>
                <w:lang w:val="en-US"/>
              </w:rPr>
              <w:t>Net financial expense</w:t>
            </w:r>
          </w:p>
        </w:tc>
        <w:tc>
          <w:tcPr>
            <w:tcW w:w="1474" w:type="dxa"/>
            <w:shd w:val="clear" w:color="auto" w:fill="auto"/>
            <w:vAlign w:val="center"/>
          </w:tcPr>
          <w:p w14:paraId="74D4BD74"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(146)</w:t>
            </w:r>
          </w:p>
        </w:tc>
        <w:tc>
          <w:tcPr>
            <w:tcW w:w="1474" w:type="dxa"/>
            <w:shd w:val="clear" w:color="auto" w:fill="BBE7FF" w:themeFill="accent1" w:themeFillTint="33"/>
            <w:vAlign w:val="center"/>
          </w:tcPr>
          <w:p w14:paraId="2074F983"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(72)</w:t>
            </w:r>
          </w:p>
        </w:tc>
        <w:tc>
          <w:tcPr>
            <w:tcW w:w="1134" w:type="dxa"/>
            <w:shd w:val="clear" w:color="auto" w:fill="auto"/>
            <w:vAlign w:val="center"/>
          </w:tcPr>
          <w:p w14:paraId="4294DF7F" w14:textId="77777777" w:rsidR="00EC2B31" w:rsidRPr="00925134" w:rsidRDefault="00EC2B31" w:rsidP="00EC2B31">
            <w:pPr>
              <w:keepNext/>
              <w:jc w:val="center"/>
              <w:rPr>
                <w:rFonts w:cs="Arial"/>
                <w:sz w:val="14"/>
                <w:szCs w:val="14"/>
                <w:lang w:val="en-US"/>
              </w:rPr>
            </w:pPr>
          </w:p>
        </w:tc>
      </w:tr>
      <w:tr w:rsidR="00EC2B31" w:rsidRPr="00925134" w14:paraId="188C4015" w14:textId="77777777" w:rsidTr="00EC2B31">
        <w:trPr>
          <w:trHeight w:val="227"/>
          <w:jc w:val="center"/>
        </w:trPr>
        <w:tc>
          <w:tcPr>
            <w:tcW w:w="5783" w:type="dxa"/>
            <w:vAlign w:val="center"/>
          </w:tcPr>
          <w:p w14:paraId="402F0DF4" w14:textId="77777777" w:rsidR="00EC2B31" w:rsidRPr="00925134" w:rsidRDefault="00EC2B31" w:rsidP="00EC2B31">
            <w:pPr>
              <w:keepNext/>
              <w:ind w:left="149"/>
              <w:rPr>
                <w:rFonts w:asciiTheme="majorHAnsi" w:hAnsiTheme="majorHAnsi" w:cs="Arial"/>
                <w:sz w:val="14"/>
                <w:szCs w:val="14"/>
                <w:lang w:val="en-US"/>
              </w:rPr>
            </w:pPr>
            <w:r w:rsidRPr="00925134">
              <w:rPr>
                <w:rFonts w:asciiTheme="majorHAnsi" w:hAnsiTheme="majorHAnsi"/>
                <w:sz w:val="14"/>
                <w:lang w:val="en-US"/>
              </w:rPr>
              <w:t>Income tax income / (expense)</w:t>
            </w:r>
          </w:p>
        </w:tc>
        <w:tc>
          <w:tcPr>
            <w:tcW w:w="1474" w:type="dxa"/>
            <w:shd w:val="clear" w:color="auto" w:fill="auto"/>
            <w:vAlign w:val="center"/>
          </w:tcPr>
          <w:p w14:paraId="68370FEC"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(94)</w:t>
            </w:r>
          </w:p>
        </w:tc>
        <w:tc>
          <w:tcPr>
            <w:tcW w:w="1474" w:type="dxa"/>
            <w:shd w:val="clear" w:color="auto" w:fill="BBE7FF" w:themeFill="accent1" w:themeFillTint="33"/>
            <w:vAlign w:val="center"/>
          </w:tcPr>
          <w:p w14:paraId="236AB91D"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(303)</w:t>
            </w:r>
          </w:p>
        </w:tc>
        <w:tc>
          <w:tcPr>
            <w:tcW w:w="1134" w:type="dxa"/>
            <w:shd w:val="clear" w:color="auto" w:fill="auto"/>
            <w:vAlign w:val="center"/>
          </w:tcPr>
          <w:p w14:paraId="504C41FC" w14:textId="77777777" w:rsidR="00EC2B31" w:rsidRPr="00925134" w:rsidRDefault="00EC2B31" w:rsidP="00EC2B31">
            <w:pPr>
              <w:keepNext/>
              <w:jc w:val="center"/>
              <w:rPr>
                <w:rFonts w:cs="Arial"/>
                <w:sz w:val="14"/>
                <w:szCs w:val="14"/>
                <w:lang w:val="en-US"/>
              </w:rPr>
            </w:pPr>
          </w:p>
        </w:tc>
      </w:tr>
      <w:tr w:rsidR="00EC2B31" w:rsidRPr="00925134" w14:paraId="62B4938B" w14:textId="77777777" w:rsidTr="00EC2B31">
        <w:trPr>
          <w:trHeight w:val="227"/>
          <w:jc w:val="center"/>
        </w:trPr>
        <w:tc>
          <w:tcPr>
            <w:tcW w:w="5783" w:type="dxa"/>
            <w:tcBorders>
              <w:bottom w:val="single" w:sz="8" w:space="0" w:color="0070AD" w:themeColor="accent1"/>
            </w:tcBorders>
            <w:vAlign w:val="center"/>
          </w:tcPr>
          <w:p w14:paraId="57832FCF" w14:textId="77777777" w:rsidR="00EC2B31" w:rsidRPr="00925134" w:rsidRDefault="00EC2B31" w:rsidP="00EC2B31">
            <w:pPr>
              <w:keepNext/>
              <w:ind w:left="149"/>
              <w:rPr>
                <w:rFonts w:asciiTheme="majorHAnsi" w:hAnsiTheme="majorHAnsi" w:cs="Arial"/>
                <w:sz w:val="14"/>
                <w:szCs w:val="14"/>
                <w:lang w:val="en-US"/>
              </w:rPr>
            </w:pPr>
            <w:r w:rsidRPr="00925134">
              <w:rPr>
                <w:rFonts w:asciiTheme="majorHAnsi" w:hAnsiTheme="majorHAnsi"/>
                <w:sz w:val="14"/>
                <w:lang w:val="en-US"/>
              </w:rPr>
              <w:t>(-) Non-controlling interests</w:t>
            </w:r>
          </w:p>
        </w:tc>
        <w:tc>
          <w:tcPr>
            <w:tcW w:w="1474" w:type="dxa"/>
            <w:tcBorders>
              <w:bottom w:val="single" w:sz="8" w:space="0" w:color="0070AD" w:themeColor="accent1"/>
            </w:tcBorders>
            <w:shd w:val="clear" w:color="auto" w:fill="auto"/>
            <w:vAlign w:val="center"/>
          </w:tcPr>
          <w:p w14:paraId="5ECDEB4B"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13</w:t>
            </w:r>
          </w:p>
        </w:tc>
        <w:tc>
          <w:tcPr>
            <w:tcW w:w="1474" w:type="dxa"/>
            <w:tcBorders>
              <w:bottom w:val="single" w:sz="8" w:space="0" w:color="0070AD" w:themeColor="accent1"/>
            </w:tcBorders>
            <w:shd w:val="clear" w:color="auto" w:fill="BBE7FF" w:themeFill="accent1" w:themeFillTint="33"/>
            <w:vAlign w:val="center"/>
          </w:tcPr>
          <w:p w14:paraId="1CC886F2"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12</w:t>
            </w:r>
          </w:p>
        </w:tc>
        <w:tc>
          <w:tcPr>
            <w:tcW w:w="1134" w:type="dxa"/>
            <w:tcBorders>
              <w:bottom w:val="single" w:sz="8" w:space="0" w:color="0070AD" w:themeColor="accent1"/>
            </w:tcBorders>
            <w:shd w:val="clear" w:color="auto" w:fill="auto"/>
            <w:vAlign w:val="center"/>
          </w:tcPr>
          <w:p w14:paraId="53EDBE91" w14:textId="77777777" w:rsidR="00EC2B31" w:rsidRPr="00925134" w:rsidRDefault="00EC2B31" w:rsidP="00EC2B31">
            <w:pPr>
              <w:keepNext/>
              <w:jc w:val="center"/>
              <w:rPr>
                <w:rFonts w:cs="Arial"/>
                <w:sz w:val="14"/>
                <w:szCs w:val="14"/>
                <w:lang w:val="en-US"/>
              </w:rPr>
            </w:pPr>
          </w:p>
        </w:tc>
      </w:tr>
      <w:tr w:rsidR="00EC2B31" w:rsidRPr="00925134" w14:paraId="1C9C82C8" w14:textId="77777777" w:rsidTr="00EC2B31">
        <w:trPr>
          <w:trHeight w:val="227"/>
          <w:jc w:val="center"/>
        </w:trPr>
        <w:tc>
          <w:tcPr>
            <w:tcW w:w="5783" w:type="dxa"/>
            <w:tcBorders>
              <w:top w:val="single" w:sz="8" w:space="0" w:color="0070AD" w:themeColor="accent1"/>
              <w:bottom w:val="single" w:sz="8" w:space="0" w:color="0070AD" w:themeColor="accent1"/>
            </w:tcBorders>
            <w:vAlign w:val="center"/>
          </w:tcPr>
          <w:p w14:paraId="448D37A7" w14:textId="77777777" w:rsidR="00EC2B31" w:rsidRPr="00925134" w:rsidRDefault="00EC2B31" w:rsidP="00EC2B31">
            <w:pPr>
              <w:keepNext/>
              <w:rPr>
                <w:rFonts w:asciiTheme="majorHAnsi" w:hAnsiTheme="majorHAnsi" w:cs="Arial"/>
                <w:b/>
                <w:color w:val="0070AD"/>
                <w:sz w:val="14"/>
                <w:szCs w:val="14"/>
                <w:lang w:val="en-US"/>
              </w:rPr>
            </w:pPr>
            <w:r w:rsidRPr="00925134">
              <w:rPr>
                <w:rFonts w:asciiTheme="majorHAnsi" w:hAnsiTheme="majorHAnsi"/>
                <w:b/>
                <w:color w:val="0070AD"/>
                <w:sz w:val="14"/>
                <w:lang w:val="en-US"/>
              </w:rPr>
              <w:t>Profit for the year, Group share</w:t>
            </w:r>
          </w:p>
        </w:tc>
        <w:tc>
          <w:tcPr>
            <w:tcW w:w="1474" w:type="dxa"/>
            <w:tcBorders>
              <w:top w:val="single" w:sz="8" w:space="0" w:color="0070AD" w:themeColor="accent1"/>
              <w:bottom w:val="single" w:sz="8" w:space="0" w:color="0070AD" w:themeColor="accent1"/>
            </w:tcBorders>
            <w:shd w:val="clear" w:color="auto" w:fill="auto"/>
            <w:vAlign w:val="center"/>
          </w:tcPr>
          <w:p w14:paraId="789CDAAE"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921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347E3D52"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820</w:t>
            </w:r>
          </w:p>
        </w:tc>
        <w:tc>
          <w:tcPr>
            <w:tcW w:w="1134" w:type="dxa"/>
            <w:tcBorders>
              <w:top w:val="single" w:sz="8" w:space="0" w:color="0070AD" w:themeColor="accent1"/>
              <w:bottom w:val="single" w:sz="8" w:space="0" w:color="0070AD" w:themeColor="accent1"/>
            </w:tcBorders>
            <w:shd w:val="clear" w:color="auto" w:fill="auto"/>
            <w:vAlign w:val="center"/>
          </w:tcPr>
          <w:p w14:paraId="6A035338" w14:textId="77777777" w:rsidR="00EC2B31" w:rsidRPr="00925134" w:rsidRDefault="00EC2B31" w:rsidP="00EC2B31">
            <w:pPr>
              <w:keepNext/>
              <w:jc w:val="center"/>
              <w:rPr>
                <w:rFonts w:cs="Arial"/>
                <w:b/>
                <w:color w:val="0070AD" w:themeColor="accent1"/>
                <w:sz w:val="14"/>
                <w:szCs w:val="14"/>
                <w:lang w:val="en-US"/>
              </w:rPr>
            </w:pPr>
            <w:r w:rsidRPr="00925134">
              <w:rPr>
                <w:rFonts w:cs="Arial"/>
                <w:b/>
                <w:color w:val="0070AD" w:themeColor="accent1"/>
                <w:sz w:val="14"/>
                <w:szCs w:val="14"/>
                <w:lang w:val="en-US"/>
              </w:rPr>
              <w:t>-11%</w:t>
            </w:r>
          </w:p>
        </w:tc>
      </w:tr>
    </w:tbl>
    <w:p w14:paraId="3B51FAAA" w14:textId="77777777" w:rsidR="00294C36" w:rsidRPr="00925134" w:rsidRDefault="00294C36" w:rsidP="00294C36">
      <w:pPr>
        <w:pStyle w:val="Brdtekst"/>
        <w:keepLines/>
        <w:spacing w:line="240" w:lineRule="auto"/>
        <w:rPr>
          <w:lang w:val="en-US"/>
        </w:rPr>
      </w:pPr>
    </w:p>
    <w:p w14:paraId="530A1496" w14:textId="77777777" w:rsidR="003E11DB" w:rsidRPr="00925134" w:rsidRDefault="003C7671" w:rsidP="003E11DB">
      <w:pPr>
        <w:pStyle w:val="Overskrift1"/>
        <w:rPr>
          <w:lang w:val="en-US"/>
        </w:rPr>
      </w:pPr>
      <w:r w:rsidRPr="00925134">
        <w:rPr>
          <w:lang w:val="en-US"/>
        </w:rPr>
        <w:t xml:space="preserve">NORMALIZED AND DILUTED EARNINGS PER SHARE </w:t>
      </w:r>
    </w:p>
    <w:tbl>
      <w:tblPr>
        <w:tblW w:w="0" w:type="auto"/>
        <w:jc w:val="center"/>
        <w:tblLook w:val="04A0" w:firstRow="1" w:lastRow="0" w:firstColumn="1" w:lastColumn="0" w:noHBand="0" w:noVBand="1"/>
      </w:tblPr>
      <w:tblGrid>
        <w:gridCol w:w="5783"/>
        <w:gridCol w:w="1474"/>
        <w:gridCol w:w="1474"/>
        <w:gridCol w:w="1134"/>
      </w:tblGrid>
      <w:tr w:rsidR="00D608EA" w:rsidRPr="00925134" w14:paraId="65ADCBE3" w14:textId="77777777" w:rsidTr="004D70DE">
        <w:trPr>
          <w:trHeight w:val="284"/>
          <w:jc w:val="center"/>
        </w:trPr>
        <w:tc>
          <w:tcPr>
            <w:tcW w:w="5783" w:type="dxa"/>
            <w:tcBorders>
              <w:bottom w:val="single" w:sz="8" w:space="0" w:color="0070AD" w:themeColor="accent1"/>
            </w:tcBorders>
            <w:vAlign w:val="center"/>
          </w:tcPr>
          <w:p w14:paraId="44C4AD9C" w14:textId="77777777" w:rsidR="00D608EA" w:rsidRPr="00925134" w:rsidRDefault="00D608EA" w:rsidP="00EC2B31">
            <w:pPr>
              <w:keepNext/>
              <w:widowControl w:val="0"/>
              <w:jc w:val="center"/>
              <w:rPr>
                <w:rFonts w:cs="Arial"/>
                <w:i/>
                <w:sz w:val="14"/>
                <w:szCs w:val="14"/>
                <w:lang w:val="en-US"/>
              </w:rPr>
            </w:pPr>
            <w:r w:rsidRPr="00925134">
              <w:rPr>
                <w:rFonts w:cs="Arial"/>
                <w:i/>
                <w:sz w:val="14"/>
                <w:szCs w:val="14"/>
                <w:lang w:val="en-US"/>
              </w:rPr>
              <w:t>(</w:t>
            </w:r>
            <w:r w:rsidR="00EC2B31" w:rsidRPr="00925134">
              <w:rPr>
                <w:rFonts w:cs="Arial"/>
                <w:i/>
                <w:sz w:val="14"/>
                <w:szCs w:val="14"/>
                <w:lang w:val="en-US"/>
              </w:rPr>
              <w:t>i</w:t>
            </w:r>
            <w:r w:rsidRPr="00925134">
              <w:rPr>
                <w:rFonts w:cs="Arial"/>
                <w:i/>
                <w:sz w:val="14"/>
                <w:szCs w:val="14"/>
                <w:lang w:val="en-US"/>
              </w:rPr>
              <w:t>n millions</w:t>
            </w:r>
            <w:r w:rsidR="00EC2B31" w:rsidRPr="00925134">
              <w:rPr>
                <w:rFonts w:cs="Arial"/>
                <w:i/>
                <w:sz w:val="14"/>
                <w:szCs w:val="14"/>
                <w:lang w:val="en-US"/>
              </w:rPr>
              <w:t xml:space="preserve"> of </w:t>
            </w:r>
            <w:r w:rsidRPr="00925134">
              <w:rPr>
                <w:rFonts w:cs="Arial"/>
                <w:i/>
                <w:sz w:val="14"/>
                <w:szCs w:val="14"/>
                <w:lang w:val="en-US"/>
              </w:rPr>
              <w:t>euros)</w:t>
            </w:r>
          </w:p>
        </w:tc>
        <w:tc>
          <w:tcPr>
            <w:tcW w:w="1474" w:type="dxa"/>
            <w:tcBorders>
              <w:bottom w:val="single" w:sz="8" w:space="0" w:color="0070AD" w:themeColor="accent1"/>
            </w:tcBorders>
            <w:vAlign w:val="center"/>
          </w:tcPr>
          <w:p w14:paraId="484521D2" w14:textId="77777777" w:rsidR="00D608EA" w:rsidRPr="00925134" w:rsidRDefault="00D608EA" w:rsidP="003125DB">
            <w:pPr>
              <w:keepNext/>
              <w:widowControl w:val="0"/>
              <w:jc w:val="center"/>
              <w:rPr>
                <w:rFonts w:cs="Arial"/>
                <w:b/>
                <w:sz w:val="14"/>
                <w:szCs w:val="14"/>
                <w:lang w:val="en-US"/>
              </w:rPr>
            </w:pPr>
            <w:r w:rsidRPr="00925134">
              <w:rPr>
                <w:rFonts w:cs="Arial"/>
                <w:b/>
                <w:sz w:val="14"/>
                <w:szCs w:val="14"/>
                <w:lang w:val="en-US"/>
              </w:rPr>
              <w:t>2016</w:t>
            </w:r>
          </w:p>
        </w:tc>
        <w:tc>
          <w:tcPr>
            <w:tcW w:w="1474" w:type="dxa"/>
            <w:tcBorders>
              <w:bottom w:val="single" w:sz="8" w:space="0" w:color="0070AD" w:themeColor="accent1"/>
            </w:tcBorders>
            <w:shd w:val="clear" w:color="auto" w:fill="BBE7FF" w:themeFill="accent1" w:themeFillTint="33"/>
            <w:vAlign w:val="center"/>
          </w:tcPr>
          <w:p w14:paraId="1F2F6190" w14:textId="77777777" w:rsidR="00D608EA" w:rsidRPr="00925134" w:rsidRDefault="00D608EA" w:rsidP="003125DB">
            <w:pPr>
              <w:keepNext/>
              <w:widowControl w:val="0"/>
              <w:jc w:val="center"/>
              <w:rPr>
                <w:rFonts w:cs="Arial"/>
                <w:b/>
                <w:sz w:val="14"/>
                <w:szCs w:val="14"/>
                <w:lang w:val="en-US"/>
              </w:rPr>
            </w:pPr>
            <w:r w:rsidRPr="00925134">
              <w:rPr>
                <w:rFonts w:cs="Arial"/>
                <w:b/>
                <w:sz w:val="14"/>
                <w:szCs w:val="14"/>
                <w:lang w:val="en-US"/>
              </w:rPr>
              <w:t>2017</w:t>
            </w:r>
          </w:p>
        </w:tc>
        <w:tc>
          <w:tcPr>
            <w:tcW w:w="1134" w:type="dxa"/>
            <w:tcBorders>
              <w:bottom w:val="single" w:sz="8" w:space="0" w:color="0070AD" w:themeColor="accent1"/>
            </w:tcBorders>
            <w:shd w:val="clear" w:color="auto" w:fill="auto"/>
            <w:vAlign w:val="center"/>
          </w:tcPr>
          <w:p w14:paraId="77BE96D8" w14:textId="77777777" w:rsidR="00D608EA" w:rsidRPr="00925134" w:rsidRDefault="00EC2B31" w:rsidP="00EC2B31">
            <w:pPr>
              <w:keepNext/>
              <w:widowControl w:val="0"/>
              <w:jc w:val="center"/>
              <w:rPr>
                <w:rFonts w:cs="Arial"/>
                <w:b/>
                <w:i/>
                <w:sz w:val="14"/>
                <w:szCs w:val="14"/>
                <w:lang w:val="en-US"/>
              </w:rPr>
            </w:pPr>
            <w:r w:rsidRPr="00925134">
              <w:rPr>
                <w:rFonts w:cs="Arial"/>
                <w:b/>
                <w:i/>
                <w:sz w:val="14"/>
                <w:szCs w:val="14"/>
                <w:lang w:val="en-US"/>
              </w:rPr>
              <w:t>Change</w:t>
            </w:r>
          </w:p>
        </w:tc>
      </w:tr>
      <w:tr w:rsidR="00EC2B31" w:rsidRPr="00925134" w14:paraId="036DDC92"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5773A133" w14:textId="77777777" w:rsidR="00EC2B31" w:rsidRPr="00925134" w:rsidRDefault="00EC2B31" w:rsidP="00EC2B31">
            <w:pPr>
              <w:keepNext/>
              <w:widowControl w:val="0"/>
              <w:ind w:left="149"/>
              <w:rPr>
                <w:rFonts w:cs="Arial"/>
                <w:sz w:val="14"/>
                <w:szCs w:val="14"/>
                <w:lang w:val="en-US"/>
              </w:rPr>
            </w:pPr>
            <w:r w:rsidRPr="00925134">
              <w:rPr>
                <w:sz w:val="14"/>
                <w:lang w:val="en-US"/>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09FC0449" w14:textId="77777777" w:rsidR="00EC2B31" w:rsidRPr="00925134" w:rsidRDefault="00EC2B31" w:rsidP="00EC2B31">
            <w:pPr>
              <w:keepNext/>
              <w:widowControl w:val="0"/>
              <w:jc w:val="center"/>
              <w:rPr>
                <w:rFonts w:cs="Arial"/>
                <w:sz w:val="14"/>
                <w:szCs w:val="14"/>
                <w:lang w:val="en-US"/>
              </w:rPr>
            </w:pPr>
            <w:r w:rsidRPr="00925134">
              <w:rPr>
                <w:rFonts w:cs="Arial"/>
                <w:sz w:val="14"/>
                <w:szCs w:val="14"/>
                <w:lang w:val="en-US"/>
              </w:rPr>
              <w:t>169,450,721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43D276F" w14:textId="77777777" w:rsidR="00EC2B31" w:rsidRPr="00925134" w:rsidRDefault="00EC2B31" w:rsidP="00EC2B31">
            <w:pPr>
              <w:keepNext/>
              <w:widowControl w:val="0"/>
              <w:jc w:val="center"/>
              <w:rPr>
                <w:rFonts w:cs="Arial"/>
                <w:sz w:val="14"/>
                <w:szCs w:val="14"/>
                <w:lang w:val="en-US"/>
              </w:rPr>
            </w:pPr>
            <w:r w:rsidRPr="00925134">
              <w:rPr>
                <w:rFonts w:cs="Arial"/>
                <w:sz w:val="14"/>
                <w:szCs w:val="14"/>
                <w:lang w:val="en-US"/>
              </w:rPr>
              <w:t>168,057,561</w:t>
            </w:r>
          </w:p>
        </w:tc>
        <w:tc>
          <w:tcPr>
            <w:tcW w:w="1134" w:type="dxa"/>
            <w:tcBorders>
              <w:top w:val="single" w:sz="8" w:space="0" w:color="0070AD" w:themeColor="accent1"/>
              <w:bottom w:val="single" w:sz="8" w:space="0" w:color="0070AD" w:themeColor="accent1"/>
            </w:tcBorders>
            <w:shd w:val="clear" w:color="auto" w:fill="auto"/>
            <w:vAlign w:val="center"/>
          </w:tcPr>
          <w:p w14:paraId="591E88AB" w14:textId="77777777" w:rsidR="00EC2B31" w:rsidRPr="00925134" w:rsidRDefault="00EC2B31" w:rsidP="00EC2B31">
            <w:pPr>
              <w:keepNext/>
              <w:widowControl w:val="0"/>
              <w:jc w:val="center"/>
              <w:rPr>
                <w:rFonts w:cs="Arial"/>
                <w:sz w:val="14"/>
                <w:szCs w:val="14"/>
                <w:lang w:val="en-US"/>
              </w:rPr>
            </w:pPr>
          </w:p>
        </w:tc>
      </w:tr>
      <w:tr w:rsidR="00EC2B31" w:rsidRPr="00925134" w14:paraId="6A77FC7B"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28B3755A" w14:textId="77777777" w:rsidR="00EC2B31" w:rsidRPr="00925134" w:rsidRDefault="00EC2B31" w:rsidP="00EC2B31">
            <w:pPr>
              <w:keepNext/>
              <w:widowControl w:val="0"/>
              <w:rPr>
                <w:rFonts w:cs="Arial"/>
                <w:b/>
                <w:color w:val="0070AD"/>
                <w:sz w:val="14"/>
                <w:szCs w:val="14"/>
                <w:lang w:val="en-US"/>
              </w:rPr>
            </w:pPr>
            <w:r w:rsidRPr="00925134">
              <w:rPr>
                <w:b/>
                <w:color w:val="0070AD"/>
                <w:sz w:val="14"/>
                <w:lang w:val="en-US"/>
              </w:rPr>
              <w:t xml:space="preserve">Basic earnings per share </w:t>
            </w:r>
            <w:r w:rsidRPr="00925134">
              <w:rPr>
                <w:i/>
                <w:color w:val="0070AD"/>
                <w:sz w:val="14"/>
                <w:lang w:val="en-US"/>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07A9CCE6"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5.44</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182646CF"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4.88</w:t>
            </w:r>
          </w:p>
        </w:tc>
        <w:tc>
          <w:tcPr>
            <w:tcW w:w="1134" w:type="dxa"/>
            <w:tcBorders>
              <w:top w:val="single" w:sz="8" w:space="0" w:color="0070AD" w:themeColor="accent1"/>
              <w:bottom w:val="single" w:sz="8" w:space="0" w:color="0070AD" w:themeColor="accent1"/>
            </w:tcBorders>
            <w:shd w:val="clear" w:color="auto" w:fill="auto"/>
            <w:vAlign w:val="center"/>
          </w:tcPr>
          <w:p w14:paraId="0F772FF8" w14:textId="77777777" w:rsidR="00EC2B31" w:rsidRPr="00925134" w:rsidRDefault="00EC2B31" w:rsidP="00EC2B31">
            <w:pPr>
              <w:keepNext/>
              <w:widowControl w:val="0"/>
              <w:jc w:val="center"/>
              <w:rPr>
                <w:rFonts w:cs="Arial"/>
                <w:b/>
                <w:color w:val="0070AD" w:themeColor="accent1"/>
                <w:sz w:val="14"/>
                <w:szCs w:val="14"/>
                <w:lang w:val="en-US"/>
              </w:rPr>
            </w:pPr>
            <w:r w:rsidRPr="00925134">
              <w:rPr>
                <w:rFonts w:cs="Arial"/>
                <w:b/>
                <w:color w:val="0070AD" w:themeColor="accent1"/>
                <w:sz w:val="14"/>
                <w:szCs w:val="14"/>
                <w:lang w:val="en-US"/>
              </w:rPr>
              <w:t>-10%</w:t>
            </w:r>
          </w:p>
        </w:tc>
      </w:tr>
      <w:tr w:rsidR="00EC2B31" w:rsidRPr="00925134" w14:paraId="0FD0724C"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181DEE27" w14:textId="77777777" w:rsidR="00EC2B31" w:rsidRPr="00925134" w:rsidRDefault="00EC2B31" w:rsidP="00EC2B31">
            <w:pPr>
              <w:keepNext/>
              <w:widowControl w:val="0"/>
              <w:ind w:left="149"/>
              <w:rPr>
                <w:rFonts w:cs="Arial"/>
                <w:sz w:val="14"/>
                <w:szCs w:val="14"/>
                <w:lang w:val="en-US"/>
              </w:rPr>
            </w:pPr>
            <w:r w:rsidRPr="00925134">
              <w:rPr>
                <w:sz w:val="14"/>
                <w:lang w:val="en-US"/>
              </w:rPr>
              <w:t>Diluted 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4F45FE1F" w14:textId="77777777" w:rsidR="00EC2B31" w:rsidRPr="00925134" w:rsidRDefault="00EC2B31" w:rsidP="00EC2B31">
            <w:pPr>
              <w:keepNext/>
              <w:widowControl w:val="0"/>
              <w:jc w:val="center"/>
              <w:rPr>
                <w:rFonts w:cs="Arial"/>
                <w:sz w:val="14"/>
                <w:szCs w:val="14"/>
                <w:lang w:val="en-US"/>
              </w:rPr>
            </w:pPr>
            <w:r w:rsidRPr="00925134">
              <w:rPr>
                <w:rFonts w:cs="Arial"/>
                <w:sz w:val="14"/>
                <w:szCs w:val="14"/>
                <w:lang w:val="en-US"/>
              </w:rPr>
              <w:t>179,080,780</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4B32CEB1" w14:textId="77777777" w:rsidR="00EC2B31" w:rsidRPr="00925134" w:rsidRDefault="00EC2B31" w:rsidP="00EC2B31">
            <w:pPr>
              <w:keepNext/>
              <w:widowControl w:val="0"/>
              <w:jc w:val="center"/>
              <w:rPr>
                <w:rFonts w:cs="Arial"/>
                <w:sz w:val="14"/>
                <w:szCs w:val="14"/>
                <w:lang w:val="en-US"/>
              </w:rPr>
            </w:pPr>
            <w:r w:rsidRPr="00925134">
              <w:rPr>
                <w:rFonts w:cs="Arial"/>
                <w:sz w:val="14"/>
                <w:szCs w:val="14"/>
                <w:lang w:val="en-US"/>
              </w:rPr>
              <w:t>172,082,122</w:t>
            </w:r>
          </w:p>
        </w:tc>
        <w:tc>
          <w:tcPr>
            <w:tcW w:w="1134" w:type="dxa"/>
            <w:tcBorders>
              <w:top w:val="single" w:sz="8" w:space="0" w:color="0070AD" w:themeColor="accent1"/>
              <w:bottom w:val="single" w:sz="8" w:space="0" w:color="0070AD" w:themeColor="accent1"/>
            </w:tcBorders>
            <w:shd w:val="clear" w:color="auto" w:fill="auto"/>
            <w:vAlign w:val="center"/>
          </w:tcPr>
          <w:p w14:paraId="7730378F" w14:textId="77777777" w:rsidR="00EC2B31" w:rsidRPr="00925134" w:rsidRDefault="00EC2B31" w:rsidP="00EC2B31">
            <w:pPr>
              <w:keepNext/>
              <w:widowControl w:val="0"/>
              <w:jc w:val="center"/>
              <w:rPr>
                <w:rFonts w:cs="Arial"/>
                <w:sz w:val="14"/>
                <w:szCs w:val="14"/>
                <w:lang w:val="en-US"/>
              </w:rPr>
            </w:pPr>
          </w:p>
        </w:tc>
      </w:tr>
      <w:tr w:rsidR="00EC2B31" w:rsidRPr="00925134" w14:paraId="7564AC36"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4ABD7F23" w14:textId="77777777" w:rsidR="00EC2B31" w:rsidRPr="00925134" w:rsidRDefault="00EC2B31" w:rsidP="00EC2B31">
            <w:pPr>
              <w:widowControl w:val="0"/>
              <w:rPr>
                <w:rFonts w:cs="Arial"/>
                <w:b/>
                <w:color w:val="0070AD"/>
                <w:sz w:val="14"/>
                <w:szCs w:val="14"/>
                <w:lang w:val="en-US"/>
              </w:rPr>
            </w:pPr>
            <w:r w:rsidRPr="00925134">
              <w:rPr>
                <w:b/>
                <w:color w:val="0070AD"/>
                <w:sz w:val="14"/>
                <w:lang w:val="en-US"/>
              </w:rPr>
              <w:t xml:space="preserve">Diluted earnings per share </w:t>
            </w:r>
            <w:r w:rsidRPr="00925134">
              <w:rPr>
                <w:i/>
                <w:color w:val="0070AD"/>
                <w:sz w:val="14"/>
                <w:lang w:val="en-US"/>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62C33E06"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5.25</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772F63FD"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4.76</w:t>
            </w:r>
          </w:p>
        </w:tc>
        <w:tc>
          <w:tcPr>
            <w:tcW w:w="1134" w:type="dxa"/>
            <w:tcBorders>
              <w:top w:val="single" w:sz="8" w:space="0" w:color="0070AD" w:themeColor="accent1"/>
              <w:bottom w:val="single" w:sz="8" w:space="0" w:color="0070AD" w:themeColor="accent1"/>
            </w:tcBorders>
            <w:shd w:val="clear" w:color="auto" w:fill="auto"/>
            <w:vAlign w:val="center"/>
          </w:tcPr>
          <w:p w14:paraId="701BCBC1" w14:textId="77777777" w:rsidR="00EC2B31" w:rsidRPr="00925134" w:rsidRDefault="00EC2B31" w:rsidP="00EC2B31">
            <w:pPr>
              <w:widowControl w:val="0"/>
              <w:jc w:val="center"/>
              <w:rPr>
                <w:rFonts w:cs="Arial"/>
                <w:b/>
                <w:color w:val="0070AD" w:themeColor="accent1"/>
                <w:sz w:val="14"/>
                <w:szCs w:val="14"/>
                <w:lang w:val="en-US"/>
              </w:rPr>
            </w:pPr>
            <w:r w:rsidRPr="00925134">
              <w:rPr>
                <w:rFonts w:cs="Arial"/>
                <w:b/>
                <w:color w:val="0070AD" w:themeColor="accent1"/>
                <w:sz w:val="14"/>
                <w:szCs w:val="14"/>
                <w:lang w:val="en-US"/>
              </w:rPr>
              <w:t>-9%</w:t>
            </w:r>
          </w:p>
        </w:tc>
      </w:tr>
      <w:tr w:rsidR="00EC2B31" w:rsidRPr="00925134" w14:paraId="6A245571" w14:textId="77777777" w:rsidTr="004D70DE">
        <w:trPr>
          <w:trHeight w:val="227"/>
          <w:jc w:val="center"/>
        </w:trPr>
        <w:tc>
          <w:tcPr>
            <w:tcW w:w="5783" w:type="dxa"/>
            <w:tcBorders>
              <w:top w:val="single" w:sz="8" w:space="0" w:color="0070AD" w:themeColor="accent1"/>
            </w:tcBorders>
            <w:shd w:val="clear" w:color="auto" w:fill="auto"/>
            <w:vAlign w:val="center"/>
          </w:tcPr>
          <w:p w14:paraId="322F929F" w14:textId="77777777" w:rsidR="00EC2B31" w:rsidRPr="00925134" w:rsidRDefault="00EC2B31" w:rsidP="00EC2B31">
            <w:pPr>
              <w:widowControl w:val="0"/>
              <w:rPr>
                <w:rFonts w:cs="Arial"/>
                <w:b/>
                <w:color w:val="0070AD" w:themeColor="accent1"/>
                <w:sz w:val="14"/>
                <w:szCs w:val="14"/>
                <w:lang w:val="en-US"/>
              </w:rPr>
            </w:pPr>
          </w:p>
        </w:tc>
        <w:tc>
          <w:tcPr>
            <w:tcW w:w="1474" w:type="dxa"/>
            <w:tcBorders>
              <w:top w:val="single" w:sz="8" w:space="0" w:color="0070AD" w:themeColor="accent1"/>
            </w:tcBorders>
            <w:shd w:val="clear" w:color="auto" w:fill="auto"/>
            <w:vAlign w:val="center"/>
          </w:tcPr>
          <w:p w14:paraId="6618B31A" w14:textId="77777777" w:rsidR="00EC2B31" w:rsidRPr="00925134" w:rsidRDefault="00EC2B31" w:rsidP="00EC2B31">
            <w:pPr>
              <w:widowControl w:val="0"/>
              <w:ind w:left="-170" w:right="567"/>
              <w:jc w:val="right"/>
              <w:rPr>
                <w:rFonts w:cs="Arial"/>
                <w:b/>
                <w:color w:val="0070AD" w:themeColor="accent1"/>
                <w:sz w:val="14"/>
                <w:szCs w:val="14"/>
                <w:lang w:val="en-US"/>
              </w:rPr>
            </w:pPr>
          </w:p>
        </w:tc>
        <w:tc>
          <w:tcPr>
            <w:tcW w:w="1474" w:type="dxa"/>
            <w:tcBorders>
              <w:top w:val="single" w:sz="8" w:space="0" w:color="0070AD" w:themeColor="accent1"/>
            </w:tcBorders>
            <w:shd w:val="clear" w:color="auto" w:fill="auto"/>
            <w:vAlign w:val="center"/>
          </w:tcPr>
          <w:p w14:paraId="5C9BE860" w14:textId="77777777" w:rsidR="00EC2B31" w:rsidRPr="00925134" w:rsidRDefault="00EC2B31" w:rsidP="00EC2B31">
            <w:pPr>
              <w:widowControl w:val="0"/>
              <w:ind w:left="-170" w:right="567"/>
              <w:jc w:val="right"/>
              <w:rPr>
                <w:rFonts w:cs="Arial"/>
                <w:b/>
                <w:color w:val="0070AD" w:themeColor="accent1"/>
                <w:sz w:val="14"/>
                <w:szCs w:val="14"/>
                <w:lang w:val="en-US"/>
              </w:rPr>
            </w:pPr>
          </w:p>
        </w:tc>
        <w:tc>
          <w:tcPr>
            <w:tcW w:w="1134" w:type="dxa"/>
            <w:tcBorders>
              <w:top w:val="single" w:sz="8" w:space="0" w:color="0070AD" w:themeColor="accent1"/>
            </w:tcBorders>
            <w:shd w:val="clear" w:color="auto" w:fill="auto"/>
            <w:vAlign w:val="center"/>
          </w:tcPr>
          <w:p w14:paraId="642E9559" w14:textId="77777777" w:rsidR="00EC2B31" w:rsidRPr="00925134" w:rsidRDefault="00EC2B31" w:rsidP="00EC2B31">
            <w:pPr>
              <w:widowControl w:val="0"/>
              <w:jc w:val="center"/>
              <w:rPr>
                <w:rFonts w:cs="Arial"/>
                <w:b/>
                <w:color w:val="0070AD" w:themeColor="accent1"/>
                <w:sz w:val="14"/>
                <w:szCs w:val="14"/>
                <w:lang w:val="en-US"/>
              </w:rPr>
            </w:pPr>
          </w:p>
        </w:tc>
      </w:tr>
      <w:tr w:rsidR="00EC2B31" w:rsidRPr="00925134" w14:paraId="4347305A" w14:textId="77777777" w:rsidTr="004D70DE">
        <w:trPr>
          <w:trHeight w:val="284"/>
          <w:jc w:val="center"/>
        </w:trPr>
        <w:tc>
          <w:tcPr>
            <w:tcW w:w="5783" w:type="dxa"/>
            <w:tcBorders>
              <w:bottom w:val="single" w:sz="8" w:space="0" w:color="0070AD" w:themeColor="accent1"/>
            </w:tcBorders>
            <w:vAlign w:val="center"/>
          </w:tcPr>
          <w:p w14:paraId="0EEEAF4A" w14:textId="77777777" w:rsidR="00EC2B31" w:rsidRPr="00925134" w:rsidRDefault="00EC2B31" w:rsidP="00EC2B31">
            <w:pPr>
              <w:keepNext/>
              <w:widowControl w:val="0"/>
              <w:jc w:val="center"/>
              <w:rPr>
                <w:rFonts w:cs="Arial"/>
                <w:i/>
                <w:sz w:val="14"/>
                <w:szCs w:val="14"/>
                <w:lang w:val="en-US"/>
              </w:rPr>
            </w:pPr>
            <w:r w:rsidRPr="00925134">
              <w:rPr>
                <w:rFonts w:cs="Arial"/>
                <w:i/>
                <w:sz w:val="14"/>
                <w:szCs w:val="14"/>
                <w:lang w:val="en-US"/>
              </w:rPr>
              <w:t>(in millions of euros)</w:t>
            </w:r>
          </w:p>
        </w:tc>
        <w:tc>
          <w:tcPr>
            <w:tcW w:w="1474" w:type="dxa"/>
            <w:tcBorders>
              <w:bottom w:val="single" w:sz="8" w:space="0" w:color="0070AD" w:themeColor="accent1"/>
            </w:tcBorders>
            <w:vAlign w:val="center"/>
          </w:tcPr>
          <w:p w14:paraId="75C7582F" w14:textId="77777777" w:rsidR="00EC2B31" w:rsidRPr="00925134" w:rsidRDefault="00EC2B31" w:rsidP="00EC2B31">
            <w:pPr>
              <w:keepNext/>
              <w:widowControl w:val="0"/>
              <w:jc w:val="center"/>
              <w:rPr>
                <w:rFonts w:cs="Arial"/>
                <w:b/>
                <w:sz w:val="14"/>
                <w:szCs w:val="14"/>
                <w:lang w:val="en-US"/>
              </w:rPr>
            </w:pPr>
            <w:r w:rsidRPr="00925134">
              <w:rPr>
                <w:rFonts w:cs="Arial"/>
                <w:b/>
                <w:sz w:val="14"/>
                <w:szCs w:val="14"/>
                <w:lang w:val="en-US"/>
              </w:rPr>
              <w:t>2016</w:t>
            </w:r>
          </w:p>
        </w:tc>
        <w:tc>
          <w:tcPr>
            <w:tcW w:w="1474" w:type="dxa"/>
            <w:tcBorders>
              <w:bottom w:val="single" w:sz="8" w:space="0" w:color="0070AD" w:themeColor="accent1"/>
            </w:tcBorders>
            <w:shd w:val="clear" w:color="auto" w:fill="BBE7FF" w:themeFill="accent1" w:themeFillTint="33"/>
            <w:vAlign w:val="center"/>
          </w:tcPr>
          <w:p w14:paraId="7B8F0D04" w14:textId="77777777" w:rsidR="00EC2B31" w:rsidRPr="00925134" w:rsidRDefault="00EC2B31" w:rsidP="00EC2B31">
            <w:pPr>
              <w:keepNext/>
              <w:widowControl w:val="0"/>
              <w:jc w:val="center"/>
              <w:rPr>
                <w:rFonts w:cs="Arial"/>
                <w:b/>
                <w:sz w:val="14"/>
                <w:szCs w:val="14"/>
                <w:lang w:val="en-US"/>
              </w:rPr>
            </w:pPr>
            <w:r w:rsidRPr="00925134">
              <w:rPr>
                <w:rFonts w:cs="Arial"/>
                <w:b/>
                <w:sz w:val="14"/>
                <w:szCs w:val="14"/>
                <w:lang w:val="en-US"/>
              </w:rPr>
              <w:t>2017</w:t>
            </w:r>
          </w:p>
        </w:tc>
        <w:tc>
          <w:tcPr>
            <w:tcW w:w="1134" w:type="dxa"/>
            <w:tcBorders>
              <w:bottom w:val="single" w:sz="8" w:space="0" w:color="0070AD" w:themeColor="accent1"/>
            </w:tcBorders>
            <w:shd w:val="clear" w:color="auto" w:fill="auto"/>
            <w:vAlign w:val="center"/>
          </w:tcPr>
          <w:p w14:paraId="39F33BBA" w14:textId="77777777" w:rsidR="00EC2B31" w:rsidRPr="00925134" w:rsidRDefault="00EC2B31" w:rsidP="00EC2B31">
            <w:pPr>
              <w:keepNext/>
              <w:widowControl w:val="0"/>
              <w:jc w:val="center"/>
              <w:rPr>
                <w:rFonts w:cs="Arial"/>
                <w:b/>
                <w:i/>
                <w:sz w:val="14"/>
                <w:szCs w:val="14"/>
                <w:lang w:val="en-US"/>
              </w:rPr>
            </w:pPr>
            <w:r w:rsidRPr="00925134">
              <w:rPr>
                <w:rFonts w:cs="Arial"/>
                <w:b/>
                <w:i/>
                <w:sz w:val="14"/>
                <w:szCs w:val="14"/>
                <w:lang w:val="en-US"/>
              </w:rPr>
              <w:t>Change</w:t>
            </w:r>
          </w:p>
        </w:tc>
      </w:tr>
      <w:tr w:rsidR="00EC2B31" w:rsidRPr="00925134" w14:paraId="029F2E4C"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1D16C81C" w14:textId="77777777" w:rsidR="00EC2B31" w:rsidRPr="00925134" w:rsidRDefault="00EC2B31" w:rsidP="00EC2B31">
            <w:pPr>
              <w:keepNext/>
              <w:widowControl w:val="0"/>
              <w:rPr>
                <w:rFonts w:cs="Arial"/>
                <w:b/>
                <w:color w:val="0070AD"/>
                <w:sz w:val="14"/>
                <w:szCs w:val="14"/>
                <w:lang w:val="en-US"/>
              </w:rPr>
            </w:pPr>
            <w:r w:rsidRPr="00925134">
              <w:rPr>
                <w:b/>
                <w:color w:val="0070AD"/>
                <w:sz w:val="14"/>
                <w:lang w:val="en-US"/>
              </w:rPr>
              <w:t>Profit for the year, Group share</w:t>
            </w:r>
          </w:p>
        </w:tc>
        <w:tc>
          <w:tcPr>
            <w:tcW w:w="1474" w:type="dxa"/>
            <w:tcBorders>
              <w:top w:val="single" w:sz="8" w:space="0" w:color="0070AD" w:themeColor="accent1"/>
              <w:bottom w:val="single" w:sz="8" w:space="0" w:color="0070AD" w:themeColor="accent1"/>
            </w:tcBorders>
            <w:shd w:val="clear" w:color="auto" w:fill="auto"/>
            <w:vAlign w:val="center"/>
          </w:tcPr>
          <w:p w14:paraId="0E07A4BB"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921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56474325"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820</w:t>
            </w:r>
          </w:p>
        </w:tc>
        <w:tc>
          <w:tcPr>
            <w:tcW w:w="1134" w:type="dxa"/>
            <w:tcBorders>
              <w:top w:val="single" w:sz="8" w:space="0" w:color="0070AD" w:themeColor="accent1"/>
              <w:bottom w:val="single" w:sz="8" w:space="0" w:color="0070AD" w:themeColor="accent1"/>
            </w:tcBorders>
            <w:shd w:val="clear" w:color="auto" w:fill="auto"/>
            <w:vAlign w:val="center"/>
          </w:tcPr>
          <w:p w14:paraId="06E7B88A" w14:textId="77777777" w:rsidR="00EC2B31" w:rsidRPr="00925134" w:rsidRDefault="00EC2B31" w:rsidP="00EC2B31">
            <w:pPr>
              <w:keepNext/>
              <w:widowControl w:val="0"/>
              <w:jc w:val="center"/>
              <w:rPr>
                <w:rFonts w:cs="Arial"/>
                <w:b/>
                <w:color w:val="0070AD" w:themeColor="accent1"/>
                <w:sz w:val="14"/>
                <w:szCs w:val="14"/>
                <w:lang w:val="en-US"/>
              </w:rPr>
            </w:pPr>
          </w:p>
        </w:tc>
      </w:tr>
      <w:tr w:rsidR="00EC2B31" w:rsidRPr="00925134" w14:paraId="073A5FFE" w14:textId="77777777" w:rsidTr="004D70DE">
        <w:trPr>
          <w:trHeight w:val="227"/>
          <w:jc w:val="center"/>
        </w:trPr>
        <w:tc>
          <w:tcPr>
            <w:tcW w:w="5783" w:type="dxa"/>
            <w:tcBorders>
              <w:top w:val="single" w:sz="8" w:space="0" w:color="0070AD" w:themeColor="accent1"/>
            </w:tcBorders>
            <w:vAlign w:val="center"/>
          </w:tcPr>
          <w:p w14:paraId="2FBFDAE0" w14:textId="77777777" w:rsidR="00EC2B31" w:rsidRPr="00925134" w:rsidRDefault="00EC2B31" w:rsidP="00EC2B31">
            <w:pPr>
              <w:keepNext/>
              <w:widowControl w:val="0"/>
              <w:ind w:left="149"/>
              <w:rPr>
                <w:rFonts w:cs="Arial"/>
                <w:sz w:val="14"/>
                <w:szCs w:val="14"/>
                <w:lang w:val="en-US"/>
              </w:rPr>
            </w:pPr>
            <w:r w:rsidRPr="00925134">
              <w:rPr>
                <w:sz w:val="14"/>
                <w:lang w:val="en-US"/>
              </w:rPr>
              <w:t>Effective tax rate, excluding exceptional tax income</w:t>
            </w:r>
          </w:p>
        </w:tc>
        <w:tc>
          <w:tcPr>
            <w:tcW w:w="1474" w:type="dxa"/>
            <w:tcBorders>
              <w:top w:val="single" w:sz="8" w:space="0" w:color="0070AD" w:themeColor="accent1"/>
            </w:tcBorders>
            <w:shd w:val="clear" w:color="auto" w:fill="auto"/>
            <w:vAlign w:val="center"/>
          </w:tcPr>
          <w:p w14:paraId="6E3C7EDE"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27.3%</w:t>
            </w:r>
          </w:p>
        </w:tc>
        <w:tc>
          <w:tcPr>
            <w:tcW w:w="1474" w:type="dxa"/>
            <w:tcBorders>
              <w:top w:val="single" w:sz="8" w:space="0" w:color="0070AD" w:themeColor="accent1"/>
            </w:tcBorders>
            <w:shd w:val="clear" w:color="auto" w:fill="BBE7FF" w:themeFill="accent1" w:themeFillTint="33"/>
            <w:vAlign w:val="center"/>
          </w:tcPr>
          <w:p w14:paraId="21DC0409"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27.3%</w:t>
            </w:r>
          </w:p>
        </w:tc>
        <w:tc>
          <w:tcPr>
            <w:tcW w:w="1134" w:type="dxa"/>
            <w:tcBorders>
              <w:top w:val="single" w:sz="8" w:space="0" w:color="0070AD" w:themeColor="accent1"/>
            </w:tcBorders>
            <w:shd w:val="clear" w:color="auto" w:fill="auto"/>
            <w:vAlign w:val="center"/>
          </w:tcPr>
          <w:p w14:paraId="10938AA4" w14:textId="77777777" w:rsidR="00EC2B31" w:rsidRPr="00925134" w:rsidRDefault="00EC2B31" w:rsidP="00EC2B31">
            <w:pPr>
              <w:keepNext/>
              <w:widowControl w:val="0"/>
              <w:jc w:val="center"/>
              <w:rPr>
                <w:rFonts w:cs="Arial"/>
                <w:sz w:val="14"/>
                <w:szCs w:val="14"/>
                <w:lang w:val="en-US"/>
              </w:rPr>
            </w:pPr>
          </w:p>
        </w:tc>
      </w:tr>
      <w:tr w:rsidR="00EC2B31" w:rsidRPr="00925134" w14:paraId="30C3DF4A" w14:textId="77777777" w:rsidTr="004D70DE">
        <w:trPr>
          <w:trHeight w:val="227"/>
          <w:jc w:val="center"/>
        </w:trPr>
        <w:tc>
          <w:tcPr>
            <w:tcW w:w="5783" w:type="dxa"/>
            <w:tcBorders>
              <w:bottom w:val="single" w:sz="8" w:space="0" w:color="0070AD" w:themeColor="accent1"/>
            </w:tcBorders>
            <w:vAlign w:val="center"/>
          </w:tcPr>
          <w:p w14:paraId="65813F67" w14:textId="77777777" w:rsidR="00EC2B31" w:rsidRPr="00925134" w:rsidRDefault="00EC2B31" w:rsidP="00EC2B31">
            <w:pPr>
              <w:keepNext/>
              <w:widowControl w:val="0"/>
              <w:ind w:left="149"/>
              <w:rPr>
                <w:rFonts w:cs="Arial"/>
                <w:sz w:val="14"/>
                <w:szCs w:val="14"/>
                <w:lang w:val="en-US"/>
              </w:rPr>
            </w:pPr>
            <w:r w:rsidRPr="00925134">
              <w:rPr>
                <w:sz w:val="14"/>
                <w:lang w:val="en-US"/>
              </w:rPr>
              <w:t>(-) Other operating income and expenses, net of tax</w:t>
            </w:r>
          </w:p>
        </w:tc>
        <w:tc>
          <w:tcPr>
            <w:tcW w:w="1474" w:type="dxa"/>
            <w:tcBorders>
              <w:bottom w:val="single" w:sz="8" w:space="0" w:color="0070AD" w:themeColor="accent1"/>
            </w:tcBorders>
            <w:shd w:val="clear" w:color="auto" w:fill="auto"/>
            <w:vAlign w:val="center"/>
          </w:tcPr>
          <w:p w14:paraId="2A6A5219"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212</w:t>
            </w:r>
          </w:p>
        </w:tc>
        <w:tc>
          <w:tcPr>
            <w:tcW w:w="1474" w:type="dxa"/>
            <w:tcBorders>
              <w:bottom w:val="single" w:sz="8" w:space="0" w:color="0070AD" w:themeColor="accent1"/>
            </w:tcBorders>
            <w:shd w:val="clear" w:color="auto" w:fill="BBE7FF" w:themeFill="accent1" w:themeFillTint="33"/>
            <w:vAlign w:val="center"/>
          </w:tcPr>
          <w:p w14:paraId="4BDC5057" w14:textId="77777777" w:rsidR="00EC2B31" w:rsidRPr="00925134" w:rsidRDefault="00EC2B31" w:rsidP="00EC2B31">
            <w:pPr>
              <w:keepNext/>
              <w:ind w:left="-170" w:right="397"/>
              <w:jc w:val="right"/>
              <w:rPr>
                <w:rFonts w:cs="Arial"/>
                <w:sz w:val="14"/>
                <w:szCs w:val="14"/>
                <w:lang w:val="en-US"/>
              </w:rPr>
            </w:pPr>
            <w:r w:rsidRPr="00925134">
              <w:rPr>
                <w:rFonts w:cs="Arial"/>
                <w:sz w:val="14"/>
                <w:szCs w:val="14"/>
                <w:lang w:val="en-US"/>
              </w:rPr>
              <w:t>226</w:t>
            </w:r>
          </w:p>
        </w:tc>
        <w:tc>
          <w:tcPr>
            <w:tcW w:w="1134" w:type="dxa"/>
            <w:tcBorders>
              <w:bottom w:val="single" w:sz="8" w:space="0" w:color="0070AD" w:themeColor="accent1"/>
            </w:tcBorders>
            <w:shd w:val="clear" w:color="auto" w:fill="auto"/>
            <w:vAlign w:val="center"/>
          </w:tcPr>
          <w:p w14:paraId="5E02E97A" w14:textId="77777777" w:rsidR="00EC2B31" w:rsidRPr="00925134" w:rsidRDefault="00EC2B31" w:rsidP="00EC2B31">
            <w:pPr>
              <w:keepNext/>
              <w:widowControl w:val="0"/>
              <w:jc w:val="center"/>
              <w:rPr>
                <w:rFonts w:cs="Arial"/>
                <w:sz w:val="14"/>
                <w:szCs w:val="14"/>
                <w:lang w:val="en-US"/>
              </w:rPr>
            </w:pPr>
          </w:p>
        </w:tc>
      </w:tr>
      <w:tr w:rsidR="00EC2B31" w:rsidRPr="00925134" w14:paraId="205B99EA"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6559D7EC" w14:textId="77777777" w:rsidR="00EC2B31" w:rsidRPr="00925134" w:rsidRDefault="00EC2B31" w:rsidP="00EC2B31">
            <w:pPr>
              <w:keepNext/>
              <w:widowControl w:val="0"/>
              <w:rPr>
                <w:rFonts w:cs="Arial"/>
                <w:b/>
                <w:color w:val="0070AD"/>
                <w:sz w:val="14"/>
                <w:szCs w:val="14"/>
                <w:lang w:val="en-US"/>
              </w:rPr>
            </w:pPr>
            <w:r w:rsidRPr="00925134">
              <w:rPr>
                <w:b/>
                <w:color w:val="0070AD"/>
                <w:sz w:val="14"/>
                <w:lang w:val="en-US"/>
              </w:rPr>
              <w:t>Normalized profit for the year</w:t>
            </w:r>
          </w:p>
        </w:tc>
        <w:tc>
          <w:tcPr>
            <w:tcW w:w="1474" w:type="dxa"/>
            <w:tcBorders>
              <w:top w:val="single" w:sz="8" w:space="0" w:color="0070AD" w:themeColor="accent1"/>
              <w:bottom w:val="single" w:sz="8" w:space="0" w:color="0070AD" w:themeColor="accent1"/>
            </w:tcBorders>
            <w:shd w:val="clear" w:color="auto" w:fill="auto"/>
            <w:vAlign w:val="center"/>
          </w:tcPr>
          <w:p w14:paraId="42BD61DC"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1,133</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766008B0"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1,046</w:t>
            </w:r>
          </w:p>
        </w:tc>
        <w:tc>
          <w:tcPr>
            <w:tcW w:w="1134" w:type="dxa"/>
            <w:tcBorders>
              <w:top w:val="single" w:sz="8" w:space="0" w:color="0070AD" w:themeColor="accent1"/>
              <w:bottom w:val="single" w:sz="8" w:space="0" w:color="0070AD" w:themeColor="accent1"/>
            </w:tcBorders>
            <w:shd w:val="clear" w:color="auto" w:fill="auto"/>
            <w:vAlign w:val="center"/>
          </w:tcPr>
          <w:p w14:paraId="5D3A4AFC" w14:textId="77777777" w:rsidR="00EC2B31" w:rsidRPr="00925134" w:rsidRDefault="00EC2B31" w:rsidP="00EC2B31">
            <w:pPr>
              <w:keepNext/>
              <w:widowControl w:val="0"/>
              <w:jc w:val="center"/>
              <w:rPr>
                <w:rFonts w:cs="Arial"/>
                <w:b/>
                <w:color w:val="0070AD" w:themeColor="accent1"/>
                <w:sz w:val="14"/>
                <w:szCs w:val="14"/>
                <w:lang w:val="en-US"/>
              </w:rPr>
            </w:pPr>
          </w:p>
        </w:tc>
      </w:tr>
      <w:tr w:rsidR="00EC2B31" w:rsidRPr="00925134" w14:paraId="4796866D"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752C5CDA" w14:textId="77777777" w:rsidR="00EC2B31" w:rsidRPr="00925134" w:rsidRDefault="00EC2B31" w:rsidP="00EC2B31">
            <w:pPr>
              <w:keepNext/>
              <w:widowControl w:val="0"/>
              <w:ind w:left="149"/>
              <w:rPr>
                <w:rFonts w:cs="Arial"/>
                <w:sz w:val="14"/>
                <w:szCs w:val="14"/>
                <w:lang w:val="en-US"/>
              </w:rPr>
            </w:pPr>
            <w:r w:rsidRPr="00925134">
              <w:rPr>
                <w:sz w:val="14"/>
                <w:lang w:val="en-US"/>
              </w:rPr>
              <w:t>Average number of shares outstanding</w:t>
            </w:r>
          </w:p>
        </w:tc>
        <w:tc>
          <w:tcPr>
            <w:tcW w:w="1474" w:type="dxa"/>
            <w:tcBorders>
              <w:top w:val="single" w:sz="8" w:space="0" w:color="0070AD" w:themeColor="accent1"/>
              <w:bottom w:val="single" w:sz="8" w:space="0" w:color="0070AD" w:themeColor="accent1"/>
            </w:tcBorders>
            <w:shd w:val="clear" w:color="auto" w:fill="auto"/>
            <w:vAlign w:val="center"/>
          </w:tcPr>
          <w:p w14:paraId="41F315E6" w14:textId="77777777" w:rsidR="00EC2B31" w:rsidRPr="00925134" w:rsidRDefault="00EC2B31" w:rsidP="00EC2B31">
            <w:pPr>
              <w:keepNext/>
              <w:widowControl w:val="0"/>
              <w:jc w:val="center"/>
              <w:rPr>
                <w:rFonts w:cs="Arial"/>
                <w:sz w:val="14"/>
                <w:szCs w:val="14"/>
                <w:lang w:val="en-US"/>
              </w:rPr>
            </w:pPr>
            <w:r w:rsidRPr="00925134">
              <w:rPr>
                <w:rFonts w:cs="Arial"/>
                <w:sz w:val="14"/>
                <w:szCs w:val="14"/>
                <w:lang w:val="en-US"/>
              </w:rPr>
              <w:t>169,450,721</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59BF864" w14:textId="77777777" w:rsidR="00EC2B31" w:rsidRPr="00925134" w:rsidRDefault="00EC2B31" w:rsidP="00EC2B31">
            <w:pPr>
              <w:keepNext/>
              <w:widowControl w:val="0"/>
              <w:jc w:val="center"/>
              <w:rPr>
                <w:rFonts w:cs="Arial"/>
                <w:sz w:val="14"/>
                <w:szCs w:val="14"/>
                <w:lang w:val="en-US"/>
              </w:rPr>
            </w:pPr>
            <w:r w:rsidRPr="00925134">
              <w:rPr>
                <w:rFonts w:cs="Arial"/>
                <w:sz w:val="14"/>
                <w:szCs w:val="14"/>
                <w:lang w:val="en-US"/>
              </w:rPr>
              <w:t>168,057,561</w:t>
            </w:r>
          </w:p>
        </w:tc>
        <w:tc>
          <w:tcPr>
            <w:tcW w:w="1134" w:type="dxa"/>
            <w:tcBorders>
              <w:top w:val="single" w:sz="8" w:space="0" w:color="0070AD" w:themeColor="accent1"/>
              <w:bottom w:val="single" w:sz="8" w:space="0" w:color="0070AD" w:themeColor="accent1"/>
            </w:tcBorders>
            <w:shd w:val="clear" w:color="auto" w:fill="auto"/>
            <w:vAlign w:val="center"/>
          </w:tcPr>
          <w:p w14:paraId="6B94D404" w14:textId="77777777" w:rsidR="00EC2B31" w:rsidRPr="00925134" w:rsidRDefault="00EC2B31" w:rsidP="00EC2B31">
            <w:pPr>
              <w:keepNext/>
              <w:widowControl w:val="0"/>
              <w:jc w:val="center"/>
              <w:rPr>
                <w:rFonts w:cs="Arial"/>
                <w:sz w:val="14"/>
                <w:szCs w:val="14"/>
                <w:lang w:val="en-US"/>
              </w:rPr>
            </w:pPr>
          </w:p>
        </w:tc>
      </w:tr>
      <w:tr w:rsidR="00EC2B31" w:rsidRPr="00925134" w14:paraId="6A8F1BE8" w14:textId="77777777" w:rsidTr="004D70DE">
        <w:trPr>
          <w:trHeight w:val="227"/>
          <w:jc w:val="center"/>
        </w:trPr>
        <w:tc>
          <w:tcPr>
            <w:tcW w:w="5783" w:type="dxa"/>
            <w:tcBorders>
              <w:top w:val="single" w:sz="8" w:space="0" w:color="0070AD" w:themeColor="accent1"/>
              <w:bottom w:val="single" w:sz="8" w:space="0" w:color="0070AD" w:themeColor="accent1"/>
            </w:tcBorders>
            <w:vAlign w:val="center"/>
          </w:tcPr>
          <w:p w14:paraId="74AFEFDE" w14:textId="77777777" w:rsidR="00EC2B31" w:rsidRPr="00925134" w:rsidRDefault="00EC2B31" w:rsidP="00EC2B31">
            <w:pPr>
              <w:widowControl w:val="0"/>
              <w:rPr>
                <w:rFonts w:cs="Arial"/>
                <w:b/>
                <w:color w:val="0070AD"/>
                <w:sz w:val="14"/>
                <w:szCs w:val="14"/>
                <w:lang w:val="en-US"/>
              </w:rPr>
            </w:pPr>
            <w:r w:rsidRPr="00925134">
              <w:rPr>
                <w:b/>
                <w:color w:val="0070AD"/>
                <w:sz w:val="14"/>
                <w:lang w:val="en-US"/>
              </w:rPr>
              <w:t xml:space="preserve">Normalized earnings per share </w:t>
            </w:r>
            <w:r w:rsidRPr="00925134">
              <w:rPr>
                <w:i/>
                <w:color w:val="0070AD"/>
                <w:sz w:val="14"/>
                <w:lang w:val="en-US"/>
              </w:rPr>
              <w:t>(in euros)</w:t>
            </w:r>
          </w:p>
        </w:tc>
        <w:tc>
          <w:tcPr>
            <w:tcW w:w="1474" w:type="dxa"/>
            <w:tcBorders>
              <w:top w:val="single" w:sz="8" w:space="0" w:color="0070AD" w:themeColor="accent1"/>
              <w:bottom w:val="single" w:sz="8" w:space="0" w:color="0070AD" w:themeColor="accent1"/>
            </w:tcBorders>
            <w:shd w:val="clear" w:color="auto" w:fill="auto"/>
            <w:vAlign w:val="center"/>
          </w:tcPr>
          <w:p w14:paraId="1C92038C"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6.69</w:t>
            </w:r>
          </w:p>
        </w:tc>
        <w:tc>
          <w:tcPr>
            <w:tcW w:w="1474" w:type="dxa"/>
            <w:tcBorders>
              <w:top w:val="single" w:sz="8" w:space="0" w:color="0070AD" w:themeColor="accent1"/>
              <w:bottom w:val="single" w:sz="8" w:space="0" w:color="0070AD" w:themeColor="accent1"/>
            </w:tcBorders>
            <w:shd w:val="clear" w:color="auto" w:fill="BBE7FF" w:themeFill="accent1" w:themeFillTint="33"/>
            <w:vAlign w:val="center"/>
          </w:tcPr>
          <w:p w14:paraId="289EDAEB" w14:textId="77777777" w:rsidR="00EC2B31" w:rsidRPr="00925134" w:rsidRDefault="00EC2B31" w:rsidP="00EC2B31">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6.22</w:t>
            </w:r>
          </w:p>
        </w:tc>
        <w:tc>
          <w:tcPr>
            <w:tcW w:w="1134" w:type="dxa"/>
            <w:tcBorders>
              <w:top w:val="single" w:sz="8" w:space="0" w:color="0070AD" w:themeColor="accent1"/>
              <w:bottom w:val="single" w:sz="8" w:space="0" w:color="0070AD" w:themeColor="accent1"/>
            </w:tcBorders>
            <w:shd w:val="clear" w:color="auto" w:fill="auto"/>
            <w:vAlign w:val="center"/>
          </w:tcPr>
          <w:p w14:paraId="714120AA" w14:textId="77777777" w:rsidR="00EC2B31" w:rsidRPr="00925134" w:rsidRDefault="00EC2B31" w:rsidP="00EC2B31">
            <w:pPr>
              <w:widowControl w:val="0"/>
              <w:jc w:val="center"/>
              <w:rPr>
                <w:rFonts w:cs="Arial"/>
                <w:b/>
                <w:color w:val="0070AD" w:themeColor="accent1"/>
                <w:sz w:val="14"/>
                <w:szCs w:val="14"/>
                <w:lang w:val="en-US"/>
              </w:rPr>
            </w:pPr>
            <w:r w:rsidRPr="00925134">
              <w:rPr>
                <w:rFonts w:cs="Arial"/>
                <w:b/>
                <w:color w:val="0070AD" w:themeColor="accent1"/>
                <w:sz w:val="14"/>
                <w:szCs w:val="14"/>
                <w:lang w:val="en-US"/>
              </w:rPr>
              <w:t>-7%</w:t>
            </w:r>
          </w:p>
        </w:tc>
      </w:tr>
    </w:tbl>
    <w:p w14:paraId="0F2E80C1" w14:textId="54CB2E66" w:rsidR="003E11DB" w:rsidRPr="00925134" w:rsidRDefault="005D7D81" w:rsidP="00B8584F">
      <w:pPr>
        <w:pStyle w:val="Brdtekst"/>
        <w:keepLines/>
        <w:spacing w:line="240" w:lineRule="auto"/>
        <w:rPr>
          <w:b/>
          <w:caps/>
          <w:lang w:val="en-US"/>
        </w:rPr>
      </w:pPr>
      <w:r w:rsidRPr="00925134">
        <w:rPr>
          <w:lang w:val="en-US"/>
        </w:rPr>
        <w:t>In 2016, the Group recognized exceptional tax income of €180 million, increasing basic EPS and normalized EPS by €</w:t>
      </w:r>
      <w:r w:rsidR="00E37E9A" w:rsidRPr="00925134">
        <w:rPr>
          <w:lang w:val="en-US"/>
        </w:rPr>
        <w:t>1</w:t>
      </w:r>
      <w:r w:rsidRPr="00925134">
        <w:rPr>
          <w:lang w:val="en-US"/>
        </w:rPr>
        <w:t>.</w:t>
      </w:r>
      <w:r w:rsidR="00E37E9A" w:rsidRPr="00925134">
        <w:rPr>
          <w:lang w:val="en-US"/>
        </w:rPr>
        <w:t>07</w:t>
      </w:r>
      <w:r w:rsidRPr="00925134">
        <w:rPr>
          <w:lang w:val="en-US"/>
        </w:rPr>
        <w:t xml:space="preserve"> and diluted EPS by €</w:t>
      </w:r>
      <w:r w:rsidR="00E37E9A" w:rsidRPr="00925134">
        <w:rPr>
          <w:lang w:val="en-US"/>
        </w:rPr>
        <w:t>1</w:t>
      </w:r>
      <w:r w:rsidRPr="00925134">
        <w:rPr>
          <w:lang w:val="en-US"/>
        </w:rPr>
        <w:t>.</w:t>
      </w:r>
      <w:r w:rsidR="00E37E9A" w:rsidRPr="00925134">
        <w:rPr>
          <w:lang w:val="en-US"/>
        </w:rPr>
        <w:t>01</w:t>
      </w:r>
      <w:r w:rsidRPr="00925134">
        <w:rPr>
          <w:lang w:val="en-US"/>
        </w:rPr>
        <w:t>. Adjusted for the exceptional tax income</w:t>
      </w:r>
      <w:r w:rsidR="00740997" w:rsidRPr="00925134">
        <w:rPr>
          <w:lang w:val="en-US"/>
        </w:rPr>
        <w:t xml:space="preserve"> </w:t>
      </w:r>
      <w:r w:rsidRPr="00925134">
        <w:rPr>
          <w:lang w:val="en-US"/>
        </w:rPr>
        <w:t>recognized in 201</w:t>
      </w:r>
      <w:r w:rsidR="000F3D27" w:rsidRPr="00925134">
        <w:rPr>
          <w:lang w:val="en-US"/>
        </w:rPr>
        <w:t>6</w:t>
      </w:r>
      <w:r w:rsidRPr="00925134">
        <w:rPr>
          <w:lang w:val="en-US"/>
        </w:rPr>
        <w:t>, the increase in normalized EPS in 2017 is 11%</w:t>
      </w:r>
      <w:r w:rsidR="00E37E9A" w:rsidRPr="00925134">
        <w:rPr>
          <w:lang w:val="en-US"/>
        </w:rPr>
        <w:t xml:space="preserve">. </w:t>
      </w:r>
    </w:p>
    <w:tbl>
      <w:tblPr>
        <w:tblW w:w="0" w:type="auto"/>
        <w:jc w:val="center"/>
        <w:tblLook w:val="04A0" w:firstRow="1" w:lastRow="0" w:firstColumn="1" w:lastColumn="0" w:noHBand="0" w:noVBand="1"/>
      </w:tblPr>
      <w:tblGrid>
        <w:gridCol w:w="5783"/>
        <w:gridCol w:w="1474"/>
        <w:gridCol w:w="1474"/>
        <w:gridCol w:w="1134"/>
      </w:tblGrid>
      <w:tr w:rsidR="00740997" w:rsidRPr="00925134" w14:paraId="26343831" w14:textId="77777777" w:rsidTr="004D70DE">
        <w:trPr>
          <w:trHeight w:val="284"/>
          <w:jc w:val="center"/>
        </w:trPr>
        <w:tc>
          <w:tcPr>
            <w:tcW w:w="5783" w:type="dxa"/>
            <w:tcBorders>
              <w:bottom w:val="single" w:sz="8" w:space="0" w:color="30849B"/>
            </w:tcBorders>
            <w:vAlign w:val="center"/>
          </w:tcPr>
          <w:p w14:paraId="060E2E0E" w14:textId="77777777" w:rsidR="00740997" w:rsidRPr="00925134" w:rsidRDefault="00EC2B31" w:rsidP="00EC2B31">
            <w:pPr>
              <w:keepNext/>
              <w:jc w:val="center"/>
              <w:rPr>
                <w:rFonts w:cs="Arial"/>
                <w:i/>
                <w:sz w:val="14"/>
                <w:szCs w:val="14"/>
                <w:lang w:val="en-US"/>
              </w:rPr>
            </w:pPr>
            <w:r w:rsidRPr="00925134">
              <w:rPr>
                <w:rFonts w:cs="Arial"/>
                <w:i/>
                <w:sz w:val="14"/>
                <w:szCs w:val="14"/>
                <w:lang w:val="en-US"/>
              </w:rPr>
              <w:t>(i</w:t>
            </w:r>
            <w:r w:rsidR="00740997" w:rsidRPr="00925134">
              <w:rPr>
                <w:rFonts w:cs="Arial"/>
                <w:i/>
                <w:sz w:val="14"/>
                <w:szCs w:val="14"/>
                <w:lang w:val="en-US"/>
              </w:rPr>
              <w:t>n millions</w:t>
            </w:r>
            <w:r w:rsidRPr="00925134">
              <w:rPr>
                <w:rFonts w:cs="Arial"/>
                <w:i/>
                <w:sz w:val="14"/>
                <w:szCs w:val="14"/>
                <w:lang w:val="en-US"/>
              </w:rPr>
              <w:t xml:space="preserve"> of euros</w:t>
            </w:r>
            <w:r w:rsidR="00740997" w:rsidRPr="00925134">
              <w:rPr>
                <w:rFonts w:cs="Arial"/>
                <w:i/>
                <w:sz w:val="14"/>
                <w:szCs w:val="14"/>
                <w:lang w:val="en-US"/>
              </w:rPr>
              <w:t>)</w:t>
            </w:r>
          </w:p>
        </w:tc>
        <w:tc>
          <w:tcPr>
            <w:tcW w:w="1474" w:type="dxa"/>
            <w:tcBorders>
              <w:bottom w:val="single" w:sz="8" w:space="0" w:color="30849B"/>
            </w:tcBorders>
            <w:vAlign w:val="center"/>
          </w:tcPr>
          <w:p w14:paraId="69097C91" w14:textId="77777777" w:rsidR="00740997" w:rsidRPr="00925134" w:rsidRDefault="00740997" w:rsidP="00E35643">
            <w:pPr>
              <w:keepNext/>
              <w:jc w:val="center"/>
              <w:rPr>
                <w:rFonts w:cs="Arial"/>
                <w:b/>
                <w:sz w:val="14"/>
                <w:szCs w:val="14"/>
                <w:lang w:val="en-US"/>
              </w:rPr>
            </w:pPr>
            <w:r w:rsidRPr="00925134">
              <w:rPr>
                <w:rFonts w:cs="Arial"/>
                <w:b/>
                <w:sz w:val="14"/>
                <w:szCs w:val="14"/>
                <w:lang w:val="en-US"/>
              </w:rPr>
              <w:t>2016</w:t>
            </w:r>
          </w:p>
        </w:tc>
        <w:tc>
          <w:tcPr>
            <w:tcW w:w="1474" w:type="dxa"/>
            <w:tcBorders>
              <w:bottom w:val="single" w:sz="8" w:space="0" w:color="30849B"/>
            </w:tcBorders>
            <w:shd w:val="clear" w:color="auto" w:fill="BBE7FF" w:themeFill="accent1" w:themeFillTint="33"/>
            <w:vAlign w:val="center"/>
          </w:tcPr>
          <w:p w14:paraId="2BFCAA55" w14:textId="77777777" w:rsidR="00740997" w:rsidRPr="00925134" w:rsidRDefault="00740997" w:rsidP="00E35643">
            <w:pPr>
              <w:keepNext/>
              <w:jc w:val="center"/>
              <w:rPr>
                <w:rFonts w:cs="Arial"/>
                <w:b/>
                <w:sz w:val="14"/>
                <w:szCs w:val="14"/>
                <w:lang w:val="en-US"/>
              </w:rPr>
            </w:pPr>
            <w:r w:rsidRPr="00925134">
              <w:rPr>
                <w:rFonts w:cs="Arial"/>
                <w:b/>
                <w:sz w:val="14"/>
                <w:szCs w:val="14"/>
                <w:lang w:val="en-US"/>
              </w:rPr>
              <w:t>2017</w:t>
            </w:r>
          </w:p>
        </w:tc>
        <w:tc>
          <w:tcPr>
            <w:tcW w:w="1134" w:type="dxa"/>
            <w:tcBorders>
              <w:bottom w:val="single" w:sz="8" w:space="0" w:color="30849B"/>
            </w:tcBorders>
            <w:shd w:val="clear" w:color="auto" w:fill="auto"/>
            <w:vAlign w:val="center"/>
          </w:tcPr>
          <w:p w14:paraId="171F48B0" w14:textId="77777777" w:rsidR="00740997" w:rsidRPr="00925134" w:rsidRDefault="00EC2B31" w:rsidP="00EC2B31">
            <w:pPr>
              <w:keepNext/>
              <w:jc w:val="center"/>
              <w:rPr>
                <w:rFonts w:cs="Arial"/>
                <w:b/>
                <w:i/>
                <w:sz w:val="14"/>
                <w:szCs w:val="14"/>
                <w:lang w:val="en-US"/>
              </w:rPr>
            </w:pPr>
            <w:r w:rsidRPr="00925134">
              <w:rPr>
                <w:rFonts w:cs="Arial"/>
                <w:b/>
                <w:i/>
                <w:sz w:val="14"/>
                <w:szCs w:val="14"/>
                <w:lang w:val="en-US"/>
              </w:rPr>
              <w:t>Change</w:t>
            </w:r>
          </w:p>
        </w:tc>
      </w:tr>
      <w:tr w:rsidR="00740997" w:rsidRPr="00925134" w14:paraId="3A379129" w14:textId="77777777" w:rsidTr="004D70DE">
        <w:trPr>
          <w:trHeight w:val="227"/>
          <w:jc w:val="center"/>
        </w:trPr>
        <w:tc>
          <w:tcPr>
            <w:tcW w:w="5783" w:type="dxa"/>
            <w:tcBorders>
              <w:top w:val="single" w:sz="8" w:space="0" w:color="30849B"/>
              <w:bottom w:val="single" w:sz="8" w:space="0" w:color="30849B"/>
            </w:tcBorders>
            <w:vAlign w:val="center"/>
          </w:tcPr>
          <w:p w14:paraId="3C5C88BE" w14:textId="53FE05D6" w:rsidR="00740997" w:rsidRPr="00925134" w:rsidRDefault="00EC2B31" w:rsidP="000F3D27">
            <w:pPr>
              <w:keepNext/>
              <w:rPr>
                <w:rFonts w:cs="Arial"/>
                <w:b/>
                <w:color w:val="0070AD" w:themeColor="accent1"/>
                <w:sz w:val="14"/>
                <w:szCs w:val="14"/>
                <w:lang w:val="en-US"/>
              </w:rPr>
            </w:pPr>
            <w:r w:rsidRPr="00925134">
              <w:rPr>
                <w:rFonts w:cs="Arial"/>
                <w:b/>
                <w:color w:val="0070AD" w:themeColor="accent1"/>
                <w:sz w:val="14"/>
                <w:szCs w:val="14"/>
                <w:lang w:val="en-US"/>
              </w:rPr>
              <w:t xml:space="preserve">Normalized </w:t>
            </w:r>
            <w:r w:rsidR="000F3D27" w:rsidRPr="00925134">
              <w:rPr>
                <w:rFonts w:cs="Arial"/>
                <w:b/>
                <w:color w:val="0070AD" w:themeColor="accent1"/>
                <w:sz w:val="14"/>
                <w:szCs w:val="14"/>
                <w:lang w:val="en-US"/>
              </w:rPr>
              <w:t>earnings</w:t>
            </w:r>
            <w:r w:rsidRPr="00925134">
              <w:rPr>
                <w:rFonts w:cs="Arial"/>
                <w:b/>
                <w:color w:val="0070AD" w:themeColor="accent1"/>
                <w:sz w:val="14"/>
                <w:szCs w:val="14"/>
                <w:lang w:val="en-US"/>
              </w:rPr>
              <w:t xml:space="preserve"> per share</w:t>
            </w:r>
            <w:r w:rsidR="00740997" w:rsidRPr="00925134">
              <w:rPr>
                <w:rFonts w:cs="Arial"/>
                <w:b/>
                <w:color w:val="0070AD" w:themeColor="accent1"/>
                <w:sz w:val="14"/>
                <w:szCs w:val="14"/>
                <w:lang w:val="en-US"/>
              </w:rPr>
              <w:t xml:space="preserve"> </w:t>
            </w:r>
            <w:r w:rsidR="00740997" w:rsidRPr="00925134">
              <w:rPr>
                <w:rFonts w:cs="Arial"/>
                <w:i/>
                <w:color w:val="0070AD" w:themeColor="accent1"/>
                <w:sz w:val="14"/>
                <w:szCs w:val="14"/>
                <w:lang w:val="en-US"/>
              </w:rPr>
              <w:t>(</w:t>
            </w:r>
            <w:r w:rsidRPr="00925134">
              <w:rPr>
                <w:rFonts w:cs="Arial"/>
                <w:i/>
                <w:color w:val="0070AD" w:themeColor="accent1"/>
                <w:sz w:val="14"/>
                <w:szCs w:val="14"/>
                <w:lang w:val="en-US"/>
              </w:rPr>
              <w:t>i</w:t>
            </w:r>
            <w:r w:rsidR="00740997" w:rsidRPr="00925134">
              <w:rPr>
                <w:rFonts w:cs="Arial"/>
                <w:i/>
                <w:color w:val="0070AD" w:themeColor="accent1"/>
                <w:sz w:val="14"/>
                <w:szCs w:val="14"/>
                <w:lang w:val="en-US"/>
              </w:rPr>
              <w:t xml:space="preserve">n </w:t>
            </w:r>
            <w:r w:rsidR="004F11DD" w:rsidRPr="00925134">
              <w:rPr>
                <w:rFonts w:cs="Arial"/>
                <w:i/>
                <w:color w:val="0070AD" w:themeColor="accent1"/>
                <w:sz w:val="14"/>
                <w:szCs w:val="14"/>
                <w:lang w:val="en-US"/>
              </w:rPr>
              <w:t>euros</w:t>
            </w:r>
            <w:r w:rsidR="00740997" w:rsidRPr="00925134">
              <w:rPr>
                <w:rFonts w:cs="Arial"/>
                <w:i/>
                <w:color w:val="0070AD" w:themeColor="accent1"/>
                <w:sz w:val="14"/>
                <w:szCs w:val="14"/>
                <w:lang w:val="en-US"/>
              </w:rPr>
              <w:t>)</w:t>
            </w:r>
          </w:p>
        </w:tc>
        <w:tc>
          <w:tcPr>
            <w:tcW w:w="1474" w:type="dxa"/>
            <w:tcBorders>
              <w:top w:val="single" w:sz="8" w:space="0" w:color="30849B"/>
              <w:bottom w:val="single" w:sz="8" w:space="0" w:color="30849B"/>
            </w:tcBorders>
            <w:shd w:val="clear" w:color="auto" w:fill="auto"/>
            <w:vAlign w:val="center"/>
          </w:tcPr>
          <w:p w14:paraId="44F6ABCD" w14:textId="77777777" w:rsidR="00740997" w:rsidRPr="00925134" w:rsidRDefault="0085093D" w:rsidP="004D70DE">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6</w:t>
            </w:r>
            <w:r w:rsidR="00D1738E" w:rsidRPr="00925134">
              <w:rPr>
                <w:rFonts w:cs="Arial"/>
                <w:b/>
                <w:color w:val="0070AD" w:themeColor="accent1"/>
                <w:sz w:val="14"/>
                <w:szCs w:val="14"/>
                <w:lang w:val="en-US"/>
              </w:rPr>
              <w:t>.</w:t>
            </w:r>
            <w:r w:rsidRPr="00925134">
              <w:rPr>
                <w:rFonts w:cs="Arial"/>
                <w:b/>
                <w:color w:val="0070AD" w:themeColor="accent1"/>
                <w:sz w:val="14"/>
                <w:szCs w:val="14"/>
                <w:lang w:val="en-US"/>
              </w:rPr>
              <w:t>69</w:t>
            </w:r>
          </w:p>
        </w:tc>
        <w:tc>
          <w:tcPr>
            <w:tcW w:w="1474" w:type="dxa"/>
            <w:tcBorders>
              <w:top w:val="single" w:sz="8" w:space="0" w:color="30849B"/>
              <w:bottom w:val="single" w:sz="8" w:space="0" w:color="30849B"/>
            </w:tcBorders>
            <w:shd w:val="clear" w:color="auto" w:fill="BBE7FF" w:themeFill="accent1" w:themeFillTint="33"/>
            <w:vAlign w:val="center"/>
          </w:tcPr>
          <w:p w14:paraId="4629BBF4" w14:textId="77777777" w:rsidR="00740997" w:rsidRPr="00925134" w:rsidRDefault="00CB6045" w:rsidP="004D70DE">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6</w:t>
            </w:r>
            <w:r w:rsidR="00D1738E" w:rsidRPr="00925134">
              <w:rPr>
                <w:rFonts w:cs="Arial"/>
                <w:b/>
                <w:color w:val="0070AD" w:themeColor="accent1"/>
                <w:sz w:val="14"/>
                <w:szCs w:val="14"/>
                <w:lang w:val="en-US"/>
              </w:rPr>
              <w:t>.</w:t>
            </w:r>
            <w:r w:rsidR="00766B3D" w:rsidRPr="00925134">
              <w:rPr>
                <w:rFonts w:cs="Arial"/>
                <w:b/>
                <w:color w:val="0070AD" w:themeColor="accent1"/>
                <w:sz w:val="14"/>
                <w:szCs w:val="14"/>
                <w:lang w:val="en-US"/>
              </w:rPr>
              <w:t>2</w:t>
            </w:r>
            <w:r w:rsidR="00AC4641" w:rsidRPr="00925134">
              <w:rPr>
                <w:rFonts w:cs="Arial"/>
                <w:b/>
                <w:color w:val="0070AD" w:themeColor="accent1"/>
                <w:sz w:val="14"/>
                <w:szCs w:val="14"/>
                <w:lang w:val="en-US"/>
              </w:rPr>
              <w:t>2</w:t>
            </w:r>
          </w:p>
        </w:tc>
        <w:tc>
          <w:tcPr>
            <w:tcW w:w="1134" w:type="dxa"/>
            <w:tcBorders>
              <w:top w:val="single" w:sz="8" w:space="0" w:color="30849B"/>
              <w:bottom w:val="single" w:sz="8" w:space="0" w:color="30849B"/>
            </w:tcBorders>
            <w:shd w:val="clear" w:color="auto" w:fill="auto"/>
            <w:vAlign w:val="center"/>
          </w:tcPr>
          <w:p w14:paraId="4A1C495F" w14:textId="77777777" w:rsidR="00740997" w:rsidRPr="00925134" w:rsidRDefault="00740997" w:rsidP="00E35643">
            <w:pPr>
              <w:keepNext/>
              <w:jc w:val="center"/>
              <w:rPr>
                <w:rFonts w:cs="Arial"/>
                <w:b/>
                <w:color w:val="0070AD" w:themeColor="accent1"/>
                <w:sz w:val="14"/>
                <w:szCs w:val="14"/>
                <w:lang w:val="en-US"/>
              </w:rPr>
            </w:pPr>
          </w:p>
        </w:tc>
      </w:tr>
      <w:tr w:rsidR="00740997" w:rsidRPr="00925134" w14:paraId="157E9050" w14:textId="77777777" w:rsidTr="004D70DE">
        <w:trPr>
          <w:trHeight w:val="227"/>
          <w:jc w:val="center"/>
        </w:trPr>
        <w:tc>
          <w:tcPr>
            <w:tcW w:w="5783" w:type="dxa"/>
            <w:tcBorders>
              <w:bottom w:val="single" w:sz="8" w:space="0" w:color="0070AD" w:themeColor="accent1"/>
            </w:tcBorders>
            <w:vAlign w:val="center"/>
          </w:tcPr>
          <w:p w14:paraId="00C8AEF6" w14:textId="04458040" w:rsidR="00740997" w:rsidRPr="00925134" w:rsidRDefault="00740997" w:rsidP="00E63D6A">
            <w:pPr>
              <w:keepNext/>
              <w:ind w:left="149"/>
              <w:rPr>
                <w:rFonts w:cs="Arial"/>
                <w:sz w:val="14"/>
                <w:szCs w:val="14"/>
                <w:lang w:val="en-US"/>
              </w:rPr>
            </w:pPr>
            <w:r w:rsidRPr="00925134">
              <w:rPr>
                <w:rFonts w:cs="Arial"/>
                <w:sz w:val="14"/>
                <w:szCs w:val="14"/>
                <w:lang w:val="en-US"/>
              </w:rPr>
              <w:t xml:space="preserve">(-) </w:t>
            </w:r>
            <w:r w:rsidR="00E63D6A" w:rsidRPr="00925134">
              <w:rPr>
                <w:rFonts w:cs="Arial"/>
                <w:sz w:val="14"/>
                <w:szCs w:val="14"/>
                <w:lang w:val="en-US"/>
              </w:rPr>
              <w:t>exceptional tax income</w:t>
            </w:r>
          </w:p>
        </w:tc>
        <w:tc>
          <w:tcPr>
            <w:tcW w:w="1474" w:type="dxa"/>
            <w:tcBorders>
              <w:bottom w:val="single" w:sz="8" w:space="0" w:color="0070AD" w:themeColor="accent1"/>
            </w:tcBorders>
            <w:shd w:val="clear" w:color="auto" w:fill="auto"/>
            <w:vAlign w:val="center"/>
          </w:tcPr>
          <w:p w14:paraId="2DECB769" w14:textId="77777777" w:rsidR="00740997" w:rsidRPr="00925134" w:rsidRDefault="00740997" w:rsidP="004D70DE">
            <w:pPr>
              <w:keepNext/>
              <w:ind w:left="-170" w:right="397"/>
              <w:jc w:val="right"/>
              <w:rPr>
                <w:rFonts w:cs="Arial"/>
                <w:sz w:val="14"/>
                <w:szCs w:val="14"/>
                <w:lang w:val="en-US"/>
              </w:rPr>
            </w:pPr>
            <w:r w:rsidRPr="00925134">
              <w:rPr>
                <w:rFonts w:cs="Arial"/>
                <w:sz w:val="14"/>
                <w:szCs w:val="14"/>
                <w:lang w:val="en-US"/>
              </w:rPr>
              <w:t>(180)</w:t>
            </w:r>
          </w:p>
        </w:tc>
        <w:tc>
          <w:tcPr>
            <w:tcW w:w="1474" w:type="dxa"/>
            <w:tcBorders>
              <w:bottom w:val="single" w:sz="8" w:space="0" w:color="0070AD" w:themeColor="accent1"/>
            </w:tcBorders>
            <w:shd w:val="clear" w:color="auto" w:fill="BBE7FF" w:themeFill="accent1" w:themeFillTint="33"/>
            <w:vAlign w:val="center"/>
          </w:tcPr>
          <w:p w14:paraId="6D44F8C8" w14:textId="77777777" w:rsidR="00740997" w:rsidRPr="00925134" w:rsidRDefault="0085093D" w:rsidP="004D70DE">
            <w:pPr>
              <w:keepNext/>
              <w:ind w:left="-170" w:right="397"/>
              <w:jc w:val="right"/>
              <w:rPr>
                <w:rFonts w:cs="Arial"/>
                <w:sz w:val="14"/>
                <w:szCs w:val="14"/>
                <w:lang w:val="en-US"/>
              </w:rPr>
            </w:pPr>
            <w:r w:rsidRPr="00925134">
              <w:rPr>
                <w:rFonts w:cs="Arial"/>
                <w:sz w:val="14"/>
                <w:szCs w:val="14"/>
                <w:lang w:val="en-US"/>
              </w:rPr>
              <w:t>-</w:t>
            </w:r>
          </w:p>
        </w:tc>
        <w:tc>
          <w:tcPr>
            <w:tcW w:w="1134" w:type="dxa"/>
            <w:tcBorders>
              <w:bottom w:val="single" w:sz="8" w:space="0" w:color="0070AD" w:themeColor="accent1"/>
            </w:tcBorders>
            <w:shd w:val="clear" w:color="auto" w:fill="auto"/>
            <w:vAlign w:val="center"/>
          </w:tcPr>
          <w:p w14:paraId="0A08FA7F" w14:textId="77777777" w:rsidR="00740997" w:rsidRPr="00925134" w:rsidRDefault="00740997" w:rsidP="00E35643">
            <w:pPr>
              <w:keepNext/>
              <w:jc w:val="center"/>
              <w:rPr>
                <w:rFonts w:cs="Arial"/>
                <w:sz w:val="14"/>
                <w:szCs w:val="14"/>
                <w:lang w:val="en-US"/>
              </w:rPr>
            </w:pPr>
          </w:p>
        </w:tc>
      </w:tr>
      <w:tr w:rsidR="00740997" w:rsidRPr="00925134" w14:paraId="7F9BC3FB" w14:textId="77777777" w:rsidTr="004D70DE">
        <w:trPr>
          <w:trHeight w:val="227"/>
          <w:jc w:val="center"/>
        </w:trPr>
        <w:tc>
          <w:tcPr>
            <w:tcW w:w="5783" w:type="dxa"/>
            <w:tcBorders>
              <w:top w:val="single" w:sz="8" w:space="0" w:color="30849B"/>
              <w:bottom w:val="single" w:sz="8" w:space="0" w:color="30849B"/>
            </w:tcBorders>
            <w:vAlign w:val="center"/>
          </w:tcPr>
          <w:p w14:paraId="33730D0D" w14:textId="77777777" w:rsidR="00740997" w:rsidRPr="00925134" w:rsidRDefault="000F3D27" w:rsidP="000F3D27">
            <w:pPr>
              <w:keepNext/>
              <w:ind w:left="149"/>
              <w:rPr>
                <w:rFonts w:cs="Arial"/>
                <w:sz w:val="14"/>
                <w:szCs w:val="14"/>
                <w:lang w:val="en-US"/>
              </w:rPr>
            </w:pPr>
            <w:r w:rsidRPr="00925134">
              <w:rPr>
                <w:rFonts w:cs="Arial"/>
                <w:sz w:val="14"/>
                <w:szCs w:val="14"/>
                <w:lang w:val="en-US"/>
              </w:rPr>
              <w:t>A</w:t>
            </w:r>
            <w:r w:rsidR="00E63D6A" w:rsidRPr="00925134">
              <w:rPr>
                <w:rFonts w:cs="Arial"/>
                <w:sz w:val="14"/>
                <w:szCs w:val="14"/>
                <w:lang w:val="en-US"/>
              </w:rPr>
              <w:t>verage number of shares outstanding</w:t>
            </w:r>
          </w:p>
        </w:tc>
        <w:tc>
          <w:tcPr>
            <w:tcW w:w="1474" w:type="dxa"/>
            <w:tcBorders>
              <w:top w:val="single" w:sz="8" w:space="0" w:color="30849B"/>
              <w:bottom w:val="single" w:sz="8" w:space="0" w:color="30849B"/>
            </w:tcBorders>
            <w:shd w:val="clear" w:color="auto" w:fill="auto"/>
            <w:vAlign w:val="center"/>
          </w:tcPr>
          <w:p w14:paraId="5FC88A35" w14:textId="77777777" w:rsidR="00740997" w:rsidRPr="00925134" w:rsidRDefault="00740997" w:rsidP="004D70DE">
            <w:pPr>
              <w:keepNext/>
              <w:jc w:val="center"/>
              <w:rPr>
                <w:rFonts w:cs="Arial"/>
                <w:sz w:val="14"/>
                <w:szCs w:val="14"/>
                <w:lang w:val="en-US"/>
              </w:rPr>
            </w:pPr>
            <w:r w:rsidRPr="00925134">
              <w:rPr>
                <w:rFonts w:cs="Arial"/>
                <w:sz w:val="14"/>
                <w:szCs w:val="14"/>
                <w:lang w:val="en-US"/>
              </w:rPr>
              <w:t>169</w:t>
            </w:r>
            <w:r w:rsidR="00D1738E" w:rsidRPr="00925134">
              <w:rPr>
                <w:rFonts w:cs="Arial"/>
                <w:sz w:val="14"/>
                <w:szCs w:val="14"/>
                <w:lang w:val="en-US"/>
              </w:rPr>
              <w:t>,</w:t>
            </w:r>
            <w:r w:rsidRPr="00925134">
              <w:rPr>
                <w:rFonts w:cs="Arial"/>
                <w:sz w:val="14"/>
                <w:szCs w:val="14"/>
                <w:lang w:val="en-US"/>
              </w:rPr>
              <w:t>450</w:t>
            </w:r>
            <w:r w:rsidR="00D1738E" w:rsidRPr="00925134">
              <w:rPr>
                <w:rFonts w:cs="Arial"/>
                <w:sz w:val="14"/>
                <w:szCs w:val="14"/>
                <w:lang w:val="en-US"/>
              </w:rPr>
              <w:t>,</w:t>
            </w:r>
            <w:r w:rsidRPr="00925134">
              <w:rPr>
                <w:rFonts w:cs="Arial"/>
                <w:sz w:val="14"/>
                <w:szCs w:val="14"/>
                <w:lang w:val="en-US"/>
              </w:rPr>
              <w:t>721</w:t>
            </w:r>
          </w:p>
        </w:tc>
        <w:tc>
          <w:tcPr>
            <w:tcW w:w="1474" w:type="dxa"/>
            <w:tcBorders>
              <w:top w:val="single" w:sz="8" w:space="0" w:color="30849B"/>
              <w:bottom w:val="single" w:sz="8" w:space="0" w:color="30849B"/>
            </w:tcBorders>
            <w:shd w:val="clear" w:color="auto" w:fill="BBE7FF" w:themeFill="accent1" w:themeFillTint="33"/>
            <w:vAlign w:val="center"/>
          </w:tcPr>
          <w:p w14:paraId="2B6AEEF8" w14:textId="77777777" w:rsidR="00740997" w:rsidRPr="00925134" w:rsidRDefault="00740997" w:rsidP="004D70DE">
            <w:pPr>
              <w:keepNext/>
              <w:jc w:val="center"/>
              <w:rPr>
                <w:rFonts w:cs="Arial"/>
                <w:sz w:val="14"/>
                <w:szCs w:val="14"/>
                <w:lang w:val="en-US"/>
              </w:rPr>
            </w:pPr>
          </w:p>
        </w:tc>
        <w:tc>
          <w:tcPr>
            <w:tcW w:w="1134" w:type="dxa"/>
            <w:tcBorders>
              <w:top w:val="single" w:sz="8" w:space="0" w:color="30849B"/>
              <w:bottom w:val="single" w:sz="8" w:space="0" w:color="30849B"/>
            </w:tcBorders>
            <w:shd w:val="clear" w:color="auto" w:fill="auto"/>
            <w:vAlign w:val="center"/>
          </w:tcPr>
          <w:p w14:paraId="405E6028" w14:textId="77777777" w:rsidR="00740997" w:rsidRPr="00925134" w:rsidRDefault="00740997" w:rsidP="00E35643">
            <w:pPr>
              <w:keepNext/>
              <w:jc w:val="center"/>
              <w:rPr>
                <w:rFonts w:cs="Arial"/>
                <w:sz w:val="14"/>
                <w:szCs w:val="14"/>
                <w:lang w:val="en-US"/>
              </w:rPr>
            </w:pPr>
          </w:p>
        </w:tc>
      </w:tr>
      <w:tr w:rsidR="00740997" w:rsidRPr="00925134" w14:paraId="24B43BA8" w14:textId="77777777" w:rsidTr="004D70DE">
        <w:trPr>
          <w:trHeight w:val="227"/>
          <w:jc w:val="center"/>
        </w:trPr>
        <w:tc>
          <w:tcPr>
            <w:tcW w:w="5783" w:type="dxa"/>
            <w:tcBorders>
              <w:top w:val="single" w:sz="8" w:space="0" w:color="30849B"/>
              <w:bottom w:val="single" w:sz="8" w:space="0" w:color="30849B"/>
            </w:tcBorders>
            <w:vAlign w:val="center"/>
          </w:tcPr>
          <w:p w14:paraId="15BA7224" w14:textId="7046700E" w:rsidR="00740997" w:rsidRPr="00925134" w:rsidRDefault="00740997" w:rsidP="00E63D6A">
            <w:pPr>
              <w:keepNext/>
              <w:ind w:left="175"/>
              <w:rPr>
                <w:rFonts w:cs="Arial"/>
                <w:b/>
                <w:color w:val="0070AD" w:themeColor="accent1"/>
                <w:sz w:val="14"/>
                <w:szCs w:val="14"/>
                <w:lang w:val="en-US"/>
              </w:rPr>
            </w:pPr>
            <w:r w:rsidRPr="00925134">
              <w:rPr>
                <w:rFonts w:cs="Arial"/>
                <w:b/>
                <w:color w:val="0070AD" w:themeColor="accent1"/>
                <w:sz w:val="14"/>
                <w:szCs w:val="14"/>
                <w:lang w:val="en-US"/>
              </w:rPr>
              <w:t xml:space="preserve">(-) </w:t>
            </w:r>
            <w:r w:rsidR="000F3D27" w:rsidRPr="00925134">
              <w:rPr>
                <w:rFonts w:cs="Arial"/>
                <w:b/>
                <w:color w:val="0070AD" w:themeColor="accent1"/>
                <w:sz w:val="14"/>
                <w:szCs w:val="14"/>
                <w:lang w:val="en-US"/>
              </w:rPr>
              <w:t xml:space="preserve">impact of </w:t>
            </w:r>
            <w:r w:rsidR="00E63D6A" w:rsidRPr="00925134">
              <w:rPr>
                <w:rFonts w:cs="Arial"/>
                <w:b/>
                <w:color w:val="0070AD" w:themeColor="accent1"/>
                <w:sz w:val="14"/>
                <w:szCs w:val="14"/>
                <w:lang w:val="en-US"/>
              </w:rPr>
              <w:t xml:space="preserve">exceptional tax income / expense </w:t>
            </w:r>
            <w:r w:rsidR="00E63D6A" w:rsidRPr="00925134">
              <w:rPr>
                <w:rFonts w:cs="Arial"/>
                <w:i/>
                <w:color w:val="0070AD" w:themeColor="accent1"/>
                <w:sz w:val="14"/>
                <w:szCs w:val="14"/>
                <w:lang w:val="en-US"/>
              </w:rPr>
              <w:t>(i</w:t>
            </w:r>
            <w:r w:rsidRPr="00925134">
              <w:rPr>
                <w:rFonts w:cs="Arial"/>
                <w:i/>
                <w:color w:val="0070AD" w:themeColor="accent1"/>
                <w:sz w:val="14"/>
                <w:szCs w:val="14"/>
                <w:lang w:val="en-US"/>
              </w:rPr>
              <w:t xml:space="preserve">n </w:t>
            </w:r>
            <w:r w:rsidR="004F11DD" w:rsidRPr="00925134">
              <w:rPr>
                <w:rFonts w:cs="Arial"/>
                <w:i/>
                <w:color w:val="0070AD" w:themeColor="accent1"/>
                <w:sz w:val="14"/>
                <w:szCs w:val="14"/>
                <w:lang w:val="en-US"/>
              </w:rPr>
              <w:t>euros</w:t>
            </w:r>
            <w:r w:rsidRPr="00925134">
              <w:rPr>
                <w:rFonts w:cs="Arial"/>
                <w:i/>
                <w:color w:val="0070AD" w:themeColor="accent1"/>
                <w:sz w:val="14"/>
                <w:szCs w:val="14"/>
                <w:lang w:val="en-US"/>
              </w:rPr>
              <w:t>)</w:t>
            </w:r>
          </w:p>
        </w:tc>
        <w:tc>
          <w:tcPr>
            <w:tcW w:w="1474" w:type="dxa"/>
            <w:tcBorders>
              <w:top w:val="single" w:sz="8" w:space="0" w:color="30849B"/>
              <w:bottom w:val="single" w:sz="8" w:space="0" w:color="30849B"/>
            </w:tcBorders>
            <w:shd w:val="clear" w:color="auto" w:fill="auto"/>
            <w:vAlign w:val="center"/>
          </w:tcPr>
          <w:p w14:paraId="2CB98F98" w14:textId="77777777" w:rsidR="00740997" w:rsidRPr="00925134" w:rsidRDefault="0085093D" w:rsidP="004D70DE">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(1</w:t>
            </w:r>
            <w:r w:rsidR="00D1738E" w:rsidRPr="00925134">
              <w:rPr>
                <w:rFonts w:cs="Arial"/>
                <w:b/>
                <w:color w:val="0070AD" w:themeColor="accent1"/>
                <w:sz w:val="14"/>
                <w:szCs w:val="14"/>
                <w:lang w:val="en-US"/>
              </w:rPr>
              <w:t>.</w:t>
            </w:r>
            <w:r w:rsidRPr="00925134">
              <w:rPr>
                <w:rFonts w:cs="Arial"/>
                <w:b/>
                <w:color w:val="0070AD" w:themeColor="accent1"/>
                <w:sz w:val="14"/>
                <w:szCs w:val="14"/>
                <w:lang w:val="en-US"/>
              </w:rPr>
              <w:t>0</w:t>
            </w:r>
            <w:r w:rsidR="00E37E9A" w:rsidRPr="00925134">
              <w:rPr>
                <w:rFonts w:cs="Arial"/>
                <w:b/>
                <w:color w:val="0070AD" w:themeColor="accent1"/>
                <w:sz w:val="14"/>
                <w:szCs w:val="14"/>
                <w:lang w:val="en-US"/>
              </w:rPr>
              <w:t>7</w:t>
            </w:r>
            <w:r w:rsidRPr="00925134">
              <w:rPr>
                <w:rFonts w:cs="Arial"/>
                <w:b/>
                <w:color w:val="0070AD" w:themeColor="accent1"/>
                <w:sz w:val="14"/>
                <w:szCs w:val="14"/>
                <w:lang w:val="en-US"/>
              </w:rPr>
              <w:t>)</w:t>
            </w:r>
          </w:p>
        </w:tc>
        <w:tc>
          <w:tcPr>
            <w:tcW w:w="1474" w:type="dxa"/>
            <w:tcBorders>
              <w:top w:val="single" w:sz="8" w:space="0" w:color="30849B"/>
              <w:bottom w:val="single" w:sz="8" w:space="0" w:color="30849B"/>
            </w:tcBorders>
            <w:shd w:val="clear" w:color="auto" w:fill="BBE7FF" w:themeFill="accent1" w:themeFillTint="33"/>
            <w:vAlign w:val="center"/>
          </w:tcPr>
          <w:p w14:paraId="65C67CC1" w14:textId="77777777" w:rsidR="00740997" w:rsidRPr="00925134" w:rsidRDefault="0085093D" w:rsidP="004D70DE">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w:t>
            </w:r>
          </w:p>
        </w:tc>
        <w:tc>
          <w:tcPr>
            <w:tcW w:w="1134" w:type="dxa"/>
            <w:tcBorders>
              <w:top w:val="single" w:sz="8" w:space="0" w:color="30849B"/>
              <w:bottom w:val="single" w:sz="8" w:space="0" w:color="30849B"/>
            </w:tcBorders>
            <w:shd w:val="clear" w:color="auto" w:fill="auto"/>
            <w:vAlign w:val="center"/>
          </w:tcPr>
          <w:p w14:paraId="0AACDD58" w14:textId="77777777" w:rsidR="00740997" w:rsidRPr="00925134" w:rsidRDefault="00740997" w:rsidP="00E35643">
            <w:pPr>
              <w:keepNext/>
              <w:jc w:val="center"/>
              <w:rPr>
                <w:rFonts w:cs="Arial"/>
                <w:b/>
                <w:color w:val="0070AD" w:themeColor="accent1"/>
                <w:sz w:val="14"/>
                <w:szCs w:val="14"/>
                <w:lang w:val="en-US"/>
              </w:rPr>
            </w:pPr>
          </w:p>
        </w:tc>
      </w:tr>
      <w:tr w:rsidR="00740997" w:rsidRPr="00925134" w14:paraId="395FEC04" w14:textId="77777777" w:rsidTr="004D70DE">
        <w:trPr>
          <w:trHeight w:val="227"/>
          <w:jc w:val="center"/>
        </w:trPr>
        <w:tc>
          <w:tcPr>
            <w:tcW w:w="5783" w:type="dxa"/>
            <w:tcBorders>
              <w:top w:val="single" w:sz="8" w:space="0" w:color="30849B"/>
              <w:bottom w:val="single" w:sz="8" w:space="0" w:color="30849B"/>
            </w:tcBorders>
            <w:vAlign w:val="center"/>
          </w:tcPr>
          <w:p w14:paraId="316168D5" w14:textId="02F297BD" w:rsidR="00740997" w:rsidRPr="00925134" w:rsidRDefault="000F3D27" w:rsidP="00E63D6A">
            <w:pPr>
              <w:keepNext/>
              <w:rPr>
                <w:rFonts w:cs="Arial"/>
                <w:b/>
                <w:color w:val="0070AD" w:themeColor="accent1"/>
                <w:sz w:val="14"/>
                <w:szCs w:val="14"/>
                <w:lang w:val="en-US"/>
              </w:rPr>
            </w:pPr>
            <w:r w:rsidRPr="00925134">
              <w:rPr>
                <w:rFonts w:cs="Arial"/>
                <w:b/>
                <w:color w:val="0070AD" w:themeColor="accent1"/>
                <w:sz w:val="14"/>
                <w:szCs w:val="14"/>
                <w:lang w:val="en-US"/>
              </w:rPr>
              <w:t>Normalized earnings</w:t>
            </w:r>
            <w:r w:rsidR="00E63D6A" w:rsidRPr="00925134">
              <w:rPr>
                <w:rFonts w:cs="Arial"/>
                <w:b/>
                <w:color w:val="0070AD" w:themeColor="accent1"/>
                <w:sz w:val="14"/>
                <w:szCs w:val="14"/>
                <w:lang w:val="en-US"/>
              </w:rPr>
              <w:t xml:space="preserve"> per share</w:t>
            </w:r>
            <w:r w:rsidR="004F11DD" w:rsidRPr="00925134">
              <w:rPr>
                <w:rFonts w:cs="Arial"/>
                <w:b/>
                <w:color w:val="0070AD" w:themeColor="accent1"/>
                <w:sz w:val="14"/>
                <w:szCs w:val="14"/>
                <w:lang w:val="en-US"/>
              </w:rPr>
              <w:t xml:space="preserve"> </w:t>
            </w:r>
            <w:r w:rsidR="00740997" w:rsidRPr="00925134">
              <w:rPr>
                <w:rFonts w:cs="Arial"/>
                <w:b/>
                <w:color w:val="0070AD" w:themeColor="accent1"/>
                <w:sz w:val="14"/>
                <w:szCs w:val="14"/>
                <w:lang w:val="en-US"/>
              </w:rPr>
              <w:t xml:space="preserve">– </w:t>
            </w:r>
            <w:r w:rsidR="00E63D6A" w:rsidRPr="00925134">
              <w:rPr>
                <w:rFonts w:cs="Arial"/>
                <w:b/>
                <w:color w:val="0070AD" w:themeColor="accent1"/>
                <w:sz w:val="14"/>
                <w:szCs w:val="14"/>
                <w:lang w:val="en-US"/>
              </w:rPr>
              <w:t>excluding exceptional tax income / expense</w:t>
            </w:r>
            <w:r w:rsidR="004F11DD" w:rsidRPr="00925134">
              <w:rPr>
                <w:rFonts w:cs="Arial"/>
                <w:b/>
                <w:color w:val="0070AD" w:themeColor="accent1"/>
                <w:sz w:val="14"/>
                <w:szCs w:val="14"/>
                <w:lang w:val="en-US"/>
              </w:rPr>
              <w:t xml:space="preserve"> </w:t>
            </w:r>
            <w:r w:rsidR="004F11DD" w:rsidRPr="00925134">
              <w:rPr>
                <w:rFonts w:cs="Arial"/>
                <w:i/>
                <w:color w:val="0070AD" w:themeColor="accent1"/>
                <w:sz w:val="14"/>
                <w:szCs w:val="14"/>
                <w:lang w:val="en-US"/>
              </w:rPr>
              <w:t>(in euros)</w:t>
            </w:r>
          </w:p>
        </w:tc>
        <w:tc>
          <w:tcPr>
            <w:tcW w:w="1474" w:type="dxa"/>
            <w:tcBorders>
              <w:top w:val="single" w:sz="8" w:space="0" w:color="30849B"/>
              <w:bottom w:val="single" w:sz="8" w:space="0" w:color="30849B"/>
            </w:tcBorders>
            <w:shd w:val="clear" w:color="auto" w:fill="auto"/>
            <w:vAlign w:val="center"/>
          </w:tcPr>
          <w:p w14:paraId="00FF9431" w14:textId="77777777" w:rsidR="00740997" w:rsidRPr="00925134" w:rsidRDefault="00E37E9A" w:rsidP="004D70DE">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5</w:t>
            </w:r>
            <w:r w:rsidR="00D1738E" w:rsidRPr="00925134">
              <w:rPr>
                <w:rFonts w:cs="Arial"/>
                <w:b/>
                <w:color w:val="0070AD" w:themeColor="accent1"/>
                <w:sz w:val="14"/>
                <w:szCs w:val="14"/>
                <w:lang w:val="en-US"/>
              </w:rPr>
              <w:t>.</w:t>
            </w:r>
            <w:r w:rsidRPr="00925134">
              <w:rPr>
                <w:rFonts w:cs="Arial"/>
                <w:b/>
                <w:color w:val="0070AD" w:themeColor="accent1"/>
                <w:sz w:val="14"/>
                <w:szCs w:val="14"/>
                <w:lang w:val="en-US"/>
              </w:rPr>
              <w:t>62</w:t>
            </w:r>
          </w:p>
        </w:tc>
        <w:tc>
          <w:tcPr>
            <w:tcW w:w="1474" w:type="dxa"/>
            <w:tcBorders>
              <w:top w:val="single" w:sz="8" w:space="0" w:color="30849B"/>
              <w:bottom w:val="single" w:sz="8" w:space="0" w:color="30849B"/>
            </w:tcBorders>
            <w:shd w:val="clear" w:color="auto" w:fill="BBE7FF" w:themeFill="accent1" w:themeFillTint="33"/>
            <w:vAlign w:val="center"/>
          </w:tcPr>
          <w:p w14:paraId="67E4C2FC" w14:textId="77777777" w:rsidR="00740997" w:rsidRPr="00925134" w:rsidRDefault="0085093D" w:rsidP="004D70DE">
            <w:pPr>
              <w:keepNext/>
              <w:ind w:left="-170" w:right="397"/>
              <w:jc w:val="right"/>
              <w:rPr>
                <w:rFonts w:cs="Arial"/>
                <w:b/>
                <w:color w:val="0070AD" w:themeColor="accent1"/>
                <w:sz w:val="14"/>
                <w:szCs w:val="14"/>
                <w:lang w:val="en-US"/>
              </w:rPr>
            </w:pPr>
            <w:r w:rsidRPr="00925134">
              <w:rPr>
                <w:rFonts w:cs="Arial"/>
                <w:b/>
                <w:color w:val="0070AD" w:themeColor="accent1"/>
                <w:sz w:val="14"/>
                <w:szCs w:val="14"/>
                <w:lang w:val="en-US"/>
              </w:rPr>
              <w:t>6</w:t>
            </w:r>
            <w:r w:rsidR="00D1738E" w:rsidRPr="00925134">
              <w:rPr>
                <w:rFonts w:cs="Arial"/>
                <w:b/>
                <w:color w:val="0070AD" w:themeColor="accent1"/>
                <w:sz w:val="14"/>
                <w:szCs w:val="14"/>
                <w:lang w:val="en-US"/>
              </w:rPr>
              <w:t>.</w:t>
            </w:r>
            <w:r w:rsidR="00766B3D" w:rsidRPr="00925134">
              <w:rPr>
                <w:rFonts w:cs="Arial"/>
                <w:b/>
                <w:color w:val="0070AD" w:themeColor="accent1"/>
                <w:sz w:val="14"/>
                <w:szCs w:val="14"/>
                <w:lang w:val="en-US"/>
              </w:rPr>
              <w:t>2</w:t>
            </w:r>
            <w:r w:rsidR="00AC4641" w:rsidRPr="00925134">
              <w:rPr>
                <w:rFonts w:cs="Arial"/>
                <w:b/>
                <w:color w:val="0070AD" w:themeColor="accent1"/>
                <w:sz w:val="14"/>
                <w:szCs w:val="14"/>
                <w:lang w:val="en-US"/>
              </w:rPr>
              <w:t>2</w:t>
            </w:r>
          </w:p>
        </w:tc>
        <w:tc>
          <w:tcPr>
            <w:tcW w:w="1134" w:type="dxa"/>
            <w:tcBorders>
              <w:top w:val="single" w:sz="8" w:space="0" w:color="30849B"/>
              <w:bottom w:val="single" w:sz="8" w:space="0" w:color="30849B"/>
            </w:tcBorders>
            <w:shd w:val="clear" w:color="auto" w:fill="auto"/>
            <w:vAlign w:val="center"/>
          </w:tcPr>
          <w:p w14:paraId="4E193DAD" w14:textId="77777777" w:rsidR="00740997" w:rsidRPr="00925134" w:rsidRDefault="00E37E9A" w:rsidP="00E35643">
            <w:pPr>
              <w:keepNext/>
              <w:jc w:val="center"/>
              <w:rPr>
                <w:rFonts w:cs="Arial"/>
                <w:b/>
                <w:color w:val="0070AD" w:themeColor="accent1"/>
                <w:sz w:val="14"/>
                <w:szCs w:val="14"/>
                <w:lang w:val="en-US"/>
              </w:rPr>
            </w:pPr>
            <w:r w:rsidRPr="00925134">
              <w:rPr>
                <w:rFonts w:cs="Arial"/>
                <w:b/>
                <w:color w:val="0070AD" w:themeColor="accent1"/>
                <w:sz w:val="14"/>
                <w:szCs w:val="14"/>
                <w:lang w:val="en-US"/>
              </w:rPr>
              <w:t>+11</w:t>
            </w:r>
            <w:r w:rsidR="00740997" w:rsidRPr="00925134">
              <w:rPr>
                <w:rFonts w:cs="Arial"/>
                <w:b/>
                <w:color w:val="0070AD" w:themeColor="accent1"/>
                <w:sz w:val="14"/>
                <w:szCs w:val="14"/>
                <w:lang w:val="en-US"/>
              </w:rPr>
              <w:t>%</w:t>
            </w:r>
          </w:p>
        </w:tc>
      </w:tr>
    </w:tbl>
    <w:p w14:paraId="2FEE2AF3" w14:textId="77777777" w:rsidR="00D608EA" w:rsidRPr="00925134" w:rsidRDefault="00D608EA" w:rsidP="00EF29AB">
      <w:pPr>
        <w:spacing w:before="120" w:after="120"/>
        <w:rPr>
          <w:rFonts w:cs="Arial"/>
          <w:b/>
          <w:caps/>
          <w:lang w:val="en-US"/>
        </w:rPr>
      </w:pPr>
    </w:p>
    <w:p w14:paraId="5EF2696B" w14:textId="77777777" w:rsidR="003E11DB" w:rsidRPr="00925134" w:rsidRDefault="00E63D6A" w:rsidP="003E11DB">
      <w:pPr>
        <w:pStyle w:val="Overskrift1"/>
        <w:rPr>
          <w:lang w:val="en-US"/>
        </w:rPr>
      </w:pPr>
      <w:r w:rsidRPr="00925134">
        <w:rPr>
          <w:lang w:val="en-US"/>
        </w:rPr>
        <w:lastRenderedPageBreak/>
        <w:t xml:space="preserve">CHANGE IN CASH AND CASH EQUIVALENTS </w:t>
      </w:r>
      <w:r w:rsidR="000F3D27" w:rsidRPr="00925134">
        <w:rPr>
          <w:lang w:val="en-US"/>
        </w:rPr>
        <w:t>A</w:t>
      </w:r>
      <w:r w:rsidRPr="00925134">
        <w:rPr>
          <w:lang w:val="en-US"/>
        </w:rPr>
        <w:t>ND ORGANIC FREE CASH FLOW</w:t>
      </w:r>
      <w:r w:rsidR="003E11DB" w:rsidRPr="00925134">
        <w:rPr>
          <w:lang w:val="en-US"/>
        </w:rPr>
        <w:t xml:space="preserve"> </w:t>
      </w:r>
    </w:p>
    <w:tbl>
      <w:tblPr>
        <w:tblW w:w="4843" w:type="pct"/>
        <w:jc w:val="center"/>
        <w:tblCellMar>
          <w:left w:w="0" w:type="dxa"/>
          <w:right w:w="0" w:type="dxa"/>
        </w:tblCellMar>
        <w:tblLook w:val="04A0" w:firstRow="1" w:lastRow="0" w:firstColumn="1" w:lastColumn="0" w:noHBand="0" w:noVBand="1"/>
      </w:tblPr>
      <w:tblGrid>
        <w:gridCol w:w="6124"/>
        <w:gridCol w:w="1870"/>
        <w:gridCol w:w="1868"/>
      </w:tblGrid>
      <w:tr w:rsidR="003E11DB" w:rsidRPr="00925134" w14:paraId="7067A8DD" w14:textId="77777777" w:rsidTr="00E63D6A">
        <w:trPr>
          <w:trHeight w:val="227"/>
          <w:jc w:val="center"/>
        </w:trPr>
        <w:tc>
          <w:tcPr>
            <w:tcW w:w="3105"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14C3101B" w14:textId="77777777" w:rsidR="003E11DB" w:rsidRPr="00925134" w:rsidRDefault="003E11DB" w:rsidP="00E63D6A">
            <w:pPr>
              <w:keepNext/>
              <w:jc w:val="center"/>
              <w:rPr>
                <w:rFonts w:cs="Arial"/>
                <w:sz w:val="14"/>
                <w:szCs w:val="12"/>
                <w:lang w:val="en-US"/>
              </w:rPr>
            </w:pPr>
            <w:r w:rsidRPr="00925134">
              <w:rPr>
                <w:rFonts w:cs="Arial"/>
                <w:i/>
                <w:iCs/>
                <w:sz w:val="14"/>
                <w:szCs w:val="12"/>
                <w:lang w:val="en-US"/>
              </w:rPr>
              <w:t>(</w:t>
            </w:r>
            <w:r w:rsidR="00E63D6A" w:rsidRPr="00925134">
              <w:rPr>
                <w:rFonts w:cs="Arial"/>
                <w:i/>
                <w:iCs/>
                <w:sz w:val="14"/>
                <w:szCs w:val="12"/>
                <w:lang w:val="en-US"/>
              </w:rPr>
              <w:t>i</w:t>
            </w:r>
            <w:r w:rsidRPr="00925134">
              <w:rPr>
                <w:rFonts w:cs="Arial"/>
                <w:i/>
                <w:iCs/>
                <w:sz w:val="14"/>
                <w:szCs w:val="12"/>
                <w:lang w:val="en-US"/>
              </w:rPr>
              <w:t>n millions</w:t>
            </w:r>
            <w:r w:rsidR="00E63D6A" w:rsidRPr="00925134">
              <w:rPr>
                <w:rFonts w:cs="Arial"/>
                <w:i/>
                <w:iCs/>
                <w:sz w:val="14"/>
                <w:szCs w:val="12"/>
                <w:lang w:val="en-US"/>
              </w:rPr>
              <w:t xml:space="preserve"> of </w:t>
            </w:r>
            <w:r w:rsidRPr="00925134">
              <w:rPr>
                <w:rFonts w:cs="Arial"/>
                <w:i/>
                <w:iCs/>
                <w:sz w:val="14"/>
                <w:szCs w:val="12"/>
                <w:lang w:val="en-US"/>
              </w:rPr>
              <w:t>euros)</w:t>
            </w:r>
          </w:p>
        </w:tc>
        <w:tc>
          <w:tcPr>
            <w:tcW w:w="948"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1A4D944F" w14:textId="77777777" w:rsidR="003E11DB" w:rsidRPr="00925134" w:rsidRDefault="008959F4" w:rsidP="00354252">
            <w:pPr>
              <w:keepNext/>
              <w:jc w:val="center"/>
              <w:rPr>
                <w:rFonts w:cs="Arial"/>
                <w:b/>
                <w:bCs/>
                <w:sz w:val="14"/>
                <w:szCs w:val="12"/>
                <w:lang w:val="en-US"/>
              </w:rPr>
            </w:pPr>
            <w:r w:rsidRPr="00925134">
              <w:rPr>
                <w:rFonts w:cs="Arial"/>
                <w:b/>
                <w:bCs/>
                <w:sz w:val="14"/>
                <w:szCs w:val="12"/>
                <w:lang w:val="en-US"/>
              </w:rPr>
              <w:t>2016</w:t>
            </w:r>
          </w:p>
        </w:tc>
        <w:tc>
          <w:tcPr>
            <w:tcW w:w="947"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2D3F4C87" w14:textId="77777777" w:rsidR="003E11DB" w:rsidRPr="00925134" w:rsidRDefault="008959F4" w:rsidP="00354252">
            <w:pPr>
              <w:keepNext/>
              <w:jc w:val="center"/>
              <w:rPr>
                <w:rFonts w:cs="Arial"/>
                <w:sz w:val="14"/>
                <w:szCs w:val="12"/>
                <w:lang w:val="en-US"/>
              </w:rPr>
            </w:pPr>
            <w:r w:rsidRPr="00925134">
              <w:rPr>
                <w:rFonts w:cs="Arial"/>
                <w:b/>
                <w:bCs/>
                <w:sz w:val="14"/>
                <w:szCs w:val="12"/>
                <w:lang w:val="en-US"/>
              </w:rPr>
              <w:t>2017</w:t>
            </w:r>
          </w:p>
        </w:tc>
      </w:tr>
      <w:tr w:rsidR="00E63D6A" w:rsidRPr="00925134" w14:paraId="03730AC5" w14:textId="77777777" w:rsidTr="004D70DE">
        <w:trPr>
          <w:trHeight w:val="170"/>
          <w:jc w:val="center"/>
        </w:trPr>
        <w:tc>
          <w:tcPr>
            <w:tcW w:w="3104" w:type="pct"/>
            <w:tcBorders>
              <w:top w:val="single" w:sz="8" w:space="0" w:color="0070AD" w:themeColor="accent1"/>
              <w:left w:val="nil"/>
              <w:bottom w:val="single" w:sz="8" w:space="0" w:color="0070AD" w:themeColor="accent1"/>
              <w:right w:val="nil"/>
            </w:tcBorders>
            <w:tcMar>
              <w:top w:w="28" w:type="dxa"/>
              <w:left w:w="28" w:type="dxa"/>
              <w:bottom w:w="28" w:type="dxa"/>
              <w:right w:w="28" w:type="dxa"/>
            </w:tcMar>
            <w:vAlign w:val="center"/>
            <w:hideMark/>
          </w:tcPr>
          <w:p w14:paraId="53C60D9C"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Cash flow from operations</w:t>
            </w:r>
          </w:p>
        </w:tc>
        <w:tc>
          <w:tcPr>
            <w:tcW w:w="948" w:type="pct"/>
            <w:tcBorders>
              <w:top w:val="single" w:sz="8" w:space="0" w:color="0070AD" w:themeColor="accent1"/>
              <w:left w:val="nil"/>
              <w:bottom w:val="single" w:sz="8" w:space="0" w:color="0070AD" w:themeColor="accent1"/>
              <w:right w:val="nil"/>
            </w:tcBorders>
            <w:shd w:val="clear" w:color="auto" w:fill="auto"/>
            <w:tcMar>
              <w:top w:w="28" w:type="dxa"/>
              <w:left w:w="28" w:type="dxa"/>
              <w:bottom w:w="28" w:type="dxa"/>
              <w:right w:w="28" w:type="dxa"/>
            </w:tcMar>
            <w:vAlign w:val="center"/>
            <w:hideMark/>
          </w:tcPr>
          <w:p w14:paraId="70050617" w14:textId="77777777" w:rsidR="00E63D6A" w:rsidRPr="00925134" w:rsidRDefault="00E63D6A" w:rsidP="00E63D6A">
            <w:pPr>
              <w:keepNext/>
              <w:ind w:right="538"/>
              <w:jc w:val="right"/>
              <w:rPr>
                <w:rFonts w:cs="Arial"/>
                <w:b/>
                <w:bCs/>
                <w:color w:val="0070AD" w:themeColor="accent1"/>
                <w:sz w:val="14"/>
                <w:szCs w:val="12"/>
                <w:lang w:val="en-US"/>
              </w:rPr>
            </w:pPr>
            <w:r w:rsidRPr="00925134">
              <w:rPr>
                <w:rFonts w:cs="Arial"/>
                <w:b/>
                <w:bCs/>
                <w:color w:val="0070AD" w:themeColor="accent1"/>
                <w:sz w:val="14"/>
                <w:szCs w:val="12"/>
                <w:lang w:val="en-US"/>
              </w:rPr>
              <w:t>1,319</w:t>
            </w:r>
          </w:p>
        </w:tc>
        <w:tc>
          <w:tcPr>
            <w:tcW w:w="947" w:type="pct"/>
            <w:tcBorders>
              <w:top w:val="single" w:sz="8" w:space="0" w:color="0070AD" w:themeColor="accent1"/>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0BC79A31" w14:textId="77777777" w:rsidR="00E63D6A" w:rsidRPr="00925134" w:rsidRDefault="00E63D6A" w:rsidP="00E63D6A">
            <w:pPr>
              <w:keepNext/>
              <w:ind w:right="538"/>
              <w:jc w:val="right"/>
              <w:rPr>
                <w:rFonts w:cs="Arial"/>
                <w:b/>
                <w:bCs/>
                <w:color w:val="0070AD" w:themeColor="accent1"/>
                <w:sz w:val="14"/>
                <w:szCs w:val="12"/>
                <w:lang w:val="en-US"/>
              </w:rPr>
            </w:pPr>
            <w:r w:rsidRPr="00925134">
              <w:rPr>
                <w:rFonts w:cs="Arial"/>
                <w:b/>
                <w:bCs/>
                <w:color w:val="0070AD" w:themeColor="accent1"/>
                <w:sz w:val="14"/>
                <w:szCs w:val="12"/>
                <w:lang w:val="en-US"/>
              </w:rPr>
              <w:t>1,330</w:t>
            </w:r>
          </w:p>
        </w:tc>
      </w:tr>
      <w:tr w:rsidR="00E63D6A" w:rsidRPr="00925134" w14:paraId="5296F4F4" w14:textId="77777777" w:rsidTr="00E63D6A">
        <w:trPr>
          <w:trHeight w:val="170"/>
          <w:jc w:val="center"/>
        </w:trPr>
        <w:tc>
          <w:tcPr>
            <w:tcW w:w="3105" w:type="pct"/>
            <w:tcBorders>
              <w:top w:val="single" w:sz="8" w:space="0" w:color="0070AD" w:themeColor="accent1"/>
              <w:left w:val="nil"/>
              <w:right w:val="nil"/>
            </w:tcBorders>
            <w:tcMar>
              <w:top w:w="28" w:type="dxa"/>
              <w:left w:w="28" w:type="dxa"/>
              <w:bottom w:w="28" w:type="dxa"/>
              <w:right w:w="28" w:type="dxa"/>
            </w:tcMar>
            <w:vAlign w:val="center"/>
            <w:hideMark/>
          </w:tcPr>
          <w:p w14:paraId="6F70C72F" w14:textId="77777777" w:rsidR="00E63D6A" w:rsidRPr="00925134" w:rsidRDefault="00E63D6A" w:rsidP="00E63D6A">
            <w:pPr>
              <w:keepNext/>
              <w:ind w:left="256"/>
              <w:rPr>
                <w:rFonts w:cs="Arial"/>
                <w:bCs/>
                <w:sz w:val="14"/>
                <w:szCs w:val="12"/>
                <w:lang w:val="en-US"/>
              </w:rPr>
            </w:pPr>
            <w:r w:rsidRPr="00925134">
              <w:rPr>
                <w:bCs/>
                <w:sz w:val="14"/>
                <w:szCs w:val="18"/>
                <w:lang w:val="en-US"/>
              </w:rPr>
              <w:t>Acquisitions of property, plant and equipment and intangible assets, net of disposals</w:t>
            </w:r>
          </w:p>
        </w:tc>
        <w:tc>
          <w:tcPr>
            <w:tcW w:w="94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549648F0" w14:textId="77777777" w:rsidR="00E63D6A" w:rsidRPr="00925134" w:rsidRDefault="00E63D6A" w:rsidP="00E63D6A">
            <w:pPr>
              <w:keepNext/>
              <w:ind w:right="538"/>
              <w:jc w:val="right"/>
              <w:rPr>
                <w:rFonts w:cs="Arial"/>
                <w:sz w:val="14"/>
                <w:szCs w:val="12"/>
                <w:lang w:val="en-US"/>
              </w:rPr>
            </w:pPr>
            <w:r w:rsidRPr="00925134">
              <w:rPr>
                <w:rFonts w:cs="Arial"/>
                <w:bCs/>
                <w:sz w:val="14"/>
                <w:szCs w:val="12"/>
                <w:lang w:val="en-US"/>
              </w:rPr>
              <w:t>(176)</w:t>
            </w:r>
          </w:p>
        </w:tc>
        <w:tc>
          <w:tcPr>
            <w:tcW w:w="94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24790A90" w14:textId="77777777" w:rsidR="00E63D6A" w:rsidRPr="00925134" w:rsidRDefault="00E63D6A" w:rsidP="00E63D6A">
            <w:pPr>
              <w:keepNext/>
              <w:ind w:right="538"/>
              <w:jc w:val="right"/>
              <w:rPr>
                <w:rFonts w:cs="Arial"/>
                <w:sz w:val="14"/>
                <w:szCs w:val="12"/>
                <w:lang w:val="en-US"/>
              </w:rPr>
            </w:pPr>
            <w:r w:rsidRPr="00925134">
              <w:rPr>
                <w:rFonts w:cs="Arial"/>
                <w:bCs/>
                <w:sz w:val="14"/>
                <w:szCs w:val="12"/>
                <w:lang w:val="en-US"/>
              </w:rPr>
              <w:t>(226)</w:t>
            </w:r>
          </w:p>
        </w:tc>
      </w:tr>
      <w:tr w:rsidR="00E63D6A" w:rsidRPr="00925134" w14:paraId="2F76CC98" w14:textId="77777777" w:rsidTr="00E63D6A">
        <w:trPr>
          <w:trHeight w:val="170"/>
          <w:jc w:val="center"/>
        </w:trPr>
        <w:tc>
          <w:tcPr>
            <w:tcW w:w="3105" w:type="pct"/>
            <w:tcBorders>
              <w:top w:val="nil"/>
              <w:left w:val="nil"/>
              <w:bottom w:val="single" w:sz="8" w:space="0" w:color="30849B"/>
              <w:right w:val="nil"/>
            </w:tcBorders>
            <w:tcMar>
              <w:top w:w="28" w:type="dxa"/>
              <w:left w:w="28" w:type="dxa"/>
              <w:bottom w:w="28" w:type="dxa"/>
              <w:right w:w="28" w:type="dxa"/>
            </w:tcMar>
            <w:vAlign w:val="center"/>
            <w:hideMark/>
          </w:tcPr>
          <w:p w14:paraId="044008CA" w14:textId="77777777" w:rsidR="00E63D6A" w:rsidRPr="00925134" w:rsidRDefault="00E63D6A" w:rsidP="00E63D6A">
            <w:pPr>
              <w:keepNext/>
              <w:ind w:left="256"/>
              <w:rPr>
                <w:rFonts w:cs="Arial"/>
                <w:sz w:val="14"/>
                <w:szCs w:val="12"/>
                <w:lang w:val="en-US"/>
              </w:rPr>
            </w:pPr>
            <w:r w:rsidRPr="00925134">
              <w:rPr>
                <w:bCs/>
                <w:sz w:val="14"/>
                <w:szCs w:val="18"/>
                <w:lang w:val="en-US"/>
              </w:rPr>
              <w:t>Net interest cost</w:t>
            </w:r>
          </w:p>
        </w:tc>
        <w:tc>
          <w:tcPr>
            <w:tcW w:w="948" w:type="pct"/>
            <w:tcBorders>
              <w:top w:val="nil"/>
              <w:left w:val="nil"/>
              <w:bottom w:val="single" w:sz="8" w:space="0" w:color="30849B"/>
              <w:right w:val="nil"/>
            </w:tcBorders>
            <w:shd w:val="clear" w:color="auto" w:fill="auto"/>
            <w:tcMar>
              <w:top w:w="28" w:type="dxa"/>
              <w:left w:w="28" w:type="dxa"/>
              <w:bottom w:w="28" w:type="dxa"/>
              <w:right w:w="28" w:type="dxa"/>
            </w:tcMar>
            <w:vAlign w:val="center"/>
            <w:hideMark/>
          </w:tcPr>
          <w:p w14:paraId="279DE030" w14:textId="77777777" w:rsidR="00E63D6A" w:rsidRPr="00925134" w:rsidRDefault="00E63D6A" w:rsidP="00E63D6A">
            <w:pPr>
              <w:keepNext/>
              <w:ind w:right="538"/>
              <w:jc w:val="right"/>
              <w:rPr>
                <w:rFonts w:cs="Arial"/>
                <w:sz w:val="14"/>
                <w:szCs w:val="12"/>
                <w:lang w:val="en-US"/>
              </w:rPr>
            </w:pPr>
            <w:r w:rsidRPr="00925134">
              <w:rPr>
                <w:rFonts w:cs="Arial"/>
                <w:bCs/>
                <w:sz w:val="14"/>
                <w:szCs w:val="12"/>
                <w:lang w:val="en-US"/>
              </w:rPr>
              <w:t>(72)</w:t>
            </w:r>
          </w:p>
        </w:tc>
        <w:tc>
          <w:tcPr>
            <w:tcW w:w="947" w:type="pct"/>
            <w:tcBorders>
              <w:top w:val="nil"/>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6EAE4AC1" w14:textId="77777777" w:rsidR="00E63D6A" w:rsidRPr="00925134" w:rsidRDefault="00E63D6A" w:rsidP="00E63D6A">
            <w:pPr>
              <w:keepNext/>
              <w:ind w:right="538"/>
              <w:jc w:val="right"/>
              <w:rPr>
                <w:rFonts w:cs="Arial"/>
                <w:sz w:val="14"/>
                <w:szCs w:val="12"/>
                <w:lang w:val="en-US"/>
              </w:rPr>
            </w:pPr>
            <w:r w:rsidRPr="00925134">
              <w:rPr>
                <w:rFonts w:cs="Arial"/>
                <w:bCs/>
                <w:sz w:val="14"/>
                <w:szCs w:val="12"/>
                <w:lang w:val="en-US"/>
              </w:rPr>
              <w:t>(24)</w:t>
            </w:r>
          </w:p>
        </w:tc>
      </w:tr>
      <w:tr w:rsidR="00E63D6A" w:rsidRPr="00925134" w14:paraId="1F87BC29"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7B93AE12"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Organic Free Cash Flow</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6B89D3FC"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1,071</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219656AC" w14:textId="77777777" w:rsidR="00E63D6A" w:rsidRPr="00925134" w:rsidRDefault="00E63D6A" w:rsidP="00E63D6A">
            <w:pPr>
              <w:keepNext/>
              <w:ind w:right="538"/>
              <w:jc w:val="right"/>
              <w:rPr>
                <w:rFonts w:cs="Arial"/>
                <w:b/>
                <w:bCs/>
                <w:iCs/>
                <w:color w:val="FF0000"/>
                <w:sz w:val="14"/>
                <w:szCs w:val="12"/>
                <w:lang w:val="en-US"/>
              </w:rPr>
            </w:pPr>
            <w:r w:rsidRPr="00925134">
              <w:rPr>
                <w:rFonts w:cs="Arial"/>
                <w:b/>
                <w:bCs/>
                <w:iCs/>
                <w:color w:val="0070AD" w:themeColor="accent1"/>
                <w:sz w:val="14"/>
                <w:szCs w:val="12"/>
                <w:lang w:val="en-US"/>
              </w:rPr>
              <w:t>1,080</w:t>
            </w:r>
          </w:p>
        </w:tc>
      </w:tr>
      <w:tr w:rsidR="00E63D6A" w:rsidRPr="00925134" w14:paraId="76149532" w14:textId="77777777" w:rsidTr="00E63D6A">
        <w:trPr>
          <w:trHeight w:val="170"/>
          <w:jc w:val="center"/>
        </w:trPr>
        <w:tc>
          <w:tcPr>
            <w:tcW w:w="3105" w:type="pct"/>
            <w:tcBorders>
              <w:top w:val="single" w:sz="8" w:space="0" w:color="30849B"/>
              <w:left w:val="nil"/>
              <w:right w:val="nil"/>
            </w:tcBorders>
            <w:tcMar>
              <w:top w:w="28" w:type="dxa"/>
              <w:left w:w="28" w:type="dxa"/>
              <w:bottom w:w="28" w:type="dxa"/>
              <w:right w:w="28" w:type="dxa"/>
            </w:tcMar>
            <w:vAlign w:val="center"/>
          </w:tcPr>
          <w:p w14:paraId="354A22CC" w14:textId="77777777" w:rsidR="00E63D6A" w:rsidRPr="00925134" w:rsidRDefault="00E63D6A" w:rsidP="00E63D6A">
            <w:pPr>
              <w:keepNext/>
              <w:ind w:left="256"/>
              <w:rPr>
                <w:rFonts w:cs="Arial"/>
                <w:bCs/>
                <w:sz w:val="14"/>
                <w:szCs w:val="12"/>
                <w:lang w:val="en-US"/>
              </w:rPr>
            </w:pPr>
            <w:r w:rsidRPr="00925134">
              <w:rPr>
                <w:bCs/>
                <w:sz w:val="14"/>
                <w:szCs w:val="18"/>
                <w:lang w:val="en-US"/>
              </w:rPr>
              <w:t>Other cash flows used in investing and financing activities</w:t>
            </w:r>
          </w:p>
        </w:tc>
        <w:tc>
          <w:tcPr>
            <w:tcW w:w="948" w:type="pct"/>
            <w:tcBorders>
              <w:top w:val="single" w:sz="8" w:space="0" w:color="30849B"/>
              <w:left w:val="nil"/>
              <w:right w:val="nil"/>
            </w:tcBorders>
            <w:shd w:val="clear" w:color="auto" w:fill="auto"/>
            <w:tcMar>
              <w:top w:w="28" w:type="dxa"/>
              <w:left w:w="28" w:type="dxa"/>
              <w:bottom w:w="28" w:type="dxa"/>
              <w:right w:w="28" w:type="dxa"/>
            </w:tcMar>
            <w:vAlign w:val="center"/>
          </w:tcPr>
          <w:p w14:paraId="7825C4E5" w14:textId="77777777" w:rsidR="00E63D6A" w:rsidRPr="00925134" w:rsidRDefault="00E63D6A" w:rsidP="00E63D6A">
            <w:pPr>
              <w:keepNext/>
              <w:ind w:right="538"/>
              <w:jc w:val="right"/>
              <w:rPr>
                <w:rFonts w:cs="Arial"/>
                <w:bCs/>
                <w:sz w:val="14"/>
                <w:szCs w:val="12"/>
                <w:lang w:val="en-US"/>
              </w:rPr>
            </w:pPr>
            <w:r w:rsidRPr="00925134">
              <w:rPr>
                <w:rFonts w:cs="Arial"/>
                <w:bCs/>
                <w:sz w:val="14"/>
                <w:szCs w:val="12"/>
                <w:lang w:val="en-US"/>
              </w:rPr>
              <w:t>(1,118)</w:t>
            </w:r>
          </w:p>
        </w:tc>
        <w:tc>
          <w:tcPr>
            <w:tcW w:w="947" w:type="pct"/>
            <w:tcBorders>
              <w:top w:val="single" w:sz="8" w:space="0" w:color="30849B"/>
              <w:left w:val="nil"/>
              <w:right w:val="nil"/>
            </w:tcBorders>
            <w:shd w:val="clear" w:color="auto" w:fill="BBE7FF" w:themeFill="accent1" w:themeFillTint="33"/>
            <w:tcMar>
              <w:top w:w="28" w:type="dxa"/>
              <w:left w:w="28" w:type="dxa"/>
              <w:bottom w:w="28" w:type="dxa"/>
              <w:right w:w="28" w:type="dxa"/>
            </w:tcMar>
            <w:vAlign w:val="center"/>
          </w:tcPr>
          <w:p w14:paraId="5BFF8EC2" w14:textId="7CE3A6AF" w:rsidR="00E63D6A" w:rsidRPr="00925134" w:rsidRDefault="00E63D6A" w:rsidP="00E63D6A">
            <w:pPr>
              <w:keepNext/>
              <w:ind w:right="538"/>
              <w:jc w:val="right"/>
              <w:rPr>
                <w:rFonts w:cs="Arial"/>
                <w:bCs/>
                <w:color w:val="FF0000"/>
                <w:sz w:val="14"/>
                <w:szCs w:val="12"/>
                <w:lang w:val="en-US"/>
              </w:rPr>
            </w:pPr>
            <w:r w:rsidRPr="00925134">
              <w:rPr>
                <w:rFonts w:cs="Arial"/>
                <w:bCs/>
                <w:sz w:val="14"/>
                <w:szCs w:val="12"/>
                <w:lang w:val="en-US"/>
              </w:rPr>
              <w:t>(87</w:t>
            </w:r>
            <w:r w:rsidR="004F03ED" w:rsidRPr="00925134">
              <w:rPr>
                <w:rFonts w:cs="Arial"/>
                <w:bCs/>
                <w:sz w:val="14"/>
                <w:szCs w:val="12"/>
                <w:lang w:val="en-US"/>
              </w:rPr>
              <w:t>1</w:t>
            </w:r>
            <w:r w:rsidRPr="00925134">
              <w:rPr>
                <w:rFonts w:cs="Arial"/>
                <w:bCs/>
                <w:sz w:val="14"/>
                <w:szCs w:val="12"/>
                <w:lang w:val="en-US"/>
              </w:rPr>
              <w:t>)</w:t>
            </w:r>
          </w:p>
        </w:tc>
      </w:tr>
      <w:tr w:rsidR="00E63D6A" w:rsidRPr="00925134" w14:paraId="35021E99"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0EAC8E83"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Increase (decrease) in cash and cash equivalents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0CE3E812"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(47)</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1E4AC206" w14:textId="77777777" w:rsidR="00E63D6A" w:rsidRPr="00925134" w:rsidRDefault="00E63D6A" w:rsidP="00E63D6A">
            <w:pPr>
              <w:keepNext/>
              <w:ind w:right="538"/>
              <w:jc w:val="right"/>
              <w:rPr>
                <w:rFonts w:cs="Arial"/>
                <w:b/>
                <w:bCs/>
                <w:iCs/>
                <w:color w:val="FF0000"/>
                <w:sz w:val="14"/>
                <w:szCs w:val="12"/>
                <w:lang w:val="en-US"/>
              </w:rPr>
            </w:pPr>
            <w:r w:rsidRPr="00925134">
              <w:rPr>
                <w:rFonts w:cs="Arial"/>
                <w:b/>
                <w:bCs/>
                <w:iCs/>
                <w:color w:val="0070AD" w:themeColor="accent1"/>
                <w:sz w:val="14"/>
                <w:szCs w:val="12"/>
                <w:lang w:val="en-US"/>
              </w:rPr>
              <w:t>209</w:t>
            </w:r>
          </w:p>
        </w:tc>
      </w:tr>
      <w:tr w:rsidR="00E63D6A" w:rsidRPr="00925134" w14:paraId="0DA9C6BB" w14:textId="77777777" w:rsidTr="00E63D6A">
        <w:trPr>
          <w:trHeight w:val="170"/>
          <w:jc w:val="center"/>
        </w:trPr>
        <w:tc>
          <w:tcPr>
            <w:tcW w:w="3105" w:type="pct"/>
            <w:tcBorders>
              <w:top w:val="single" w:sz="8" w:space="0" w:color="30849B"/>
              <w:left w:val="nil"/>
              <w:bottom w:val="single" w:sz="8" w:space="0" w:color="0070AD" w:themeColor="accent1"/>
              <w:right w:val="nil"/>
            </w:tcBorders>
            <w:tcMar>
              <w:top w:w="28" w:type="dxa"/>
              <w:left w:w="28" w:type="dxa"/>
              <w:bottom w:w="28" w:type="dxa"/>
              <w:right w:w="28" w:type="dxa"/>
            </w:tcMar>
            <w:vAlign w:val="center"/>
          </w:tcPr>
          <w:p w14:paraId="2D5C92D3" w14:textId="77777777" w:rsidR="00E63D6A" w:rsidRPr="00925134" w:rsidRDefault="00E63D6A" w:rsidP="00E63D6A">
            <w:pPr>
              <w:keepNext/>
              <w:ind w:left="256"/>
              <w:rPr>
                <w:rFonts w:cs="Arial"/>
                <w:bCs/>
                <w:sz w:val="14"/>
                <w:szCs w:val="12"/>
                <w:lang w:val="en-US"/>
              </w:rPr>
            </w:pPr>
            <w:r w:rsidRPr="00925134">
              <w:rPr>
                <w:bCs/>
                <w:sz w:val="14"/>
                <w:szCs w:val="18"/>
                <w:lang w:val="en-US"/>
              </w:rPr>
              <w:t>Effect of exchange rate fluctuations</w:t>
            </w:r>
          </w:p>
        </w:tc>
        <w:tc>
          <w:tcPr>
            <w:tcW w:w="948" w:type="pct"/>
            <w:tcBorders>
              <w:top w:val="single" w:sz="8" w:space="0" w:color="30849B"/>
              <w:left w:val="nil"/>
              <w:bottom w:val="single" w:sz="8" w:space="0" w:color="0070AD" w:themeColor="accent1"/>
              <w:right w:val="nil"/>
            </w:tcBorders>
            <w:shd w:val="clear" w:color="auto" w:fill="auto"/>
            <w:tcMar>
              <w:top w:w="28" w:type="dxa"/>
              <w:left w:w="28" w:type="dxa"/>
              <w:bottom w:w="28" w:type="dxa"/>
              <w:right w:w="28" w:type="dxa"/>
            </w:tcMar>
            <w:vAlign w:val="center"/>
          </w:tcPr>
          <w:p w14:paraId="537967D1" w14:textId="77777777" w:rsidR="00E63D6A" w:rsidRPr="00925134" w:rsidRDefault="00E63D6A" w:rsidP="00E63D6A">
            <w:pPr>
              <w:keepNext/>
              <w:ind w:right="538"/>
              <w:jc w:val="right"/>
              <w:rPr>
                <w:rFonts w:cs="Arial"/>
                <w:bCs/>
                <w:sz w:val="14"/>
                <w:szCs w:val="12"/>
                <w:lang w:val="en-US"/>
              </w:rPr>
            </w:pPr>
            <w:r w:rsidRPr="00925134">
              <w:rPr>
                <w:rFonts w:cs="Arial"/>
                <w:bCs/>
                <w:sz w:val="14"/>
                <w:szCs w:val="12"/>
                <w:lang w:val="en-US"/>
              </w:rPr>
              <w:t>(31)</w:t>
            </w:r>
          </w:p>
        </w:tc>
        <w:tc>
          <w:tcPr>
            <w:tcW w:w="947" w:type="pct"/>
            <w:tcBorders>
              <w:top w:val="single" w:sz="8" w:space="0" w:color="30849B"/>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73909B7C" w14:textId="77777777" w:rsidR="00E63D6A" w:rsidRPr="00925134" w:rsidRDefault="00E63D6A" w:rsidP="00E63D6A">
            <w:pPr>
              <w:keepNext/>
              <w:ind w:right="538"/>
              <w:jc w:val="right"/>
              <w:rPr>
                <w:rFonts w:cs="Arial"/>
                <w:bCs/>
                <w:color w:val="FF0000"/>
                <w:sz w:val="14"/>
                <w:szCs w:val="12"/>
                <w:lang w:val="en-US"/>
              </w:rPr>
            </w:pPr>
            <w:r w:rsidRPr="00925134">
              <w:rPr>
                <w:rFonts w:cs="Arial"/>
                <w:bCs/>
                <w:sz w:val="14"/>
                <w:szCs w:val="12"/>
                <w:lang w:val="en-US"/>
              </w:rPr>
              <w:t>(91)</w:t>
            </w:r>
          </w:p>
        </w:tc>
      </w:tr>
      <w:tr w:rsidR="00E63D6A" w:rsidRPr="00925134" w14:paraId="1A9E3FC5" w14:textId="77777777" w:rsidTr="00E63D6A">
        <w:trPr>
          <w:trHeight w:val="170"/>
          <w:jc w:val="center"/>
        </w:trPr>
        <w:tc>
          <w:tcPr>
            <w:tcW w:w="3105" w:type="pct"/>
            <w:tcBorders>
              <w:top w:val="single" w:sz="8" w:space="0" w:color="0070AD" w:themeColor="accent1"/>
              <w:left w:val="nil"/>
              <w:right w:val="nil"/>
            </w:tcBorders>
            <w:tcMar>
              <w:top w:w="28" w:type="dxa"/>
              <w:left w:w="28" w:type="dxa"/>
              <w:bottom w:w="28" w:type="dxa"/>
              <w:right w:w="28" w:type="dxa"/>
            </w:tcMar>
            <w:vAlign w:val="center"/>
          </w:tcPr>
          <w:p w14:paraId="4539AFF3"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Opening cash and cash equivalents, net of bank overdraft</w:t>
            </w:r>
          </w:p>
        </w:tc>
        <w:tc>
          <w:tcPr>
            <w:tcW w:w="948" w:type="pct"/>
            <w:tcBorders>
              <w:top w:val="single" w:sz="8" w:space="0" w:color="0070AD" w:themeColor="accent1"/>
              <w:left w:val="nil"/>
              <w:right w:val="nil"/>
            </w:tcBorders>
            <w:shd w:val="clear" w:color="auto" w:fill="auto"/>
            <w:tcMar>
              <w:top w:w="28" w:type="dxa"/>
              <w:left w:w="28" w:type="dxa"/>
              <w:bottom w:w="28" w:type="dxa"/>
              <w:right w:w="28" w:type="dxa"/>
            </w:tcMar>
            <w:vAlign w:val="center"/>
          </w:tcPr>
          <w:p w14:paraId="511FEA13" w14:textId="77777777" w:rsidR="00E63D6A" w:rsidRPr="00925134" w:rsidRDefault="00E63D6A" w:rsidP="00E63D6A">
            <w:pPr>
              <w:keepNext/>
              <w:ind w:right="538"/>
              <w:jc w:val="right"/>
              <w:rPr>
                <w:rFonts w:cs="Arial"/>
                <w:b/>
                <w:bCs/>
                <w:color w:val="0070AD" w:themeColor="accent1"/>
                <w:sz w:val="14"/>
                <w:szCs w:val="12"/>
                <w:lang w:val="en-US"/>
              </w:rPr>
            </w:pPr>
            <w:r w:rsidRPr="00925134">
              <w:rPr>
                <w:rFonts w:cs="Arial"/>
                <w:b/>
                <w:bCs/>
                <w:color w:val="0070AD" w:themeColor="accent1"/>
                <w:sz w:val="14"/>
                <w:szCs w:val="12"/>
                <w:lang w:val="en-US"/>
              </w:rPr>
              <w:t>1,948</w:t>
            </w:r>
          </w:p>
        </w:tc>
        <w:tc>
          <w:tcPr>
            <w:tcW w:w="94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tcPr>
          <w:p w14:paraId="5063AADA" w14:textId="77777777" w:rsidR="00E63D6A" w:rsidRPr="00925134" w:rsidRDefault="00E63D6A" w:rsidP="00E63D6A">
            <w:pPr>
              <w:keepNext/>
              <w:ind w:right="538"/>
              <w:jc w:val="right"/>
              <w:rPr>
                <w:rFonts w:cs="Arial"/>
                <w:b/>
                <w:bCs/>
                <w:color w:val="0070AD" w:themeColor="accent1"/>
                <w:sz w:val="14"/>
                <w:szCs w:val="12"/>
                <w:lang w:val="en-US"/>
              </w:rPr>
            </w:pPr>
            <w:r w:rsidRPr="00925134">
              <w:rPr>
                <w:rFonts w:cs="Arial"/>
                <w:b/>
                <w:bCs/>
                <w:color w:val="0070AD" w:themeColor="accent1"/>
                <w:sz w:val="14"/>
                <w:szCs w:val="12"/>
                <w:lang w:val="en-US"/>
              </w:rPr>
              <w:t>1,870</w:t>
            </w:r>
          </w:p>
        </w:tc>
      </w:tr>
      <w:tr w:rsidR="00E63D6A" w:rsidRPr="00925134" w14:paraId="44CF5154" w14:textId="77777777" w:rsidTr="00E63D6A">
        <w:trPr>
          <w:trHeight w:val="170"/>
          <w:jc w:val="center"/>
        </w:trPr>
        <w:tc>
          <w:tcPr>
            <w:tcW w:w="3105" w:type="pct"/>
            <w:tcBorders>
              <w:left w:val="nil"/>
              <w:bottom w:val="single" w:sz="8" w:space="0" w:color="0070AD" w:themeColor="accent1"/>
              <w:right w:val="nil"/>
            </w:tcBorders>
            <w:tcMar>
              <w:top w:w="28" w:type="dxa"/>
              <w:left w:w="28" w:type="dxa"/>
              <w:bottom w:w="28" w:type="dxa"/>
              <w:right w:w="28" w:type="dxa"/>
            </w:tcMar>
            <w:vAlign w:val="center"/>
          </w:tcPr>
          <w:p w14:paraId="4401227C" w14:textId="77777777" w:rsidR="00E63D6A" w:rsidRPr="00925134" w:rsidRDefault="00E63D6A" w:rsidP="00E63D6A">
            <w:pPr>
              <w:keepNext/>
              <w:ind w:left="114"/>
              <w:rPr>
                <w:rFonts w:cs="Arial"/>
                <w:color w:val="0070AD"/>
                <w:sz w:val="14"/>
                <w:szCs w:val="12"/>
                <w:lang w:val="en-US"/>
              </w:rPr>
            </w:pPr>
            <w:r w:rsidRPr="00925134">
              <w:rPr>
                <w:b/>
                <w:bCs/>
                <w:iCs/>
                <w:color w:val="0070AD"/>
                <w:sz w:val="14"/>
                <w:szCs w:val="18"/>
                <w:lang w:val="en-US"/>
              </w:rPr>
              <w:t>Closing cash and cash equivalents, net of bank overdraft</w:t>
            </w:r>
          </w:p>
        </w:tc>
        <w:tc>
          <w:tcPr>
            <w:tcW w:w="948" w:type="pct"/>
            <w:tcBorders>
              <w:left w:val="nil"/>
              <w:bottom w:val="single" w:sz="8" w:space="0" w:color="0070AD" w:themeColor="accent1"/>
              <w:right w:val="nil"/>
            </w:tcBorders>
            <w:shd w:val="clear" w:color="auto" w:fill="auto"/>
            <w:tcMar>
              <w:top w:w="28" w:type="dxa"/>
              <w:left w:w="28" w:type="dxa"/>
              <w:bottom w:w="28" w:type="dxa"/>
              <w:right w:w="28" w:type="dxa"/>
            </w:tcMar>
            <w:vAlign w:val="center"/>
          </w:tcPr>
          <w:p w14:paraId="7A94D88B" w14:textId="77777777" w:rsidR="00E63D6A" w:rsidRPr="00925134" w:rsidRDefault="00E63D6A" w:rsidP="00E63D6A">
            <w:pPr>
              <w:keepNext/>
              <w:ind w:right="538"/>
              <w:jc w:val="right"/>
              <w:rPr>
                <w:rFonts w:cs="Arial"/>
                <w:color w:val="0070AD" w:themeColor="accent1"/>
                <w:sz w:val="14"/>
                <w:szCs w:val="12"/>
                <w:lang w:val="en-US"/>
              </w:rPr>
            </w:pPr>
            <w:r w:rsidRPr="00925134">
              <w:rPr>
                <w:rFonts w:cs="Arial"/>
                <w:b/>
                <w:bCs/>
                <w:color w:val="0070AD" w:themeColor="accent1"/>
                <w:sz w:val="14"/>
                <w:szCs w:val="12"/>
                <w:lang w:val="en-US"/>
              </w:rPr>
              <w:t>1,870</w:t>
            </w:r>
          </w:p>
        </w:tc>
        <w:tc>
          <w:tcPr>
            <w:tcW w:w="947" w:type="pct"/>
            <w:tcBorders>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tcPr>
          <w:p w14:paraId="3B44431C" w14:textId="77777777" w:rsidR="00E63D6A" w:rsidRPr="00925134" w:rsidRDefault="00E63D6A" w:rsidP="00E63D6A">
            <w:pPr>
              <w:keepNext/>
              <w:ind w:right="538"/>
              <w:jc w:val="right"/>
              <w:rPr>
                <w:rFonts w:cs="Arial"/>
                <w:color w:val="FF0000"/>
                <w:sz w:val="14"/>
                <w:szCs w:val="12"/>
                <w:lang w:val="en-US"/>
              </w:rPr>
            </w:pPr>
            <w:r w:rsidRPr="00925134">
              <w:rPr>
                <w:rFonts w:cs="Arial"/>
                <w:b/>
                <w:bCs/>
                <w:color w:val="0070AD" w:themeColor="accent1"/>
                <w:sz w:val="14"/>
                <w:szCs w:val="12"/>
                <w:lang w:val="en-US"/>
              </w:rPr>
              <w:t>1,988</w:t>
            </w:r>
          </w:p>
        </w:tc>
      </w:tr>
    </w:tbl>
    <w:p w14:paraId="606FDA48" w14:textId="77777777" w:rsidR="003E11DB" w:rsidRPr="00925134" w:rsidRDefault="003E11DB" w:rsidP="003E11DB">
      <w:pPr>
        <w:spacing w:before="120" w:after="120"/>
        <w:rPr>
          <w:rFonts w:cs="Arial"/>
          <w:b/>
          <w:caps/>
          <w:lang w:val="en-US"/>
        </w:rPr>
      </w:pPr>
    </w:p>
    <w:p w14:paraId="3E15E309" w14:textId="77777777" w:rsidR="003E11DB" w:rsidRPr="00925134" w:rsidRDefault="003E11DB" w:rsidP="003E11DB">
      <w:pPr>
        <w:pStyle w:val="Overskrift1"/>
        <w:rPr>
          <w:lang w:val="en-US"/>
        </w:rPr>
      </w:pPr>
      <w:r w:rsidRPr="00925134">
        <w:rPr>
          <w:lang w:val="en-US"/>
        </w:rPr>
        <w:t>NET</w:t>
      </w:r>
      <w:r w:rsidR="00E63D6A" w:rsidRPr="00925134">
        <w:rPr>
          <w:lang w:val="en-US"/>
        </w:rPr>
        <w:t xml:space="preserve"> DEBT</w:t>
      </w:r>
    </w:p>
    <w:tbl>
      <w:tblPr>
        <w:tblW w:w="4843" w:type="pct"/>
        <w:jc w:val="center"/>
        <w:tblCellMar>
          <w:left w:w="0" w:type="dxa"/>
          <w:right w:w="0" w:type="dxa"/>
        </w:tblCellMar>
        <w:tblLook w:val="04A0" w:firstRow="1" w:lastRow="0" w:firstColumn="1" w:lastColumn="0" w:noHBand="0" w:noVBand="1"/>
      </w:tblPr>
      <w:tblGrid>
        <w:gridCol w:w="6124"/>
        <w:gridCol w:w="1870"/>
        <w:gridCol w:w="1868"/>
      </w:tblGrid>
      <w:tr w:rsidR="003E11DB" w:rsidRPr="00925134" w14:paraId="41F3FF16" w14:textId="77777777" w:rsidTr="00E63D6A">
        <w:trPr>
          <w:trHeight w:val="283"/>
          <w:jc w:val="center"/>
        </w:trPr>
        <w:tc>
          <w:tcPr>
            <w:tcW w:w="3105"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68B392CE" w14:textId="77777777" w:rsidR="003E11DB" w:rsidRPr="00925134" w:rsidRDefault="003E11DB" w:rsidP="00E63D6A">
            <w:pPr>
              <w:keepNext/>
              <w:keepLines/>
              <w:jc w:val="center"/>
              <w:rPr>
                <w:rFonts w:cs="Arial"/>
                <w:sz w:val="14"/>
                <w:szCs w:val="12"/>
                <w:lang w:val="en-US"/>
              </w:rPr>
            </w:pPr>
            <w:r w:rsidRPr="00925134">
              <w:rPr>
                <w:rFonts w:cs="Arial"/>
                <w:i/>
                <w:iCs/>
                <w:sz w:val="14"/>
                <w:szCs w:val="12"/>
                <w:lang w:val="en-US"/>
              </w:rPr>
              <w:t>(</w:t>
            </w:r>
            <w:r w:rsidR="00E63D6A" w:rsidRPr="00925134">
              <w:rPr>
                <w:rFonts w:cs="Arial"/>
                <w:i/>
                <w:iCs/>
                <w:sz w:val="14"/>
                <w:szCs w:val="12"/>
                <w:lang w:val="en-US"/>
              </w:rPr>
              <w:t>in</w:t>
            </w:r>
            <w:r w:rsidRPr="00925134">
              <w:rPr>
                <w:rFonts w:cs="Arial"/>
                <w:i/>
                <w:iCs/>
                <w:sz w:val="14"/>
                <w:szCs w:val="12"/>
                <w:lang w:val="en-US"/>
              </w:rPr>
              <w:t xml:space="preserve"> millions</w:t>
            </w:r>
            <w:r w:rsidR="00E63D6A" w:rsidRPr="00925134">
              <w:rPr>
                <w:rFonts w:cs="Arial"/>
                <w:i/>
                <w:iCs/>
                <w:sz w:val="14"/>
                <w:szCs w:val="12"/>
                <w:lang w:val="en-US"/>
              </w:rPr>
              <w:t xml:space="preserve"> of </w:t>
            </w:r>
            <w:r w:rsidRPr="00925134">
              <w:rPr>
                <w:rFonts w:cs="Arial"/>
                <w:i/>
                <w:iCs/>
                <w:sz w:val="14"/>
                <w:szCs w:val="12"/>
                <w:lang w:val="en-US"/>
              </w:rPr>
              <w:t>euros)</w:t>
            </w:r>
          </w:p>
        </w:tc>
        <w:tc>
          <w:tcPr>
            <w:tcW w:w="948" w:type="pct"/>
            <w:tcBorders>
              <w:top w:val="nil"/>
              <w:left w:val="nil"/>
              <w:bottom w:val="single" w:sz="8" w:space="0" w:color="0070AD" w:themeColor="accent1"/>
              <w:right w:val="nil"/>
            </w:tcBorders>
            <w:tcMar>
              <w:top w:w="28" w:type="dxa"/>
              <w:left w:w="28" w:type="dxa"/>
              <w:bottom w:w="28" w:type="dxa"/>
              <w:right w:w="28" w:type="dxa"/>
            </w:tcMar>
            <w:vAlign w:val="center"/>
            <w:hideMark/>
          </w:tcPr>
          <w:p w14:paraId="4C13CE10" w14:textId="77777777" w:rsidR="003E11DB" w:rsidRPr="00925134" w:rsidRDefault="00EC370B" w:rsidP="00354252">
            <w:pPr>
              <w:keepNext/>
              <w:keepLines/>
              <w:jc w:val="center"/>
              <w:rPr>
                <w:rFonts w:cs="Arial"/>
                <w:b/>
                <w:bCs/>
                <w:sz w:val="14"/>
                <w:szCs w:val="12"/>
                <w:lang w:val="en-US"/>
              </w:rPr>
            </w:pPr>
            <w:r w:rsidRPr="00925134">
              <w:rPr>
                <w:rFonts w:cs="Arial"/>
                <w:b/>
                <w:bCs/>
                <w:sz w:val="14"/>
                <w:szCs w:val="12"/>
                <w:lang w:val="en-US"/>
              </w:rPr>
              <w:t>12/31</w:t>
            </w:r>
            <w:r w:rsidR="003E11DB" w:rsidRPr="00925134">
              <w:rPr>
                <w:rFonts w:cs="Arial"/>
                <w:b/>
                <w:bCs/>
                <w:sz w:val="14"/>
                <w:szCs w:val="12"/>
                <w:lang w:val="en-US"/>
              </w:rPr>
              <w:t>/</w:t>
            </w:r>
            <w:r w:rsidR="008959F4" w:rsidRPr="00925134">
              <w:rPr>
                <w:rFonts w:cs="Arial"/>
                <w:b/>
                <w:bCs/>
                <w:sz w:val="14"/>
                <w:szCs w:val="12"/>
                <w:lang w:val="en-US"/>
              </w:rPr>
              <w:t>2016</w:t>
            </w:r>
          </w:p>
        </w:tc>
        <w:tc>
          <w:tcPr>
            <w:tcW w:w="947" w:type="pct"/>
            <w:tcBorders>
              <w:top w:val="nil"/>
              <w:left w:val="nil"/>
              <w:bottom w:val="single" w:sz="8" w:space="0" w:color="0070AD" w:themeColor="accent1"/>
              <w:right w:val="nil"/>
            </w:tcBorders>
            <w:shd w:val="clear" w:color="auto" w:fill="BBE7FF" w:themeFill="accent1" w:themeFillTint="33"/>
            <w:tcMar>
              <w:top w:w="28" w:type="dxa"/>
              <w:left w:w="28" w:type="dxa"/>
              <w:bottom w:w="28" w:type="dxa"/>
              <w:right w:w="28" w:type="dxa"/>
            </w:tcMar>
            <w:vAlign w:val="center"/>
            <w:hideMark/>
          </w:tcPr>
          <w:p w14:paraId="2ED524DD" w14:textId="77777777" w:rsidR="003E11DB" w:rsidRPr="00925134" w:rsidRDefault="00EC370B" w:rsidP="00354252">
            <w:pPr>
              <w:keepNext/>
              <w:keepLines/>
              <w:jc w:val="center"/>
              <w:rPr>
                <w:rFonts w:cs="Arial"/>
                <w:sz w:val="14"/>
                <w:szCs w:val="12"/>
                <w:lang w:val="en-US"/>
              </w:rPr>
            </w:pPr>
            <w:r w:rsidRPr="00925134">
              <w:rPr>
                <w:rFonts w:cs="Arial"/>
                <w:b/>
                <w:bCs/>
                <w:sz w:val="14"/>
                <w:szCs w:val="12"/>
                <w:lang w:val="en-US"/>
              </w:rPr>
              <w:t>12/31</w:t>
            </w:r>
            <w:r w:rsidR="003E11DB" w:rsidRPr="00925134">
              <w:rPr>
                <w:rFonts w:cs="Arial"/>
                <w:b/>
                <w:bCs/>
                <w:sz w:val="14"/>
                <w:szCs w:val="12"/>
                <w:lang w:val="en-US"/>
              </w:rPr>
              <w:t>/</w:t>
            </w:r>
            <w:r w:rsidR="008959F4" w:rsidRPr="00925134">
              <w:rPr>
                <w:rFonts w:cs="Arial"/>
                <w:b/>
                <w:bCs/>
                <w:sz w:val="14"/>
                <w:szCs w:val="12"/>
                <w:lang w:val="en-US"/>
              </w:rPr>
              <w:t>2017</w:t>
            </w:r>
          </w:p>
        </w:tc>
      </w:tr>
      <w:tr w:rsidR="00E63D6A" w:rsidRPr="00925134" w14:paraId="3C20B29E" w14:textId="77777777" w:rsidTr="00E63D6A">
        <w:trPr>
          <w:trHeight w:val="170"/>
          <w:jc w:val="center"/>
        </w:trPr>
        <w:tc>
          <w:tcPr>
            <w:tcW w:w="3105" w:type="pct"/>
            <w:tcBorders>
              <w:top w:val="single" w:sz="8" w:space="0" w:color="0070AD" w:themeColor="accent1"/>
              <w:left w:val="nil"/>
              <w:right w:val="nil"/>
            </w:tcBorders>
            <w:tcMar>
              <w:top w:w="28" w:type="dxa"/>
              <w:left w:w="28" w:type="dxa"/>
              <w:bottom w:w="28" w:type="dxa"/>
              <w:right w:w="28" w:type="dxa"/>
            </w:tcMar>
            <w:vAlign w:val="center"/>
            <w:hideMark/>
          </w:tcPr>
          <w:p w14:paraId="488DCFCD" w14:textId="77777777" w:rsidR="00E63D6A" w:rsidRPr="00925134" w:rsidRDefault="00E63D6A" w:rsidP="00E63D6A">
            <w:pPr>
              <w:keepNext/>
              <w:keepLines/>
              <w:ind w:left="256"/>
              <w:rPr>
                <w:rFonts w:cs="Arial"/>
                <w:bCs/>
                <w:sz w:val="14"/>
                <w:szCs w:val="12"/>
                <w:lang w:val="en-US"/>
              </w:rPr>
            </w:pPr>
            <w:r w:rsidRPr="00925134">
              <w:rPr>
                <w:sz w:val="14"/>
                <w:szCs w:val="14"/>
                <w:lang w:val="en-US"/>
              </w:rPr>
              <w:t>Cash and cash equivalents</w:t>
            </w:r>
          </w:p>
        </w:tc>
        <w:tc>
          <w:tcPr>
            <w:tcW w:w="948" w:type="pct"/>
            <w:tcBorders>
              <w:top w:val="single" w:sz="8" w:space="0" w:color="0070AD" w:themeColor="accent1"/>
              <w:left w:val="nil"/>
              <w:right w:val="nil"/>
            </w:tcBorders>
            <w:shd w:val="clear" w:color="auto" w:fill="auto"/>
            <w:tcMar>
              <w:top w:w="28" w:type="dxa"/>
              <w:left w:w="28" w:type="dxa"/>
              <w:bottom w:w="28" w:type="dxa"/>
              <w:right w:w="28" w:type="dxa"/>
            </w:tcMar>
            <w:vAlign w:val="center"/>
            <w:hideMark/>
          </w:tcPr>
          <w:p w14:paraId="0369B907"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1,879</w:t>
            </w:r>
          </w:p>
        </w:tc>
        <w:tc>
          <w:tcPr>
            <w:tcW w:w="947" w:type="pct"/>
            <w:tcBorders>
              <w:top w:val="single" w:sz="8" w:space="0" w:color="0070AD" w:themeColor="accent1"/>
              <w:left w:val="nil"/>
              <w:right w:val="nil"/>
            </w:tcBorders>
            <w:shd w:val="clear" w:color="auto" w:fill="BBE7FF" w:themeFill="accent1" w:themeFillTint="33"/>
            <w:tcMar>
              <w:top w:w="28" w:type="dxa"/>
              <w:left w:w="28" w:type="dxa"/>
              <w:bottom w:w="28" w:type="dxa"/>
              <w:right w:w="28" w:type="dxa"/>
            </w:tcMar>
            <w:vAlign w:val="center"/>
            <w:hideMark/>
          </w:tcPr>
          <w:p w14:paraId="09EBF4F3"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1,988</w:t>
            </w:r>
          </w:p>
        </w:tc>
      </w:tr>
      <w:tr w:rsidR="00E63D6A" w:rsidRPr="00925134" w14:paraId="5ABD33BA" w14:textId="77777777" w:rsidTr="00E63D6A">
        <w:trPr>
          <w:trHeight w:val="170"/>
          <w:jc w:val="center"/>
        </w:trPr>
        <w:tc>
          <w:tcPr>
            <w:tcW w:w="3105" w:type="pct"/>
            <w:tcBorders>
              <w:top w:val="nil"/>
              <w:left w:val="nil"/>
              <w:right w:val="nil"/>
            </w:tcBorders>
            <w:tcMar>
              <w:top w:w="28" w:type="dxa"/>
              <w:left w:w="28" w:type="dxa"/>
              <w:bottom w:w="28" w:type="dxa"/>
              <w:right w:w="28" w:type="dxa"/>
            </w:tcMar>
            <w:vAlign w:val="center"/>
            <w:hideMark/>
          </w:tcPr>
          <w:p w14:paraId="4D7134E9" w14:textId="77777777" w:rsidR="00E63D6A" w:rsidRPr="00925134" w:rsidRDefault="00E63D6A" w:rsidP="00E63D6A">
            <w:pPr>
              <w:keepNext/>
              <w:keepLines/>
              <w:ind w:left="256"/>
              <w:rPr>
                <w:rFonts w:cs="Arial"/>
                <w:sz w:val="14"/>
                <w:szCs w:val="12"/>
                <w:lang w:val="en-US"/>
              </w:rPr>
            </w:pPr>
            <w:r w:rsidRPr="00925134">
              <w:rPr>
                <w:bCs/>
                <w:sz w:val="14"/>
                <w:szCs w:val="18"/>
                <w:lang w:val="en-US"/>
              </w:rPr>
              <w:t>Bank overdrafts</w:t>
            </w:r>
          </w:p>
        </w:tc>
        <w:tc>
          <w:tcPr>
            <w:tcW w:w="948" w:type="pct"/>
            <w:tcBorders>
              <w:top w:val="nil"/>
              <w:left w:val="nil"/>
              <w:right w:val="nil"/>
            </w:tcBorders>
            <w:shd w:val="clear" w:color="auto" w:fill="auto"/>
            <w:tcMar>
              <w:top w:w="28" w:type="dxa"/>
              <w:left w:w="28" w:type="dxa"/>
              <w:bottom w:w="28" w:type="dxa"/>
              <w:right w:w="28" w:type="dxa"/>
            </w:tcMar>
            <w:vAlign w:val="center"/>
            <w:hideMark/>
          </w:tcPr>
          <w:p w14:paraId="0B079C80"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(9)</w:t>
            </w:r>
          </w:p>
        </w:tc>
        <w:tc>
          <w:tcPr>
            <w:tcW w:w="947" w:type="pct"/>
            <w:tcBorders>
              <w:top w:val="nil"/>
              <w:left w:val="nil"/>
              <w:right w:val="nil"/>
            </w:tcBorders>
            <w:shd w:val="clear" w:color="auto" w:fill="BBE7FF" w:themeFill="accent1" w:themeFillTint="33"/>
            <w:tcMar>
              <w:top w:w="28" w:type="dxa"/>
              <w:left w:w="28" w:type="dxa"/>
              <w:bottom w:w="28" w:type="dxa"/>
              <w:right w:w="28" w:type="dxa"/>
            </w:tcMar>
            <w:vAlign w:val="center"/>
            <w:hideMark/>
          </w:tcPr>
          <w:p w14:paraId="3E0B8369"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w:t>
            </w:r>
          </w:p>
        </w:tc>
      </w:tr>
      <w:tr w:rsidR="00E63D6A" w:rsidRPr="00925134" w14:paraId="63EB23CA"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27764595"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 xml:space="preserve">Cash and cash equivalents, net of bank overdraft </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7F5824E4"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1,870</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738C2EC5"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1,988</w:t>
            </w:r>
          </w:p>
        </w:tc>
      </w:tr>
      <w:tr w:rsidR="00E63D6A" w:rsidRPr="00925134" w14:paraId="65CB77A7"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tcPr>
          <w:p w14:paraId="4EC8EFB2"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Cash management assets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tcPr>
          <w:p w14:paraId="0DA06E69"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157</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tcPr>
          <w:p w14:paraId="5EB87774"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168</w:t>
            </w:r>
          </w:p>
        </w:tc>
      </w:tr>
      <w:tr w:rsidR="00E63D6A" w:rsidRPr="00925134" w14:paraId="38D700F0" w14:textId="77777777" w:rsidTr="00E63D6A">
        <w:trPr>
          <w:trHeight w:val="170"/>
          <w:jc w:val="center"/>
        </w:trPr>
        <w:tc>
          <w:tcPr>
            <w:tcW w:w="3105" w:type="pct"/>
            <w:tcBorders>
              <w:top w:val="single" w:sz="8" w:space="0" w:color="30849B"/>
              <w:left w:val="nil"/>
              <w:right w:val="nil"/>
            </w:tcBorders>
            <w:tcMar>
              <w:top w:w="28" w:type="dxa"/>
              <w:left w:w="28" w:type="dxa"/>
              <w:bottom w:w="28" w:type="dxa"/>
              <w:right w:w="28" w:type="dxa"/>
            </w:tcMar>
            <w:vAlign w:val="center"/>
            <w:hideMark/>
          </w:tcPr>
          <w:p w14:paraId="49BA2BB1" w14:textId="77777777" w:rsidR="00E63D6A" w:rsidRPr="00925134" w:rsidRDefault="00E63D6A" w:rsidP="00E63D6A">
            <w:pPr>
              <w:keepNext/>
              <w:keepLines/>
              <w:ind w:left="256"/>
              <w:rPr>
                <w:rFonts w:cs="Arial"/>
                <w:bCs/>
                <w:sz w:val="14"/>
                <w:szCs w:val="12"/>
                <w:lang w:val="en-US"/>
              </w:rPr>
            </w:pPr>
            <w:r w:rsidRPr="00925134">
              <w:rPr>
                <w:sz w:val="14"/>
                <w:szCs w:val="14"/>
                <w:lang w:val="en-US"/>
              </w:rPr>
              <w:t>Long-term borrowings</w:t>
            </w:r>
          </w:p>
        </w:tc>
        <w:tc>
          <w:tcPr>
            <w:tcW w:w="948" w:type="pct"/>
            <w:tcBorders>
              <w:top w:val="single" w:sz="8" w:space="0" w:color="30849B"/>
              <w:left w:val="nil"/>
              <w:right w:val="nil"/>
            </w:tcBorders>
            <w:shd w:val="clear" w:color="auto" w:fill="auto"/>
            <w:tcMar>
              <w:top w:w="28" w:type="dxa"/>
              <w:left w:w="28" w:type="dxa"/>
              <w:bottom w:w="28" w:type="dxa"/>
              <w:right w:w="28" w:type="dxa"/>
            </w:tcMar>
            <w:vAlign w:val="center"/>
            <w:hideMark/>
          </w:tcPr>
          <w:p w14:paraId="062AFFF8"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(3,287)</w:t>
            </w:r>
          </w:p>
        </w:tc>
        <w:tc>
          <w:tcPr>
            <w:tcW w:w="947" w:type="pct"/>
            <w:tcBorders>
              <w:top w:val="single" w:sz="8" w:space="0" w:color="30849B"/>
              <w:left w:val="nil"/>
              <w:right w:val="nil"/>
            </w:tcBorders>
            <w:shd w:val="clear" w:color="auto" w:fill="BBE7FF" w:themeFill="accent1" w:themeFillTint="33"/>
            <w:tcMar>
              <w:top w:w="28" w:type="dxa"/>
              <w:left w:w="28" w:type="dxa"/>
              <w:bottom w:w="28" w:type="dxa"/>
              <w:right w:w="28" w:type="dxa"/>
            </w:tcMar>
            <w:vAlign w:val="center"/>
            <w:hideMark/>
          </w:tcPr>
          <w:p w14:paraId="3AAA7854"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(2,783)</w:t>
            </w:r>
          </w:p>
        </w:tc>
      </w:tr>
      <w:tr w:rsidR="00E63D6A" w:rsidRPr="00925134" w14:paraId="3CEB7476" w14:textId="77777777" w:rsidTr="00E63D6A">
        <w:trPr>
          <w:trHeight w:val="170"/>
          <w:jc w:val="center"/>
        </w:trPr>
        <w:tc>
          <w:tcPr>
            <w:tcW w:w="3105" w:type="pct"/>
            <w:tcBorders>
              <w:top w:val="nil"/>
              <w:left w:val="nil"/>
              <w:right w:val="nil"/>
            </w:tcBorders>
            <w:tcMar>
              <w:top w:w="28" w:type="dxa"/>
              <w:left w:w="28" w:type="dxa"/>
              <w:bottom w:w="28" w:type="dxa"/>
              <w:right w:w="28" w:type="dxa"/>
            </w:tcMar>
            <w:vAlign w:val="center"/>
          </w:tcPr>
          <w:p w14:paraId="2B4BC989" w14:textId="77777777" w:rsidR="00E63D6A" w:rsidRPr="00925134" w:rsidRDefault="00E63D6A" w:rsidP="00E63D6A">
            <w:pPr>
              <w:keepNext/>
              <w:keepLines/>
              <w:ind w:left="256"/>
              <w:rPr>
                <w:rFonts w:cs="Arial"/>
                <w:bCs/>
                <w:sz w:val="14"/>
                <w:szCs w:val="12"/>
                <w:lang w:val="en-US"/>
              </w:rPr>
            </w:pPr>
            <w:r w:rsidRPr="00925134">
              <w:rPr>
                <w:bCs/>
                <w:sz w:val="14"/>
                <w:szCs w:val="18"/>
                <w:lang w:val="en-US"/>
              </w:rPr>
              <w:t>Short-term borrowings and bank overdrafts</w:t>
            </w:r>
          </w:p>
        </w:tc>
        <w:tc>
          <w:tcPr>
            <w:tcW w:w="948" w:type="pct"/>
            <w:tcBorders>
              <w:top w:val="nil"/>
              <w:left w:val="nil"/>
              <w:right w:val="nil"/>
            </w:tcBorders>
            <w:shd w:val="clear" w:color="auto" w:fill="auto"/>
            <w:tcMar>
              <w:top w:w="28" w:type="dxa"/>
              <w:left w:w="28" w:type="dxa"/>
              <w:bottom w:w="28" w:type="dxa"/>
              <w:right w:w="28" w:type="dxa"/>
            </w:tcMar>
            <w:vAlign w:val="center"/>
          </w:tcPr>
          <w:p w14:paraId="157F5826" w14:textId="77777777" w:rsidR="00E63D6A" w:rsidRPr="00925134" w:rsidRDefault="00E63D6A" w:rsidP="00E63D6A">
            <w:pPr>
              <w:keepNext/>
              <w:keepLines/>
              <w:ind w:right="538"/>
              <w:jc w:val="right"/>
              <w:rPr>
                <w:rFonts w:cs="Arial"/>
                <w:bCs/>
                <w:sz w:val="14"/>
                <w:szCs w:val="12"/>
                <w:lang w:val="en-US"/>
              </w:rPr>
            </w:pPr>
            <w:r w:rsidRPr="00925134">
              <w:rPr>
                <w:rFonts w:cs="Arial"/>
                <w:bCs/>
                <w:sz w:val="14"/>
                <w:szCs w:val="12"/>
                <w:lang w:val="en-US"/>
              </w:rPr>
              <w:t>(125)</w:t>
            </w:r>
          </w:p>
        </w:tc>
        <w:tc>
          <w:tcPr>
            <w:tcW w:w="947" w:type="pct"/>
            <w:tcBorders>
              <w:top w:val="nil"/>
              <w:left w:val="nil"/>
              <w:right w:val="nil"/>
            </w:tcBorders>
            <w:shd w:val="clear" w:color="auto" w:fill="BBE7FF" w:themeFill="accent1" w:themeFillTint="33"/>
            <w:tcMar>
              <w:top w:w="28" w:type="dxa"/>
              <w:left w:w="28" w:type="dxa"/>
              <w:bottom w:w="28" w:type="dxa"/>
              <w:right w:w="28" w:type="dxa"/>
            </w:tcMar>
            <w:vAlign w:val="center"/>
          </w:tcPr>
          <w:p w14:paraId="5165794E" w14:textId="77777777" w:rsidR="00E63D6A" w:rsidRPr="00925134" w:rsidRDefault="00E63D6A" w:rsidP="00E63D6A">
            <w:pPr>
              <w:keepNext/>
              <w:keepLines/>
              <w:ind w:right="538"/>
              <w:jc w:val="right"/>
              <w:rPr>
                <w:rFonts w:cs="Arial"/>
                <w:bCs/>
                <w:sz w:val="14"/>
                <w:szCs w:val="12"/>
                <w:lang w:val="en-US"/>
              </w:rPr>
            </w:pPr>
            <w:r w:rsidRPr="00925134">
              <w:rPr>
                <w:rFonts w:cs="Arial"/>
                <w:bCs/>
                <w:sz w:val="14"/>
                <w:szCs w:val="12"/>
                <w:lang w:val="en-US"/>
              </w:rPr>
              <w:t>(589)</w:t>
            </w:r>
          </w:p>
        </w:tc>
      </w:tr>
      <w:tr w:rsidR="00E63D6A" w:rsidRPr="00925134" w14:paraId="1D09EFAC" w14:textId="77777777" w:rsidTr="00E63D6A">
        <w:trPr>
          <w:trHeight w:val="170"/>
          <w:jc w:val="center"/>
        </w:trPr>
        <w:tc>
          <w:tcPr>
            <w:tcW w:w="3105" w:type="pct"/>
            <w:tcBorders>
              <w:top w:val="nil"/>
              <w:left w:val="nil"/>
              <w:right w:val="nil"/>
            </w:tcBorders>
            <w:tcMar>
              <w:top w:w="28" w:type="dxa"/>
              <w:left w:w="28" w:type="dxa"/>
              <w:bottom w:w="28" w:type="dxa"/>
              <w:right w:w="28" w:type="dxa"/>
            </w:tcMar>
            <w:vAlign w:val="center"/>
            <w:hideMark/>
          </w:tcPr>
          <w:p w14:paraId="2FDFA584" w14:textId="77777777" w:rsidR="00E63D6A" w:rsidRPr="00925134" w:rsidRDefault="00E63D6A" w:rsidP="00E63D6A">
            <w:pPr>
              <w:keepNext/>
              <w:keepLines/>
              <w:ind w:left="256"/>
              <w:rPr>
                <w:rFonts w:cs="Arial"/>
                <w:sz w:val="14"/>
                <w:szCs w:val="12"/>
                <w:lang w:val="en-US"/>
              </w:rPr>
            </w:pPr>
            <w:r w:rsidRPr="00925134">
              <w:rPr>
                <w:bCs/>
                <w:sz w:val="14"/>
                <w:szCs w:val="18"/>
                <w:lang w:val="en-US"/>
              </w:rPr>
              <w:t>(-) Bank overdrafts</w:t>
            </w:r>
          </w:p>
        </w:tc>
        <w:tc>
          <w:tcPr>
            <w:tcW w:w="948" w:type="pct"/>
            <w:tcBorders>
              <w:top w:val="nil"/>
              <w:left w:val="nil"/>
              <w:right w:val="nil"/>
            </w:tcBorders>
            <w:shd w:val="clear" w:color="auto" w:fill="auto"/>
            <w:tcMar>
              <w:top w:w="28" w:type="dxa"/>
              <w:left w:w="28" w:type="dxa"/>
              <w:bottom w:w="28" w:type="dxa"/>
              <w:right w:w="28" w:type="dxa"/>
            </w:tcMar>
            <w:vAlign w:val="center"/>
            <w:hideMark/>
          </w:tcPr>
          <w:p w14:paraId="31DD79D8"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9</w:t>
            </w:r>
          </w:p>
        </w:tc>
        <w:tc>
          <w:tcPr>
            <w:tcW w:w="947" w:type="pct"/>
            <w:tcBorders>
              <w:top w:val="nil"/>
              <w:left w:val="nil"/>
              <w:right w:val="nil"/>
            </w:tcBorders>
            <w:shd w:val="clear" w:color="auto" w:fill="BBE7FF" w:themeFill="accent1" w:themeFillTint="33"/>
            <w:tcMar>
              <w:top w:w="28" w:type="dxa"/>
              <w:left w:w="28" w:type="dxa"/>
              <w:bottom w:w="28" w:type="dxa"/>
              <w:right w:w="28" w:type="dxa"/>
            </w:tcMar>
            <w:vAlign w:val="center"/>
            <w:hideMark/>
          </w:tcPr>
          <w:p w14:paraId="1898127C" w14:textId="77777777" w:rsidR="00E63D6A" w:rsidRPr="00925134" w:rsidRDefault="00E63D6A" w:rsidP="00E63D6A">
            <w:pPr>
              <w:keepNext/>
              <w:keepLines/>
              <w:ind w:right="538"/>
              <w:jc w:val="right"/>
              <w:rPr>
                <w:rFonts w:cs="Arial"/>
                <w:sz w:val="14"/>
                <w:szCs w:val="12"/>
                <w:lang w:val="en-US"/>
              </w:rPr>
            </w:pPr>
            <w:r w:rsidRPr="00925134">
              <w:rPr>
                <w:rFonts w:cs="Arial"/>
                <w:bCs/>
                <w:sz w:val="14"/>
                <w:szCs w:val="12"/>
                <w:lang w:val="en-US"/>
              </w:rPr>
              <w:t>-</w:t>
            </w:r>
          </w:p>
        </w:tc>
      </w:tr>
      <w:tr w:rsidR="00E63D6A" w:rsidRPr="00925134" w14:paraId="7F345AA2"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213C5E0C"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Borrowings, excluding bank overdrafts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23F0AD8E"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(3,403)</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633EE717"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(3,372)</w:t>
            </w:r>
          </w:p>
        </w:tc>
      </w:tr>
      <w:tr w:rsidR="00E63D6A" w:rsidRPr="00925134" w14:paraId="58DED3F1"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1685EDAB" w14:textId="77777777" w:rsidR="00E63D6A" w:rsidRPr="00925134" w:rsidRDefault="00E63D6A" w:rsidP="00E63D6A">
            <w:pPr>
              <w:keepNext/>
              <w:ind w:left="114"/>
              <w:rPr>
                <w:rFonts w:cs="Arial"/>
                <w:b/>
                <w:bCs/>
                <w:iCs/>
                <w:color w:val="0070AD"/>
                <w:sz w:val="14"/>
                <w:szCs w:val="12"/>
                <w:lang w:val="en-US"/>
              </w:rPr>
            </w:pPr>
            <w:r w:rsidRPr="00925134">
              <w:rPr>
                <w:b/>
                <w:bCs/>
                <w:iCs/>
                <w:color w:val="0070AD"/>
                <w:sz w:val="14"/>
                <w:szCs w:val="18"/>
                <w:lang w:val="en-US"/>
              </w:rPr>
              <w:t>Derivative instruments</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2AFB737E"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(37)</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0B8A6F5C"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7</w:t>
            </w:r>
          </w:p>
        </w:tc>
      </w:tr>
      <w:tr w:rsidR="00E63D6A" w:rsidRPr="005D7D81" w14:paraId="3991E158" w14:textId="77777777" w:rsidTr="00E63D6A">
        <w:trPr>
          <w:trHeight w:val="170"/>
          <w:jc w:val="center"/>
        </w:trPr>
        <w:tc>
          <w:tcPr>
            <w:tcW w:w="3105" w:type="pct"/>
            <w:tcBorders>
              <w:top w:val="single" w:sz="8" w:space="0" w:color="30849B"/>
              <w:left w:val="nil"/>
              <w:bottom w:val="single" w:sz="8" w:space="0" w:color="30849B"/>
              <w:right w:val="nil"/>
            </w:tcBorders>
            <w:tcMar>
              <w:top w:w="28" w:type="dxa"/>
              <w:left w:w="28" w:type="dxa"/>
              <w:bottom w:w="28" w:type="dxa"/>
              <w:right w:w="28" w:type="dxa"/>
            </w:tcMar>
            <w:vAlign w:val="center"/>
            <w:hideMark/>
          </w:tcPr>
          <w:p w14:paraId="7775B53D" w14:textId="77777777" w:rsidR="00E63D6A" w:rsidRPr="00925134" w:rsidRDefault="00E63D6A" w:rsidP="00E63D6A">
            <w:pPr>
              <w:keepNext/>
              <w:ind w:left="114"/>
              <w:rPr>
                <w:rFonts w:cs="Arial"/>
                <w:b/>
                <w:bCs/>
                <w:iCs/>
                <w:caps/>
                <w:color w:val="0070AD"/>
                <w:sz w:val="14"/>
                <w:szCs w:val="12"/>
                <w:lang w:val="en-US"/>
              </w:rPr>
            </w:pPr>
            <w:r w:rsidRPr="00925134">
              <w:rPr>
                <w:b/>
                <w:bCs/>
                <w:iCs/>
                <w:caps/>
                <w:color w:val="0070AD"/>
                <w:sz w:val="14"/>
                <w:szCs w:val="18"/>
                <w:lang w:val="en-US"/>
              </w:rPr>
              <w:t>Net cash and cash equivalents / (Net debt)</w:t>
            </w:r>
          </w:p>
        </w:tc>
        <w:tc>
          <w:tcPr>
            <w:tcW w:w="948" w:type="pct"/>
            <w:tcBorders>
              <w:top w:val="single" w:sz="8" w:space="0" w:color="30849B"/>
              <w:left w:val="nil"/>
              <w:bottom w:val="single" w:sz="8" w:space="0" w:color="30849B"/>
              <w:right w:val="nil"/>
            </w:tcBorders>
            <w:shd w:val="clear" w:color="auto" w:fill="auto"/>
            <w:tcMar>
              <w:top w:w="28" w:type="dxa"/>
              <w:left w:w="28" w:type="dxa"/>
              <w:bottom w:w="28" w:type="dxa"/>
              <w:right w:w="28" w:type="dxa"/>
            </w:tcMar>
            <w:vAlign w:val="center"/>
            <w:hideMark/>
          </w:tcPr>
          <w:p w14:paraId="79B6EC8D" w14:textId="77777777" w:rsidR="00E63D6A" w:rsidRPr="00925134"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(1,413)</w:t>
            </w:r>
          </w:p>
        </w:tc>
        <w:tc>
          <w:tcPr>
            <w:tcW w:w="947" w:type="pct"/>
            <w:tcBorders>
              <w:top w:val="single" w:sz="8" w:space="0" w:color="30849B"/>
              <w:left w:val="nil"/>
              <w:bottom w:val="single" w:sz="8" w:space="0" w:color="30849B"/>
              <w:right w:val="nil"/>
            </w:tcBorders>
            <w:shd w:val="clear" w:color="auto" w:fill="BBE7FF" w:themeFill="accent1" w:themeFillTint="33"/>
            <w:tcMar>
              <w:top w:w="28" w:type="dxa"/>
              <w:left w:w="28" w:type="dxa"/>
              <w:bottom w:w="28" w:type="dxa"/>
              <w:right w:w="28" w:type="dxa"/>
            </w:tcMar>
            <w:vAlign w:val="center"/>
            <w:hideMark/>
          </w:tcPr>
          <w:p w14:paraId="799DE61D" w14:textId="77777777" w:rsidR="00E63D6A" w:rsidRPr="005D7D81" w:rsidRDefault="00E63D6A" w:rsidP="00E63D6A">
            <w:pPr>
              <w:keepNext/>
              <w:ind w:right="538"/>
              <w:jc w:val="right"/>
              <w:rPr>
                <w:rFonts w:cs="Arial"/>
                <w:b/>
                <w:bCs/>
                <w:iCs/>
                <w:color w:val="0070AD" w:themeColor="accent1"/>
                <w:sz w:val="14"/>
                <w:szCs w:val="12"/>
                <w:lang w:val="en-US"/>
              </w:rPr>
            </w:pPr>
            <w:r w:rsidRPr="00925134">
              <w:rPr>
                <w:rFonts w:cs="Arial"/>
                <w:b/>
                <w:bCs/>
                <w:iCs/>
                <w:color w:val="0070AD" w:themeColor="accent1"/>
                <w:sz w:val="14"/>
                <w:szCs w:val="12"/>
                <w:lang w:val="en-US"/>
              </w:rPr>
              <w:t>(1,209)</w:t>
            </w:r>
          </w:p>
        </w:tc>
      </w:tr>
      <w:bookmarkEnd w:id="29"/>
    </w:tbl>
    <w:p w14:paraId="2C7EBBB8" w14:textId="77777777" w:rsidR="00BE44F1" w:rsidRPr="005D7D81" w:rsidRDefault="00BE44F1" w:rsidP="003E11DB">
      <w:pPr>
        <w:spacing w:before="120" w:after="120"/>
        <w:rPr>
          <w:sz w:val="12"/>
          <w:lang w:val="en-US"/>
        </w:rPr>
      </w:pPr>
    </w:p>
    <w:sectPr w:rsidR="00BE44F1" w:rsidRPr="005D7D81" w:rsidSect="00501DF4">
      <w:headerReference w:type="first" r:id="rId20"/>
      <w:type w:val="continuous"/>
      <w:pgSz w:w="11906" w:h="16838" w:code="9"/>
      <w:pgMar w:top="862" w:right="862" w:bottom="862" w:left="86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92FF" w14:textId="77777777" w:rsidR="008649CC" w:rsidRDefault="008649CC">
      <w:r>
        <w:separator/>
      </w:r>
    </w:p>
    <w:p w14:paraId="55F23034" w14:textId="77777777" w:rsidR="008649CC" w:rsidRDefault="008649CC"/>
    <w:p w14:paraId="47302690" w14:textId="77777777" w:rsidR="008649CC" w:rsidRDefault="008649CC" w:rsidP="00C91770"/>
  </w:endnote>
  <w:endnote w:type="continuationSeparator" w:id="0">
    <w:p w14:paraId="5DDE54AD" w14:textId="77777777" w:rsidR="008649CC" w:rsidRDefault="008649CC">
      <w:r>
        <w:continuationSeparator/>
      </w:r>
    </w:p>
    <w:p w14:paraId="35634B83" w14:textId="77777777" w:rsidR="008649CC" w:rsidRDefault="008649CC"/>
    <w:p w14:paraId="3D54B230" w14:textId="77777777" w:rsidR="008649CC" w:rsidRDefault="008649CC" w:rsidP="00C91770"/>
  </w:endnote>
  <w:endnote w:type="continuationNotice" w:id="1">
    <w:p w14:paraId="66CEA344" w14:textId="77777777" w:rsidR="008649CC" w:rsidRDefault="008649CC"/>
    <w:p w14:paraId="205A5985" w14:textId="77777777" w:rsidR="008649CC" w:rsidRDefault="008649CC"/>
    <w:p w14:paraId="452919C9" w14:textId="77777777" w:rsidR="008649CC" w:rsidRDefault="008649CC" w:rsidP="00C9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5438" w14:textId="77777777" w:rsidR="00AA2ABA" w:rsidRDefault="00AA2AB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E0CD01F" w14:textId="77777777" w:rsidR="00AA2ABA" w:rsidRDefault="00AA2AB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A670" w14:textId="0658407E" w:rsidR="00AA2ABA" w:rsidRPr="0009520E" w:rsidRDefault="00AA2ABA" w:rsidP="002D7EC7">
    <w:pPr>
      <w:pStyle w:val="Bunntekst"/>
      <w:framePr w:wrap="around" w:vAnchor="text" w:hAnchor="margin" w:xAlign="right" w:y="388"/>
      <w:rPr>
        <w:rStyle w:val="Sidetall"/>
        <w:rFonts w:ascii="Verdana" w:hAnsi="Verdana" w:cs="Arial"/>
        <w:sz w:val="14"/>
        <w:szCs w:val="16"/>
      </w:rPr>
    </w:pPr>
    <w:r w:rsidRPr="0009520E">
      <w:rPr>
        <w:rStyle w:val="Sidetall"/>
        <w:rFonts w:ascii="Verdana" w:hAnsi="Verdana"/>
      </w:rPr>
      <w:fldChar w:fldCharType="begin"/>
    </w:r>
    <w:r w:rsidRPr="0009520E">
      <w:rPr>
        <w:rStyle w:val="Sidetall"/>
        <w:rFonts w:ascii="Verdana" w:hAnsi="Verdana"/>
      </w:rPr>
      <w:instrText xml:space="preserve">PAGE  </w:instrText>
    </w:r>
    <w:r w:rsidRPr="0009520E">
      <w:rPr>
        <w:rStyle w:val="Sidetall"/>
        <w:rFonts w:ascii="Verdana" w:hAnsi="Verdana"/>
      </w:rPr>
      <w:fldChar w:fldCharType="separate"/>
    </w:r>
    <w:r w:rsidR="00754189">
      <w:rPr>
        <w:rStyle w:val="Sidetall"/>
        <w:rFonts w:ascii="Verdana" w:hAnsi="Verdana"/>
        <w:noProof/>
      </w:rPr>
      <w:t>2</w:t>
    </w:r>
    <w:r w:rsidRPr="0009520E">
      <w:rPr>
        <w:rStyle w:val="Sidetall"/>
        <w:rFonts w:ascii="Verdana" w:hAnsi="Verdana"/>
      </w:rPr>
      <w:fldChar w:fldCharType="end"/>
    </w:r>
  </w:p>
  <w:p w14:paraId="5A51043B" w14:textId="77777777" w:rsidR="00AA2ABA" w:rsidRDefault="00AA2ABA">
    <w:pPr>
      <w:pStyle w:val="Bunntekst"/>
      <w:ind w:right="360"/>
    </w:pPr>
    <w:r w:rsidRPr="00E6675F">
      <w:rPr>
        <w:noProof/>
        <w:color w:val="00264A"/>
        <w:sz w:val="10"/>
        <w:lang w:val="nb-NO" w:eastAsia="nb-NO"/>
      </w:rPr>
      <mc:AlternateContent>
        <mc:Choice Requires="wps">
          <w:drawing>
            <wp:anchor distT="0" distB="0" distL="114300" distR="114300" simplePos="0" relativeHeight="251674624" behindDoc="0" locked="0" layoutInCell="1" allowOverlap="1" wp14:anchorId="315ED31B" wp14:editId="1DD57C17">
              <wp:simplePos x="0" y="0"/>
              <wp:positionH relativeFrom="column">
                <wp:posOffset>-125339</wp:posOffset>
              </wp:positionH>
              <wp:positionV relativeFrom="page">
                <wp:posOffset>10255348</wp:posOffset>
              </wp:positionV>
              <wp:extent cx="2296160" cy="254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96160"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0075473" w14:textId="77777777" w:rsidR="00AA2ABA" w:rsidRPr="000F3D27" w:rsidRDefault="00AA2ABA" w:rsidP="00010417">
                          <w:pPr>
                            <w:rPr>
                              <w:szCs w:val="18"/>
                              <w:lang w:val="en-US"/>
                            </w:rPr>
                          </w:pPr>
                          <w:r w:rsidRPr="000F3D27">
                            <w:rPr>
                              <w:i/>
                              <w:sz w:val="16"/>
                              <w:szCs w:val="16"/>
                              <w:lang w:val="en-US"/>
                            </w:rPr>
                            <w:t>Capgemini 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5ED31B" id="_x0000_t202" coordsize="21600,21600" o:spt="202" path="m,l,21600r21600,l21600,xe">
              <v:stroke joinstyle="miter"/>
              <v:path gradientshapeok="t" o:connecttype="rect"/>
            </v:shapetype>
            <v:shape id="Text Box 3" o:spid="_x0000_s1026" type="#_x0000_t202" style="position:absolute;left:0;text-align:left;margin-left:-9.85pt;margin-top:807.5pt;width:180.8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" filled="f" stroked="f">
              <v:textbox>
                <w:txbxContent>
                  <w:p w14:paraId="20075473" w14:textId="77777777" w:rsidR="00AA2ABA" w:rsidRPr="000F3D27" w:rsidRDefault="00AA2ABA" w:rsidP="00010417">
                    <w:pPr>
                      <w:rPr>
                        <w:szCs w:val="18"/>
                        <w:lang w:val="en-US"/>
                      </w:rPr>
                    </w:pPr>
                    <w:r w:rsidRPr="000F3D27">
                      <w:rPr>
                        <w:i/>
                        <w:sz w:val="16"/>
                        <w:szCs w:val="16"/>
                        <w:lang w:val="en-US"/>
                      </w:rPr>
                      <w:t>Capgemini Press release</w:t>
                    </w:r>
                  </w:p>
                </w:txbxContent>
              </v:textbox>
              <w10:wrap anchory="page"/>
            </v:shape>
          </w:pict>
        </mc:Fallback>
      </mc:AlternateConten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8262" w14:textId="77777777" w:rsidR="00AA2ABA" w:rsidRDefault="00AA2ABA" w:rsidP="00EF29AB">
    <w:pPr>
      <w:pStyle w:val="Bunntekst"/>
      <w:ind w:right="360"/>
    </w:pPr>
    <w:r w:rsidRPr="00E6675F">
      <w:rPr>
        <w:noProof/>
        <w:color w:val="00264A"/>
        <w:sz w:val="10"/>
        <w:lang w:val="nb-NO" w:eastAsia="nb-NO"/>
      </w:rPr>
      <mc:AlternateContent>
        <mc:Choice Requires="wps">
          <w:drawing>
            <wp:anchor distT="0" distB="0" distL="114300" distR="114300" simplePos="0" relativeHeight="251675648" behindDoc="0" locked="0" layoutInCell="1" allowOverlap="1" wp14:anchorId="1D2B6E09" wp14:editId="2628FFAD">
              <wp:simplePos x="0" y="0"/>
              <wp:positionH relativeFrom="column">
                <wp:posOffset>-125339</wp:posOffset>
              </wp:positionH>
              <wp:positionV relativeFrom="page">
                <wp:posOffset>10253980</wp:posOffset>
              </wp:positionV>
              <wp:extent cx="2296800" cy="255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96800" cy="2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1C22FF3" w14:textId="77777777" w:rsidR="00AA2ABA" w:rsidRPr="00B8529D" w:rsidRDefault="00AA2ABA" w:rsidP="00EF29AB">
                          <w:pPr>
                            <w:rPr>
                              <w:szCs w:val="18"/>
                              <w:lang w:val="en-US"/>
                            </w:rPr>
                          </w:pPr>
                          <w:r w:rsidRPr="00B8529D">
                            <w:rPr>
                              <w:i/>
                              <w:sz w:val="16"/>
                              <w:szCs w:val="16"/>
                              <w:lang w:val="en-US"/>
                            </w:rPr>
                            <w:t>C</w:t>
                          </w:r>
                          <w:r>
                            <w:rPr>
                              <w:i/>
                              <w:sz w:val="16"/>
                              <w:szCs w:val="16"/>
                              <w:lang w:val="en-US"/>
                            </w:rPr>
                            <w:t>apgemini Press R</w:t>
                          </w:r>
                          <w:r w:rsidRPr="00B8529D">
                            <w:rPr>
                              <w:i/>
                              <w:sz w:val="16"/>
                              <w:szCs w:val="16"/>
                              <w:lang w:val="en-US"/>
                            </w:rPr>
                            <w:t>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B6E09" id="_x0000_t202" coordsize="21600,21600" o:spt="202" path="m,l,21600r21600,l21600,xe">
              <v:stroke joinstyle="miter"/>
              <v:path gradientshapeok="t" o:connecttype="rect"/>
            </v:shapetype>
            <v:shape id="Text Box 18" o:spid="_x0000_s1027" type="#_x0000_t202" style="position:absolute;left:0;text-align:left;margin-left:-9.85pt;margin-top:807.4pt;width:180.8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" filled="f" stroked="f">
              <v:textbox>
                <w:txbxContent>
                  <w:p w14:paraId="21C22FF3" w14:textId="77777777" w:rsidR="00AA2ABA" w:rsidRPr="00B8529D" w:rsidRDefault="00AA2ABA" w:rsidP="00EF29AB">
                    <w:pPr>
                      <w:rPr>
                        <w:szCs w:val="18"/>
                        <w:lang w:val="en-US"/>
                      </w:rPr>
                    </w:pPr>
                    <w:r w:rsidRPr="00B8529D">
                      <w:rPr>
                        <w:i/>
                        <w:sz w:val="16"/>
                        <w:szCs w:val="16"/>
                        <w:lang w:val="en-US"/>
                      </w:rPr>
                      <w:t>C</w:t>
                    </w:r>
                    <w:r>
                      <w:rPr>
                        <w:i/>
                        <w:sz w:val="16"/>
                        <w:szCs w:val="16"/>
                        <w:lang w:val="en-US"/>
                      </w:rPr>
                      <w:t>apgemini Press R</w:t>
                    </w:r>
                    <w:r w:rsidRPr="00B8529D">
                      <w:rPr>
                        <w:i/>
                        <w:sz w:val="16"/>
                        <w:szCs w:val="16"/>
                        <w:lang w:val="en-US"/>
                      </w:rPr>
                      <w:t>elease</w:t>
                    </w:r>
                  </w:p>
                </w:txbxContent>
              </v:textbox>
              <w10:wrap anchory="page"/>
            </v:shape>
          </w:pict>
        </mc:Fallback>
      </mc:AlternateContent>
    </w:r>
    <w:r>
      <w:tab/>
    </w:r>
    <w:r>
      <w:tab/>
    </w:r>
  </w:p>
  <w:p w14:paraId="3D9C9E0D" w14:textId="3C25542A" w:rsidR="00AA2ABA" w:rsidRPr="0009520E" w:rsidRDefault="00AA2ABA" w:rsidP="006A37BE">
    <w:pPr>
      <w:pStyle w:val="Bunntekst"/>
      <w:framePr w:wrap="around" w:vAnchor="text" w:hAnchor="margin" w:xAlign="right" w:y="387" w:anchorLock="1"/>
      <w:rPr>
        <w:rStyle w:val="Sidetall"/>
        <w:rFonts w:ascii="Verdana" w:hAnsi="Verdana" w:cs="Arial"/>
        <w:sz w:val="14"/>
        <w:szCs w:val="16"/>
      </w:rPr>
    </w:pPr>
    <w:r w:rsidRPr="0009520E">
      <w:rPr>
        <w:rStyle w:val="Sidetall"/>
        <w:rFonts w:ascii="Verdana" w:hAnsi="Verdana"/>
      </w:rPr>
      <w:fldChar w:fldCharType="begin"/>
    </w:r>
    <w:r w:rsidRPr="0009520E">
      <w:rPr>
        <w:rStyle w:val="Sidetall"/>
        <w:rFonts w:ascii="Verdana" w:hAnsi="Verdana"/>
      </w:rPr>
      <w:instrText xml:space="preserve">PAGE  </w:instrText>
    </w:r>
    <w:r w:rsidRPr="0009520E">
      <w:rPr>
        <w:rStyle w:val="Sidetall"/>
        <w:rFonts w:ascii="Verdana" w:hAnsi="Verdana"/>
      </w:rPr>
      <w:fldChar w:fldCharType="separate"/>
    </w:r>
    <w:r w:rsidR="00754189">
      <w:rPr>
        <w:rStyle w:val="Sidetall"/>
        <w:rFonts w:ascii="Verdana" w:hAnsi="Verdana"/>
        <w:noProof/>
      </w:rPr>
      <w:t>1</w:t>
    </w:r>
    <w:r w:rsidRPr="0009520E">
      <w:rPr>
        <w:rStyle w:val="Sidetall"/>
        <w:rFonts w:ascii="Verdana" w:hAnsi="Verdana"/>
      </w:rPr>
      <w:fldChar w:fldCharType="end"/>
    </w:r>
  </w:p>
  <w:p w14:paraId="3C683842" w14:textId="77777777" w:rsidR="00AA2ABA" w:rsidRPr="00E6675F" w:rsidRDefault="00AA2AB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83661" w14:textId="77777777" w:rsidR="008649CC" w:rsidRDefault="008649CC">
      <w:r>
        <w:separator/>
      </w:r>
    </w:p>
  </w:footnote>
  <w:footnote w:type="continuationSeparator" w:id="0">
    <w:p w14:paraId="3813CDAF" w14:textId="77777777" w:rsidR="008649CC" w:rsidRDefault="008649CC">
      <w:r>
        <w:continuationSeparator/>
      </w:r>
    </w:p>
    <w:p w14:paraId="6AC6721C" w14:textId="77777777" w:rsidR="008649CC" w:rsidRDefault="008649CC"/>
    <w:p w14:paraId="5A149D92" w14:textId="77777777" w:rsidR="008649CC" w:rsidRDefault="008649CC" w:rsidP="00C91770"/>
  </w:footnote>
  <w:footnote w:type="continuationNotice" w:id="1">
    <w:p w14:paraId="377FB25F" w14:textId="77777777" w:rsidR="008649CC" w:rsidRDefault="008649CC"/>
    <w:p w14:paraId="38EAB69C" w14:textId="77777777" w:rsidR="008649CC" w:rsidRDefault="008649CC"/>
    <w:p w14:paraId="1F6C5F2F" w14:textId="77777777" w:rsidR="008649CC" w:rsidRDefault="008649CC" w:rsidP="00C91770"/>
  </w:footnote>
  <w:footnote w:id="2">
    <w:p w14:paraId="100E0C1C" w14:textId="77777777" w:rsidR="00AA2ABA" w:rsidRDefault="00AA2ABA" w:rsidP="00652BD0">
      <w:pPr>
        <w:pStyle w:val="Fotnotetekst"/>
        <w:rPr>
          <w:lang w:val="en-US"/>
        </w:rPr>
      </w:pPr>
      <w:r w:rsidRPr="00BF39CC">
        <w:rPr>
          <w:vertAlign w:val="superscript"/>
          <w:lang w:val="en-US"/>
        </w:rPr>
        <w:t>*</w:t>
      </w:r>
      <w:r>
        <w:rPr>
          <w:lang w:val="en-US"/>
        </w:rPr>
        <w:t xml:space="preserve"> </w:t>
      </w:r>
      <w:r w:rsidRPr="00B8529D">
        <w:rPr>
          <w:lang w:val="en-US"/>
        </w:rPr>
        <w:t>The terms and non-GAAP measures marked with an (*) are defined and/or reconciled in the appendix to this press release.</w:t>
      </w:r>
    </w:p>
    <w:p w14:paraId="05F34B18" w14:textId="77777777" w:rsidR="00AA2ABA" w:rsidRPr="00BF39CC" w:rsidRDefault="00AA2ABA" w:rsidP="00652BD0">
      <w:pPr>
        <w:pStyle w:val="Fotnotetekst"/>
        <w:rPr>
          <w:lang w:val="en-US"/>
        </w:rPr>
      </w:pPr>
      <w:r>
        <w:rPr>
          <w:rStyle w:val="Fotnotereferanse"/>
        </w:rPr>
        <w:footnoteRef/>
      </w:r>
      <w:r w:rsidRPr="00BF39CC">
        <w:rPr>
          <w:lang w:val="en-US"/>
        </w:rPr>
        <w:t xml:space="preserve"> </w:t>
      </w:r>
      <w:r w:rsidRPr="00B8529D">
        <w:rPr>
          <w:lang w:val="en-US"/>
        </w:rPr>
        <w:t>As announced on the publication of the outlook for 2017, growth at constant exchange rates and organic growth are presented after removing from 2016 and 2017 revenues, the discontinued Brazilian equipment resale activity.</w:t>
      </w:r>
    </w:p>
  </w:footnote>
  <w:footnote w:id="3">
    <w:p w14:paraId="125E441E" w14:textId="0A34654A" w:rsidR="00AA2ABA" w:rsidRPr="00F9266C" w:rsidRDefault="00AA2ABA">
      <w:pPr>
        <w:pStyle w:val="Fotnotetekst"/>
        <w:rPr>
          <w:lang w:val="en-US"/>
        </w:rPr>
      </w:pPr>
      <w:r>
        <w:rPr>
          <w:rStyle w:val="Fotnotereferanse"/>
        </w:rPr>
        <w:footnoteRef/>
      </w:r>
      <w:r w:rsidRPr="00F9266C">
        <w:rPr>
          <w:lang w:val="en-US"/>
        </w:rPr>
        <w:t xml:space="preserve"> </w:t>
      </w:r>
      <w:r>
        <w:rPr>
          <w:lang w:val="en-US"/>
        </w:rPr>
        <w:t xml:space="preserve">Excluding exceptional tax income of €180 million recognized in </w:t>
      </w:r>
      <w:r w:rsidRPr="00B8529D">
        <w:rPr>
          <w:lang w:val="en-US"/>
        </w:rPr>
        <w:t>2016</w:t>
      </w:r>
      <w:r>
        <w:rPr>
          <w:lang w:val="en-US"/>
        </w:rPr>
        <w:t>.</w:t>
      </w:r>
    </w:p>
  </w:footnote>
  <w:footnote w:id="4">
    <w:p w14:paraId="3C3045B2" w14:textId="2AE2A228" w:rsidR="00AA2ABA" w:rsidRPr="009A6402" w:rsidRDefault="00AA2ABA">
      <w:pPr>
        <w:pStyle w:val="Fotnotetekst"/>
        <w:rPr>
          <w:lang w:val="en-US"/>
        </w:rPr>
      </w:pPr>
      <w:r>
        <w:rPr>
          <w:rStyle w:val="Fotnotereferanse"/>
        </w:rPr>
        <w:footnoteRef/>
      </w:r>
      <w:r w:rsidRPr="009A6402">
        <w:rPr>
          <w:lang w:val="en-US"/>
        </w:rPr>
        <w:t xml:space="preserve"> Audit procedures on the consolidated financial statements have been completed. The auditors are in the process of issuing their report.</w:t>
      </w:r>
    </w:p>
  </w:footnote>
  <w:footnote w:id="5">
    <w:p w14:paraId="7BF5DB3B" w14:textId="56975472" w:rsidR="00AA2ABA" w:rsidRPr="00F9266C" w:rsidRDefault="00AA2ABA" w:rsidP="00343621">
      <w:pPr>
        <w:pStyle w:val="Fotnotetekst"/>
        <w:rPr>
          <w:lang w:val="en-US"/>
        </w:rPr>
      </w:pPr>
      <w:r>
        <w:rPr>
          <w:rStyle w:val="Fotnotereferanse"/>
        </w:rPr>
        <w:footnoteRef/>
      </w:r>
      <w:r w:rsidRPr="00F9266C">
        <w:rPr>
          <w:lang w:val="en-US"/>
        </w:rPr>
        <w:t xml:space="preserve"> See « </w:t>
      </w:r>
      <w:r>
        <w:fldChar w:fldCharType="begin"/>
      </w:r>
      <w:r w:rsidRPr="00F9266C">
        <w:rPr>
          <w:lang w:val="en-US"/>
        </w:rPr>
        <w:instrText xml:space="preserve"> REF _Ref505289542 \h </w:instrText>
      </w:r>
      <w:r>
        <w:fldChar w:fldCharType="separate"/>
      </w:r>
      <w:r w:rsidRPr="005D7D81">
        <w:rPr>
          <w:lang w:val="en-US"/>
        </w:rPr>
        <w:t>BALANCE SHEET</w:t>
      </w:r>
      <w:r>
        <w:rPr>
          <w:lang w:val="en-US"/>
        </w:rPr>
        <w:t xml:space="preserve"> &amp; TAX</w:t>
      </w:r>
      <w:r>
        <w:fldChar w:fldCharType="end"/>
      </w:r>
      <w:r w:rsidRPr="0071410D">
        <w:rPr>
          <w:lang w:val="en-US"/>
        </w:rPr>
        <w:t xml:space="preserve"> </w:t>
      </w:r>
      <w:r w:rsidRPr="00F9266C">
        <w:rPr>
          <w:lang w:val="en-US"/>
        </w:rPr>
        <w:t xml:space="preserve">» on page </w:t>
      </w:r>
      <w:r>
        <w:fldChar w:fldCharType="begin"/>
      </w:r>
      <w:r w:rsidRPr="00F9266C">
        <w:rPr>
          <w:lang w:val="en-US"/>
        </w:rPr>
        <w:instrText xml:space="preserve"> PAGEREF _Ref505280720 \h </w:instrText>
      </w:r>
      <w:r>
        <w:fldChar w:fldCharType="separate"/>
      </w:r>
      <w:r w:rsidRPr="00F9266C">
        <w:rPr>
          <w:noProof/>
          <w:lang w:val="en-US"/>
        </w:rPr>
        <w:t>4</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12D5" w14:textId="77777777" w:rsidR="00AA2ABA" w:rsidRDefault="00AA2AB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C716" w14:textId="77777777" w:rsidR="00AA2ABA" w:rsidRDefault="00AA2ABA" w:rsidP="009F4601">
    <w:pPr>
      <w:pStyle w:val="Topptekst"/>
      <w:jc w:val="right"/>
    </w:pPr>
    <w:r>
      <w:rPr>
        <w:noProof/>
        <w:lang w:val="nb-NO" w:eastAsia="nb-NO"/>
      </w:rPr>
      <w:drawing>
        <wp:anchor distT="0" distB="0" distL="114300" distR="114300" simplePos="0" relativeHeight="251676672" behindDoc="0" locked="0" layoutInCell="1" allowOverlap="1" wp14:anchorId="726D1D66" wp14:editId="5F0DD986">
          <wp:simplePos x="0" y="0"/>
          <wp:positionH relativeFrom="margin">
            <wp:align>right</wp:align>
          </wp:positionH>
          <wp:positionV relativeFrom="paragraph">
            <wp:posOffset>-293038</wp:posOffset>
          </wp:positionV>
          <wp:extent cx="347345" cy="323215"/>
          <wp:effectExtent l="0" t="0" r="0" b="63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4DB1D" w14:textId="77777777" w:rsidR="00AA2ABA" w:rsidRDefault="00AA2ABA">
    <w:pPr>
      <w:pStyle w:val="Topptekst"/>
    </w:pPr>
    <w:r>
      <w:rPr>
        <w:noProof/>
        <w:lang w:val="nb-NO" w:eastAsia="nb-NO"/>
      </w:rPr>
      <w:drawing>
        <wp:inline distT="0" distB="0" distL="0" distR="0" wp14:anchorId="22064A8F" wp14:editId="66671F5F">
          <wp:extent cx="1792605" cy="433070"/>
          <wp:effectExtent l="0" t="0" r="0" b="508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4C56CB90" w14:textId="77777777" w:rsidR="00AA2ABA" w:rsidRDefault="00AA2ABA">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6135" w14:textId="77777777" w:rsidR="00AA2ABA" w:rsidRDefault="00AA2AB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204"/>
    <w:multiLevelType w:val="hybridMultilevel"/>
    <w:tmpl w:val="49243EB4"/>
    <w:lvl w:ilvl="0" w:tplc="340ABA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037A1"/>
    <w:multiLevelType w:val="hybridMultilevel"/>
    <w:tmpl w:val="CD3CF4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D5AFC"/>
    <w:multiLevelType w:val="hybridMultilevel"/>
    <w:tmpl w:val="68841DBA"/>
    <w:lvl w:ilvl="0" w:tplc="38C07090">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0A1F7D0A"/>
    <w:multiLevelType w:val="hybridMultilevel"/>
    <w:tmpl w:val="106C6CDA"/>
    <w:lvl w:ilvl="0" w:tplc="6E9CEF18">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D4F8F"/>
    <w:multiLevelType w:val="hybridMultilevel"/>
    <w:tmpl w:val="15CA3BBC"/>
    <w:lvl w:ilvl="0" w:tplc="A7A63A5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56B71"/>
    <w:multiLevelType w:val="hybridMultilevel"/>
    <w:tmpl w:val="07B02788"/>
    <w:lvl w:ilvl="0" w:tplc="8C308D3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AB3E20"/>
    <w:multiLevelType w:val="hybridMultilevel"/>
    <w:tmpl w:val="5268DF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C2420"/>
    <w:multiLevelType w:val="hybridMultilevel"/>
    <w:tmpl w:val="F1A61BC2"/>
    <w:lvl w:ilvl="0" w:tplc="8B46A0D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A37EF"/>
    <w:multiLevelType w:val="hybridMultilevel"/>
    <w:tmpl w:val="028C3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A27FC"/>
    <w:multiLevelType w:val="hybridMultilevel"/>
    <w:tmpl w:val="6F7A07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D45EFD"/>
    <w:multiLevelType w:val="hybridMultilevel"/>
    <w:tmpl w:val="F9FA820A"/>
    <w:lvl w:ilvl="0" w:tplc="040C0001">
      <w:start w:val="1"/>
      <w:numFmt w:val="bullet"/>
      <w:lvlText w:val=""/>
      <w:lvlJc w:val="left"/>
      <w:pPr>
        <w:tabs>
          <w:tab w:val="num" w:pos="720"/>
        </w:tabs>
        <w:ind w:left="720" w:hanging="360"/>
      </w:pPr>
      <w:rPr>
        <w:rFonts w:ascii="Symbol" w:hAnsi="Symbol" w:hint="default"/>
      </w:rPr>
    </w:lvl>
    <w:lvl w:ilvl="1" w:tplc="6E786FF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70561"/>
    <w:multiLevelType w:val="multilevel"/>
    <w:tmpl w:val="9E8273F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24B13"/>
    <w:multiLevelType w:val="hybridMultilevel"/>
    <w:tmpl w:val="DD209F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96A2D"/>
    <w:multiLevelType w:val="hybridMultilevel"/>
    <w:tmpl w:val="4ACAB272"/>
    <w:lvl w:ilvl="0" w:tplc="593230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52181"/>
    <w:multiLevelType w:val="hybridMultilevel"/>
    <w:tmpl w:val="257416DE"/>
    <w:lvl w:ilvl="0" w:tplc="B770FAF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87839"/>
    <w:multiLevelType w:val="hybridMultilevel"/>
    <w:tmpl w:val="CE4E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33F86"/>
    <w:multiLevelType w:val="hybridMultilevel"/>
    <w:tmpl w:val="9C120A12"/>
    <w:lvl w:ilvl="0" w:tplc="C08A0762">
      <w:numFmt w:val="bullet"/>
      <w:lvlText w:val="•"/>
      <w:lvlJc w:val="left"/>
      <w:pPr>
        <w:ind w:left="705" w:hanging="705"/>
      </w:pPr>
      <w:rPr>
        <w:rFonts w:ascii="Verdana" w:eastAsia="Times New Roman"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E85D65"/>
    <w:multiLevelType w:val="hybridMultilevel"/>
    <w:tmpl w:val="66067E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B7A8C"/>
    <w:multiLevelType w:val="hybridMultilevel"/>
    <w:tmpl w:val="5EAA1628"/>
    <w:lvl w:ilvl="0" w:tplc="FD74067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080BC2"/>
    <w:multiLevelType w:val="hybridMultilevel"/>
    <w:tmpl w:val="97028E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31EEF"/>
    <w:multiLevelType w:val="hybridMultilevel"/>
    <w:tmpl w:val="E02E0068"/>
    <w:lvl w:ilvl="0" w:tplc="340ABA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F313F0"/>
    <w:multiLevelType w:val="hybridMultilevel"/>
    <w:tmpl w:val="3386F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96351A"/>
    <w:multiLevelType w:val="hybridMultilevel"/>
    <w:tmpl w:val="CA16224E"/>
    <w:lvl w:ilvl="0" w:tplc="BD506158">
      <w:start w:val="2000"/>
      <w:numFmt w:val="bullet"/>
      <w:lvlText w:val=""/>
      <w:lvlJc w:val="left"/>
      <w:pPr>
        <w:tabs>
          <w:tab w:val="num" w:pos="1260"/>
        </w:tabs>
        <w:ind w:left="1260" w:hanging="360"/>
      </w:pPr>
      <w:rPr>
        <w:rFonts w:ascii="Wingdings" w:eastAsia="Times New Roman" w:hAnsi="Wingdings" w:cs="Aria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AFC5713"/>
    <w:multiLevelType w:val="hybridMultilevel"/>
    <w:tmpl w:val="5E1CD4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16AF8"/>
    <w:multiLevelType w:val="hybridMultilevel"/>
    <w:tmpl w:val="22404F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A5FBF"/>
    <w:multiLevelType w:val="hybridMultilevel"/>
    <w:tmpl w:val="EB26AAB2"/>
    <w:lvl w:ilvl="0" w:tplc="148206FE">
      <w:start w:val="1"/>
      <w:numFmt w:val="bullet"/>
      <w:lvlText w:val=""/>
      <w:lvlJc w:val="left"/>
      <w:pPr>
        <w:tabs>
          <w:tab w:val="num" w:pos="700"/>
        </w:tabs>
        <w:ind w:left="70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A7ADC"/>
    <w:multiLevelType w:val="hybridMultilevel"/>
    <w:tmpl w:val="28E06A2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AF0776"/>
    <w:multiLevelType w:val="hybridMultilevel"/>
    <w:tmpl w:val="CA6C46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456D6B"/>
    <w:multiLevelType w:val="hybridMultilevel"/>
    <w:tmpl w:val="B38813D0"/>
    <w:lvl w:ilvl="0" w:tplc="CECA95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7B0A0F"/>
    <w:multiLevelType w:val="hybridMultilevel"/>
    <w:tmpl w:val="31FC0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60B958F4"/>
    <w:multiLevelType w:val="hybridMultilevel"/>
    <w:tmpl w:val="717642A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F147D8"/>
    <w:multiLevelType w:val="hybridMultilevel"/>
    <w:tmpl w:val="BFCE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C4A34"/>
    <w:multiLevelType w:val="hybridMultilevel"/>
    <w:tmpl w:val="C178C538"/>
    <w:lvl w:ilvl="0" w:tplc="38C07090">
      <w:numFmt w:val="bullet"/>
      <w:lvlText w:val="-"/>
      <w:lvlJc w:val="left"/>
      <w:pPr>
        <w:tabs>
          <w:tab w:val="num" w:pos="1776"/>
        </w:tabs>
        <w:ind w:left="1776" w:hanging="360"/>
      </w:pPr>
      <w:rPr>
        <w:rFonts w:ascii="Arial" w:eastAsia="Times New Roman" w:hAnsi="Arial" w:cs="Aria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B0399"/>
    <w:multiLevelType w:val="hybridMultilevel"/>
    <w:tmpl w:val="D0725982"/>
    <w:lvl w:ilvl="0" w:tplc="779E8A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DF6A9C"/>
    <w:multiLevelType w:val="hybridMultilevel"/>
    <w:tmpl w:val="ACBE6266"/>
    <w:lvl w:ilvl="0" w:tplc="38C0709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75109"/>
    <w:multiLevelType w:val="hybridMultilevel"/>
    <w:tmpl w:val="D68075C4"/>
    <w:lvl w:ilvl="0" w:tplc="DB560C9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E2412"/>
    <w:multiLevelType w:val="hybridMultilevel"/>
    <w:tmpl w:val="201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D5635"/>
    <w:multiLevelType w:val="hybridMultilevel"/>
    <w:tmpl w:val="E5AA6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CE631B"/>
    <w:multiLevelType w:val="hybridMultilevel"/>
    <w:tmpl w:val="BE4010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B42C8"/>
    <w:multiLevelType w:val="hybridMultilevel"/>
    <w:tmpl w:val="257416D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A0128D"/>
    <w:multiLevelType w:val="multilevel"/>
    <w:tmpl w:val="EB26AAB2"/>
    <w:lvl w:ilvl="0">
      <w:start w:val="1"/>
      <w:numFmt w:val="bullet"/>
      <w:lvlText w:val=""/>
      <w:lvlJc w:val="left"/>
      <w:pPr>
        <w:tabs>
          <w:tab w:val="num" w:pos="700"/>
        </w:tabs>
        <w:ind w:left="70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D185C"/>
    <w:multiLevelType w:val="hybridMultilevel"/>
    <w:tmpl w:val="572A41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061A60"/>
    <w:multiLevelType w:val="multilevel"/>
    <w:tmpl w:val="DD209F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4503F"/>
    <w:multiLevelType w:val="hybridMultilevel"/>
    <w:tmpl w:val="9E8273F0"/>
    <w:lvl w:ilvl="0" w:tplc="593230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D0532"/>
    <w:multiLevelType w:val="hybridMultilevel"/>
    <w:tmpl w:val="FB4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7"/>
  </w:num>
  <w:num w:numId="4">
    <w:abstractNumId w:val="41"/>
  </w:num>
  <w:num w:numId="5">
    <w:abstractNumId w:val="23"/>
  </w:num>
  <w:num w:numId="6">
    <w:abstractNumId w:val="35"/>
  </w:num>
  <w:num w:numId="7">
    <w:abstractNumId w:val="14"/>
  </w:num>
  <w:num w:numId="8">
    <w:abstractNumId w:val="26"/>
  </w:num>
  <w:num w:numId="9">
    <w:abstractNumId w:val="39"/>
  </w:num>
  <w:num w:numId="10">
    <w:abstractNumId w:val="13"/>
  </w:num>
  <w:num w:numId="11">
    <w:abstractNumId w:val="43"/>
  </w:num>
  <w:num w:numId="12">
    <w:abstractNumId w:val="11"/>
  </w:num>
  <w:num w:numId="13">
    <w:abstractNumId w:val="6"/>
  </w:num>
  <w:num w:numId="14">
    <w:abstractNumId w:val="1"/>
  </w:num>
  <w:num w:numId="15">
    <w:abstractNumId w:val="10"/>
  </w:num>
  <w:num w:numId="16">
    <w:abstractNumId w:val="24"/>
  </w:num>
  <w:num w:numId="17">
    <w:abstractNumId w:val="19"/>
  </w:num>
  <w:num w:numId="18">
    <w:abstractNumId w:val="38"/>
  </w:num>
  <w:num w:numId="19">
    <w:abstractNumId w:val="9"/>
  </w:num>
  <w:num w:numId="20">
    <w:abstractNumId w:val="42"/>
  </w:num>
  <w:num w:numId="21">
    <w:abstractNumId w:val="2"/>
  </w:num>
  <w:num w:numId="22">
    <w:abstractNumId w:val="40"/>
  </w:num>
  <w:num w:numId="23">
    <w:abstractNumId w:val="32"/>
  </w:num>
  <w:num w:numId="24">
    <w:abstractNumId w:val="33"/>
  </w:num>
  <w:num w:numId="25">
    <w:abstractNumId w:val="34"/>
  </w:num>
  <w:num w:numId="26">
    <w:abstractNumId w:val="21"/>
  </w:num>
  <w:num w:numId="27">
    <w:abstractNumId w:val="8"/>
  </w:num>
  <w:num w:numId="28">
    <w:abstractNumId w:val="4"/>
  </w:num>
  <w:num w:numId="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num>
  <w:num w:numId="32">
    <w:abstractNumId w:val="7"/>
  </w:num>
  <w:num w:numId="33">
    <w:abstractNumId w:val="0"/>
  </w:num>
  <w:num w:numId="34">
    <w:abstractNumId w:val="20"/>
  </w:num>
  <w:num w:numId="3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7"/>
  </w:num>
  <w:num w:numId="39">
    <w:abstractNumId w:val="22"/>
  </w:num>
  <w:num w:numId="40">
    <w:abstractNumId w:val="30"/>
  </w:num>
  <w:num w:numId="41">
    <w:abstractNumId w:val="31"/>
  </w:num>
  <w:num w:numId="42">
    <w:abstractNumId w:val="36"/>
  </w:num>
  <w:num w:numId="43">
    <w:abstractNumId w:val="16"/>
  </w:num>
  <w:num w:numId="44">
    <w:abstractNumId w:val="15"/>
  </w:num>
  <w:num w:numId="45">
    <w:abstractNumId w:val="44"/>
  </w:num>
  <w:num w:numId="46">
    <w:abstractNumId w:val="3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2C"/>
    <w:rsid w:val="000008CF"/>
    <w:rsid w:val="000013E5"/>
    <w:rsid w:val="00002160"/>
    <w:rsid w:val="00002F48"/>
    <w:rsid w:val="00005657"/>
    <w:rsid w:val="00005700"/>
    <w:rsid w:val="00005EBE"/>
    <w:rsid w:val="0000600D"/>
    <w:rsid w:val="0000605F"/>
    <w:rsid w:val="00006A5D"/>
    <w:rsid w:val="00007043"/>
    <w:rsid w:val="00007A97"/>
    <w:rsid w:val="00007F1E"/>
    <w:rsid w:val="00010369"/>
    <w:rsid w:val="00010417"/>
    <w:rsid w:val="000110AA"/>
    <w:rsid w:val="0001284F"/>
    <w:rsid w:val="000129A6"/>
    <w:rsid w:val="00012A4D"/>
    <w:rsid w:val="0001310F"/>
    <w:rsid w:val="0001349B"/>
    <w:rsid w:val="0001448D"/>
    <w:rsid w:val="0001572C"/>
    <w:rsid w:val="00020BDC"/>
    <w:rsid w:val="00021680"/>
    <w:rsid w:val="00022570"/>
    <w:rsid w:val="00023280"/>
    <w:rsid w:val="0002359E"/>
    <w:rsid w:val="0002371B"/>
    <w:rsid w:val="00024606"/>
    <w:rsid w:val="000246CC"/>
    <w:rsid w:val="000252F9"/>
    <w:rsid w:val="000266E7"/>
    <w:rsid w:val="00026A88"/>
    <w:rsid w:val="00026F09"/>
    <w:rsid w:val="00027A8B"/>
    <w:rsid w:val="00030A83"/>
    <w:rsid w:val="00031101"/>
    <w:rsid w:val="0003575D"/>
    <w:rsid w:val="00037D16"/>
    <w:rsid w:val="000401AA"/>
    <w:rsid w:val="00040D16"/>
    <w:rsid w:val="00040E37"/>
    <w:rsid w:val="0004139E"/>
    <w:rsid w:val="00043B67"/>
    <w:rsid w:val="00044068"/>
    <w:rsid w:val="00044977"/>
    <w:rsid w:val="00047157"/>
    <w:rsid w:val="00047659"/>
    <w:rsid w:val="00047F9D"/>
    <w:rsid w:val="000515D9"/>
    <w:rsid w:val="00052163"/>
    <w:rsid w:val="0005278D"/>
    <w:rsid w:val="000539A9"/>
    <w:rsid w:val="000552F0"/>
    <w:rsid w:val="000555A2"/>
    <w:rsid w:val="00060705"/>
    <w:rsid w:val="00060B70"/>
    <w:rsid w:val="000622BE"/>
    <w:rsid w:val="000623BA"/>
    <w:rsid w:val="00063171"/>
    <w:rsid w:val="0006362E"/>
    <w:rsid w:val="00063CF0"/>
    <w:rsid w:val="00063EB4"/>
    <w:rsid w:val="00064D5A"/>
    <w:rsid w:val="00065E6B"/>
    <w:rsid w:val="00067848"/>
    <w:rsid w:val="00067EA2"/>
    <w:rsid w:val="00070BDD"/>
    <w:rsid w:val="00071971"/>
    <w:rsid w:val="000720E0"/>
    <w:rsid w:val="00074ACC"/>
    <w:rsid w:val="000762F7"/>
    <w:rsid w:val="00076B47"/>
    <w:rsid w:val="00076B5A"/>
    <w:rsid w:val="00077811"/>
    <w:rsid w:val="00077D0A"/>
    <w:rsid w:val="00077F24"/>
    <w:rsid w:val="00080C64"/>
    <w:rsid w:val="000816DB"/>
    <w:rsid w:val="000820F8"/>
    <w:rsid w:val="00084FC2"/>
    <w:rsid w:val="0008520D"/>
    <w:rsid w:val="00086C01"/>
    <w:rsid w:val="00091EB1"/>
    <w:rsid w:val="00091F48"/>
    <w:rsid w:val="00094BD0"/>
    <w:rsid w:val="0009520E"/>
    <w:rsid w:val="0009536B"/>
    <w:rsid w:val="000957AF"/>
    <w:rsid w:val="0009608C"/>
    <w:rsid w:val="00097632"/>
    <w:rsid w:val="00097D52"/>
    <w:rsid w:val="00097F1E"/>
    <w:rsid w:val="000A05E9"/>
    <w:rsid w:val="000A132F"/>
    <w:rsid w:val="000A1C13"/>
    <w:rsid w:val="000A31FA"/>
    <w:rsid w:val="000A3815"/>
    <w:rsid w:val="000A3DED"/>
    <w:rsid w:val="000A4542"/>
    <w:rsid w:val="000A4F0D"/>
    <w:rsid w:val="000A6C40"/>
    <w:rsid w:val="000A71B7"/>
    <w:rsid w:val="000B0637"/>
    <w:rsid w:val="000B143F"/>
    <w:rsid w:val="000B17B2"/>
    <w:rsid w:val="000B291B"/>
    <w:rsid w:val="000B2BAC"/>
    <w:rsid w:val="000B33F8"/>
    <w:rsid w:val="000B404E"/>
    <w:rsid w:val="000B5D02"/>
    <w:rsid w:val="000B5F23"/>
    <w:rsid w:val="000B67AC"/>
    <w:rsid w:val="000C0B96"/>
    <w:rsid w:val="000C157F"/>
    <w:rsid w:val="000C3A40"/>
    <w:rsid w:val="000C3D4E"/>
    <w:rsid w:val="000C3E69"/>
    <w:rsid w:val="000C61DC"/>
    <w:rsid w:val="000C64A4"/>
    <w:rsid w:val="000C65DC"/>
    <w:rsid w:val="000C68F8"/>
    <w:rsid w:val="000C6EE7"/>
    <w:rsid w:val="000C7100"/>
    <w:rsid w:val="000C7E46"/>
    <w:rsid w:val="000D453D"/>
    <w:rsid w:val="000D4B99"/>
    <w:rsid w:val="000D5A2B"/>
    <w:rsid w:val="000D66DD"/>
    <w:rsid w:val="000D6A1C"/>
    <w:rsid w:val="000D7569"/>
    <w:rsid w:val="000E045C"/>
    <w:rsid w:val="000E1094"/>
    <w:rsid w:val="000E164E"/>
    <w:rsid w:val="000E17E4"/>
    <w:rsid w:val="000E1CD1"/>
    <w:rsid w:val="000E1EA1"/>
    <w:rsid w:val="000E364A"/>
    <w:rsid w:val="000E492B"/>
    <w:rsid w:val="000E5E76"/>
    <w:rsid w:val="000F0839"/>
    <w:rsid w:val="000F0EE5"/>
    <w:rsid w:val="000F1277"/>
    <w:rsid w:val="000F295C"/>
    <w:rsid w:val="000F2FA7"/>
    <w:rsid w:val="000F3318"/>
    <w:rsid w:val="000F3D27"/>
    <w:rsid w:val="000F4873"/>
    <w:rsid w:val="000F494E"/>
    <w:rsid w:val="000F5ACD"/>
    <w:rsid w:val="000F5B10"/>
    <w:rsid w:val="000F610E"/>
    <w:rsid w:val="000F6978"/>
    <w:rsid w:val="000F6D80"/>
    <w:rsid w:val="000F6DF2"/>
    <w:rsid w:val="000F73C6"/>
    <w:rsid w:val="001003B0"/>
    <w:rsid w:val="001019B3"/>
    <w:rsid w:val="00101A5B"/>
    <w:rsid w:val="00102458"/>
    <w:rsid w:val="001025BF"/>
    <w:rsid w:val="00103BA5"/>
    <w:rsid w:val="0010549E"/>
    <w:rsid w:val="00105899"/>
    <w:rsid w:val="001058B4"/>
    <w:rsid w:val="00105CB1"/>
    <w:rsid w:val="00106439"/>
    <w:rsid w:val="00106AD3"/>
    <w:rsid w:val="0010783F"/>
    <w:rsid w:val="00110225"/>
    <w:rsid w:val="001105F8"/>
    <w:rsid w:val="00110A6A"/>
    <w:rsid w:val="00112895"/>
    <w:rsid w:val="0011458B"/>
    <w:rsid w:val="00114A1C"/>
    <w:rsid w:val="001154CF"/>
    <w:rsid w:val="00116C25"/>
    <w:rsid w:val="00117151"/>
    <w:rsid w:val="00120AD1"/>
    <w:rsid w:val="00120AFE"/>
    <w:rsid w:val="0012136A"/>
    <w:rsid w:val="001215C6"/>
    <w:rsid w:val="00121624"/>
    <w:rsid w:val="00121C6B"/>
    <w:rsid w:val="0012345A"/>
    <w:rsid w:val="00124F89"/>
    <w:rsid w:val="001252BC"/>
    <w:rsid w:val="0012537B"/>
    <w:rsid w:val="00125D17"/>
    <w:rsid w:val="00126139"/>
    <w:rsid w:val="001261F5"/>
    <w:rsid w:val="0012784D"/>
    <w:rsid w:val="0013034E"/>
    <w:rsid w:val="00130CF2"/>
    <w:rsid w:val="0013111B"/>
    <w:rsid w:val="00131393"/>
    <w:rsid w:val="001332C6"/>
    <w:rsid w:val="00133306"/>
    <w:rsid w:val="00133DF4"/>
    <w:rsid w:val="00135451"/>
    <w:rsid w:val="0013660A"/>
    <w:rsid w:val="00136986"/>
    <w:rsid w:val="00141144"/>
    <w:rsid w:val="00141418"/>
    <w:rsid w:val="00142025"/>
    <w:rsid w:val="00142F9A"/>
    <w:rsid w:val="00144DED"/>
    <w:rsid w:val="00146611"/>
    <w:rsid w:val="00146E7D"/>
    <w:rsid w:val="001504AC"/>
    <w:rsid w:val="001504C3"/>
    <w:rsid w:val="001513FC"/>
    <w:rsid w:val="001516B4"/>
    <w:rsid w:val="001517D4"/>
    <w:rsid w:val="00153180"/>
    <w:rsid w:val="00155058"/>
    <w:rsid w:val="00155449"/>
    <w:rsid w:val="00156340"/>
    <w:rsid w:val="00157CB9"/>
    <w:rsid w:val="001603AC"/>
    <w:rsid w:val="00161101"/>
    <w:rsid w:val="001634D3"/>
    <w:rsid w:val="001636F2"/>
    <w:rsid w:val="00163DB0"/>
    <w:rsid w:val="00163E51"/>
    <w:rsid w:val="00164101"/>
    <w:rsid w:val="00164238"/>
    <w:rsid w:val="00165989"/>
    <w:rsid w:val="001662C1"/>
    <w:rsid w:val="00166E77"/>
    <w:rsid w:val="001736E9"/>
    <w:rsid w:val="00173F5C"/>
    <w:rsid w:val="00174CB7"/>
    <w:rsid w:val="00175771"/>
    <w:rsid w:val="00175C5A"/>
    <w:rsid w:val="00175E22"/>
    <w:rsid w:val="00176EFC"/>
    <w:rsid w:val="00181325"/>
    <w:rsid w:val="0018221E"/>
    <w:rsid w:val="00182B20"/>
    <w:rsid w:val="00187A39"/>
    <w:rsid w:val="00190602"/>
    <w:rsid w:val="001911BA"/>
    <w:rsid w:val="00191ADB"/>
    <w:rsid w:val="0019286A"/>
    <w:rsid w:val="00193D32"/>
    <w:rsid w:val="00193E0E"/>
    <w:rsid w:val="0019475C"/>
    <w:rsid w:val="00194D7B"/>
    <w:rsid w:val="00195A85"/>
    <w:rsid w:val="00197509"/>
    <w:rsid w:val="00197866"/>
    <w:rsid w:val="001A078A"/>
    <w:rsid w:val="001A21B7"/>
    <w:rsid w:val="001A27A0"/>
    <w:rsid w:val="001A29E6"/>
    <w:rsid w:val="001A3130"/>
    <w:rsid w:val="001A3630"/>
    <w:rsid w:val="001A39E3"/>
    <w:rsid w:val="001A48E3"/>
    <w:rsid w:val="001A5586"/>
    <w:rsid w:val="001A5CF5"/>
    <w:rsid w:val="001A6902"/>
    <w:rsid w:val="001A73D6"/>
    <w:rsid w:val="001B0022"/>
    <w:rsid w:val="001B065A"/>
    <w:rsid w:val="001B081E"/>
    <w:rsid w:val="001B0DDD"/>
    <w:rsid w:val="001B1046"/>
    <w:rsid w:val="001B1063"/>
    <w:rsid w:val="001B1EB5"/>
    <w:rsid w:val="001B1FFD"/>
    <w:rsid w:val="001B2659"/>
    <w:rsid w:val="001B2666"/>
    <w:rsid w:val="001B27F5"/>
    <w:rsid w:val="001B3D40"/>
    <w:rsid w:val="001B4A02"/>
    <w:rsid w:val="001B6CD8"/>
    <w:rsid w:val="001B755B"/>
    <w:rsid w:val="001B7EB3"/>
    <w:rsid w:val="001C06F7"/>
    <w:rsid w:val="001C0C87"/>
    <w:rsid w:val="001C3388"/>
    <w:rsid w:val="001C68B7"/>
    <w:rsid w:val="001C6D57"/>
    <w:rsid w:val="001C7A2B"/>
    <w:rsid w:val="001D04A0"/>
    <w:rsid w:val="001D05A1"/>
    <w:rsid w:val="001D06AB"/>
    <w:rsid w:val="001D1188"/>
    <w:rsid w:val="001D121E"/>
    <w:rsid w:val="001D20F1"/>
    <w:rsid w:val="001D2405"/>
    <w:rsid w:val="001D3486"/>
    <w:rsid w:val="001D44C6"/>
    <w:rsid w:val="001D5252"/>
    <w:rsid w:val="001D664C"/>
    <w:rsid w:val="001D7E54"/>
    <w:rsid w:val="001D7FC9"/>
    <w:rsid w:val="001E1EF5"/>
    <w:rsid w:val="001E2A8E"/>
    <w:rsid w:val="001E423E"/>
    <w:rsid w:val="001E4640"/>
    <w:rsid w:val="001E5177"/>
    <w:rsid w:val="001E6002"/>
    <w:rsid w:val="001E66AC"/>
    <w:rsid w:val="001F0811"/>
    <w:rsid w:val="001F09C9"/>
    <w:rsid w:val="001F105E"/>
    <w:rsid w:val="001F1E51"/>
    <w:rsid w:val="001F24C1"/>
    <w:rsid w:val="001F2CC2"/>
    <w:rsid w:val="001F3145"/>
    <w:rsid w:val="001F35CD"/>
    <w:rsid w:val="001F44DD"/>
    <w:rsid w:val="001F4627"/>
    <w:rsid w:val="001F561E"/>
    <w:rsid w:val="001F59BF"/>
    <w:rsid w:val="001F6018"/>
    <w:rsid w:val="001F607C"/>
    <w:rsid w:val="001F767C"/>
    <w:rsid w:val="0020042C"/>
    <w:rsid w:val="002048AB"/>
    <w:rsid w:val="00204F8B"/>
    <w:rsid w:val="0020589E"/>
    <w:rsid w:val="002058DB"/>
    <w:rsid w:val="00205FA8"/>
    <w:rsid w:val="002065AE"/>
    <w:rsid w:val="00206DB0"/>
    <w:rsid w:val="00207020"/>
    <w:rsid w:val="002076DB"/>
    <w:rsid w:val="00212285"/>
    <w:rsid w:val="00212B9A"/>
    <w:rsid w:val="00213794"/>
    <w:rsid w:val="00214956"/>
    <w:rsid w:val="0021508F"/>
    <w:rsid w:val="002150CE"/>
    <w:rsid w:val="00215521"/>
    <w:rsid w:val="002175E1"/>
    <w:rsid w:val="00217DB6"/>
    <w:rsid w:val="00222FD7"/>
    <w:rsid w:val="0022437A"/>
    <w:rsid w:val="002261E1"/>
    <w:rsid w:val="00226EFB"/>
    <w:rsid w:val="00230101"/>
    <w:rsid w:val="00231488"/>
    <w:rsid w:val="00233CE5"/>
    <w:rsid w:val="00234019"/>
    <w:rsid w:val="0023417D"/>
    <w:rsid w:val="0023438D"/>
    <w:rsid w:val="002354DD"/>
    <w:rsid w:val="00235541"/>
    <w:rsid w:val="00235764"/>
    <w:rsid w:val="00235FC1"/>
    <w:rsid w:val="002360BD"/>
    <w:rsid w:val="002378CC"/>
    <w:rsid w:val="00237B91"/>
    <w:rsid w:val="00237C92"/>
    <w:rsid w:val="00240E9E"/>
    <w:rsid w:val="00241D33"/>
    <w:rsid w:val="00242092"/>
    <w:rsid w:val="0024424D"/>
    <w:rsid w:val="00244920"/>
    <w:rsid w:val="00244D89"/>
    <w:rsid w:val="002454A6"/>
    <w:rsid w:val="00245BF7"/>
    <w:rsid w:val="00246C4C"/>
    <w:rsid w:val="00246E5E"/>
    <w:rsid w:val="00251C4B"/>
    <w:rsid w:val="002531D8"/>
    <w:rsid w:val="002533FD"/>
    <w:rsid w:val="002550C8"/>
    <w:rsid w:val="00255998"/>
    <w:rsid w:val="00255DEF"/>
    <w:rsid w:val="002571DD"/>
    <w:rsid w:val="00257426"/>
    <w:rsid w:val="00257487"/>
    <w:rsid w:val="002579F2"/>
    <w:rsid w:val="00257D54"/>
    <w:rsid w:val="00260E02"/>
    <w:rsid w:val="00261624"/>
    <w:rsid w:val="0026296C"/>
    <w:rsid w:val="00262DFF"/>
    <w:rsid w:val="002634B1"/>
    <w:rsid w:val="00263BCB"/>
    <w:rsid w:val="00263DF7"/>
    <w:rsid w:val="00264F0A"/>
    <w:rsid w:val="002661A2"/>
    <w:rsid w:val="00266DB1"/>
    <w:rsid w:val="002700AA"/>
    <w:rsid w:val="00271231"/>
    <w:rsid w:val="0027146C"/>
    <w:rsid w:val="002715DC"/>
    <w:rsid w:val="00273D8A"/>
    <w:rsid w:val="00273DB6"/>
    <w:rsid w:val="00274227"/>
    <w:rsid w:val="00274585"/>
    <w:rsid w:val="00274786"/>
    <w:rsid w:val="00275F20"/>
    <w:rsid w:val="00277C1B"/>
    <w:rsid w:val="0028192D"/>
    <w:rsid w:val="00281A8F"/>
    <w:rsid w:val="00283B71"/>
    <w:rsid w:val="00285511"/>
    <w:rsid w:val="002855A8"/>
    <w:rsid w:val="0028593C"/>
    <w:rsid w:val="002868D8"/>
    <w:rsid w:val="0029094C"/>
    <w:rsid w:val="002927A1"/>
    <w:rsid w:val="00292957"/>
    <w:rsid w:val="00292A2B"/>
    <w:rsid w:val="00293FEC"/>
    <w:rsid w:val="00294C36"/>
    <w:rsid w:val="002954E4"/>
    <w:rsid w:val="00296902"/>
    <w:rsid w:val="00297D30"/>
    <w:rsid w:val="002A06A4"/>
    <w:rsid w:val="002A0877"/>
    <w:rsid w:val="002A1E73"/>
    <w:rsid w:val="002A1F41"/>
    <w:rsid w:val="002A1FB1"/>
    <w:rsid w:val="002A2B60"/>
    <w:rsid w:val="002A3354"/>
    <w:rsid w:val="002A3A81"/>
    <w:rsid w:val="002A4774"/>
    <w:rsid w:val="002A4E66"/>
    <w:rsid w:val="002A525C"/>
    <w:rsid w:val="002A5977"/>
    <w:rsid w:val="002A60FC"/>
    <w:rsid w:val="002A64A1"/>
    <w:rsid w:val="002A6D11"/>
    <w:rsid w:val="002A6E9C"/>
    <w:rsid w:val="002B0241"/>
    <w:rsid w:val="002B05B2"/>
    <w:rsid w:val="002B07FA"/>
    <w:rsid w:val="002B09DD"/>
    <w:rsid w:val="002B165C"/>
    <w:rsid w:val="002B1B8D"/>
    <w:rsid w:val="002B3E31"/>
    <w:rsid w:val="002B4B41"/>
    <w:rsid w:val="002B513E"/>
    <w:rsid w:val="002B5247"/>
    <w:rsid w:val="002B6657"/>
    <w:rsid w:val="002B6A62"/>
    <w:rsid w:val="002B6AD6"/>
    <w:rsid w:val="002C012E"/>
    <w:rsid w:val="002C1ECE"/>
    <w:rsid w:val="002C36E0"/>
    <w:rsid w:val="002C3755"/>
    <w:rsid w:val="002C3D7D"/>
    <w:rsid w:val="002C4192"/>
    <w:rsid w:val="002C43A2"/>
    <w:rsid w:val="002C4A37"/>
    <w:rsid w:val="002C6095"/>
    <w:rsid w:val="002C7803"/>
    <w:rsid w:val="002C7B14"/>
    <w:rsid w:val="002D1BAC"/>
    <w:rsid w:val="002D288A"/>
    <w:rsid w:val="002D332B"/>
    <w:rsid w:val="002D39F7"/>
    <w:rsid w:val="002D3FB6"/>
    <w:rsid w:val="002D406A"/>
    <w:rsid w:val="002D4D45"/>
    <w:rsid w:val="002D5777"/>
    <w:rsid w:val="002D7502"/>
    <w:rsid w:val="002D7EC7"/>
    <w:rsid w:val="002E0790"/>
    <w:rsid w:val="002E07C3"/>
    <w:rsid w:val="002E093C"/>
    <w:rsid w:val="002E1392"/>
    <w:rsid w:val="002E1A09"/>
    <w:rsid w:val="002E1C38"/>
    <w:rsid w:val="002E26E7"/>
    <w:rsid w:val="002E383E"/>
    <w:rsid w:val="002E4B27"/>
    <w:rsid w:val="002E54FE"/>
    <w:rsid w:val="002E5F8A"/>
    <w:rsid w:val="002E6D48"/>
    <w:rsid w:val="002E74F3"/>
    <w:rsid w:val="002F0E18"/>
    <w:rsid w:val="002F1E3F"/>
    <w:rsid w:val="002F2796"/>
    <w:rsid w:val="002F43ED"/>
    <w:rsid w:val="002F5B8F"/>
    <w:rsid w:val="002F69A8"/>
    <w:rsid w:val="002F7AB1"/>
    <w:rsid w:val="003004D0"/>
    <w:rsid w:val="003008E0"/>
    <w:rsid w:val="00300BCD"/>
    <w:rsid w:val="0030171F"/>
    <w:rsid w:val="00301B39"/>
    <w:rsid w:val="00301C2C"/>
    <w:rsid w:val="00301DA6"/>
    <w:rsid w:val="00302D41"/>
    <w:rsid w:val="0030376A"/>
    <w:rsid w:val="00303C88"/>
    <w:rsid w:val="00303E1D"/>
    <w:rsid w:val="00304246"/>
    <w:rsid w:val="00304D4A"/>
    <w:rsid w:val="00304DB2"/>
    <w:rsid w:val="003058EB"/>
    <w:rsid w:val="00305B56"/>
    <w:rsid w:val="00307252"/>
    <w:rsid w:val="0030736B"/>
    <w:rsid w:val="0030799D"/>
    <w:rsid w:val="00310FED"/>
    <w:rsid w:val="00311464"/>
    <w:rsid w:val="0031240F"/>
    <w:rsid w:val="003125DB"/>
    <w:rsid w:val="003138A9"/>
    <w:rsid w:val="003139B5"/>
    <w:rsid w:val="00314659"/>
    <w:rsid w:val="00314BAC"/>
    <w:rsid w:val="003157B5"/>
    <w:rsid w:val="00315E89"/>
    <w:rsid w:val="00316138"/>
    <w:rsid w:val="00316A27"/>
    <w:rsid w:val="00321C3B"/>
    <w:rsid w:val="00322E5C"/>
    <w:rsid w:val="003237E5"/>
    <w:rsid w:val="00323C5D"/>
    <w:rsid w:val="0032461D"/>
    <w:rsid w:val="00324F0B"/>
    <w:rsid w:val="003253B6"/>
    <w:rsid w:val="0032740F"/>
    <w:rsid w:val="00330BD1"/>
    <w:rsid w:val="0033118D"/>
    <w:rsid w:val="00332DA2"/>
    <w:rsid w:val="00333501"/>
    <w:rsid w:val="0033472B"/>
    <w:rsid w:val="003347D9"/>
    <w:rsid w:val="00334B7F"/>
    <w:rsid w:val="00334BDE"/>
    <w:rsid w:val="00334E9F"/>
    <w:rsid w:val="00335057"/>
    <w:rsid w:val="003352FA"/>
    <w:rsid w:val="00336A5D"/>
    <w:rsid w:val="00337CE5"/>
    <w:rsid w:val="00341223"/>
    <w:rsid w:val="00343621"/>
    <w:rsid w:val="00343793"/>
    <w:rsid w:val="00343804"/>
    <w:rsid w:val="00343A03"/>
    <w:rsid w:val="00343B40"/>
    <w:rsid w:val="00345E44"/>
    <w:rsid w:val="003463CE"/>
    <w:rsid w:val="003464D9"/>
    <w:rsid w:val="003500A5"/>
    <w:rsid w:val="00351173"/>
    <w:rsid w:val="00351724"/>
    <w:rsid w:val="003518C8"/>
    <w:rsid w:val="00351CAE"/>
    <w:rsid w:val="00351E69"/>
    <w:rsid w:val="00353B2E"/>
    <w:rsid w:val="0035408B"/>
    <w:rsid w:val="00354252"/>
    <w:rsid w:val="003543E3"/>
    <w:rsid w:val="0035637B"/>
    <w:rsid w:val="00356A4C"/>
    <w:rsid w:val="00357223"/>
    <w:rsid w:val="00357680"/>
    <w:rsid w:val="0036123C"/>
    <w:rsid w:val="0036160F"/>
    <w:rsid w:val="00361EC0"/>
    <w:rsid w:val="00362873"/>
    <w:rsid w:val="003628B7"/>
    <w:rsid w:val="003638C5"/>
    <w:rsid w:val="00363FF5"/>
    <w:rsid w:val="003647AA"/>
    <w:rsid w:val="003651D2"/>
    <w:rsid w:val="003654F1"/>
    <w:rsid w:val="00365AA1"/>
    <w:rsid w:val="00365DDA"/>
    <w:rsid w:val="00366EC4"/>
    <w:rsid w:val="00367600"/>
    <w:rsid w:val="00370901"/>
    <w:rsid w:val="00370AC4"/>
    <w:rsid w:val="00371502"/>
    <w:rsid w:val="00371E1D"/>
    <w:rsid w:val="00371F4C"/>
    <w:rsid w:val="003726D2"/>
    <w:rsid w:val="00373252"/>
    <w:rsid w:val="003744D1"/>
    <w:rsid w:val="00374EBD"/>
    <w:rsid w:val="003752C2"/>
    <w:rsid w:val="00375423"/>
    <w:rsid w:val="00376F82"/>
    <w:rsid w:val="00377265"/>
    <w:rsid w:val="003775C4"/>
    <w:rsid w:val="00380650"/>
    <w:rsid w:val="00382D15"/>
    <w:rsid w:val="00383941"/>
    <w:rsid w:val="003846E8"/>
    <w:rsid w:val="00384BE4"/>
    <w:rsid w:val="00384C12"/>
    <w:rsid w:val="00384CA7"/>
    <w:rsid w:val="003859C0"/>
    <w:rsid w:val="00385AC7"/>
    <w:rsid w:val="003869B3"/>
    <w:rsid w:val="00386DA8"/>
    <w:rsid w:val="0039001A"/>
    <w:rsid w:val="0039066F"/>
    <w:rsid w:val="003913B9"/>
    <w:rsid w:val="00391C9B"/>
    <w:rsid w:val="00391D12"/>
    <w:rsid w:val="00392AF8"/>
    <w:rsid w:val="003931DA"/>
    <w:rsid w:val="003936B3"/>
    <w:rsid w:val="0039395E"/>
    <w:rsid w:val="00394E74"/>
    <w:rsid w:val="00394F1B"/>
    <w:rsid w:val="0039629B"/>
    <w:rsid w:val="00396A46"/>
    <w:rsid w:val="00396FA6"/>
    <w:rsid w:val="00397636"/>
    <w:rsid w:val="003A49AA"/>
    <w:rsid w:val="003A5B89"/>
    <w:rsid w:val="003A64F6"/>
    <w:rsid w:val="003A71F5"/>
    <w:rsid w:val="003A7588"/>
    <w:rsid w:val="003A769D"/>
    <w:rsid w:val="003B1281"/>
    <w:rsid w:val="003B12CE"/>
    <w:rsid w:val="003B1A28"/>
    <w:rsid w:val="003B2B8B"/>
    <w:rsid w:val="003B357D"/>
    <w:rsid w:val="003B478C"/>
    <w:rsid w:val="003B4BD6"/>
    <w:rsid w:val="003B5496"/>
    <w:rsid w:val="003B5942"/>
    <w:rsid w:val="003B6351"/>
    <w:rsid w:val="003B6372"/>
    <w:rsid w:val="003B7014"/>
    <w:rsid w:val="003B7C4C"/>
    <w:rsid w:val="003C034E"/>
    <w:rsid w:val="003C0FBE"/>
    <w:rsid w:val="003C1095"/>
    <w:rsid w:val="003C3E54"/>
    <w:rsid w:val="003C481F"/>
    <w:rsid w:val="003C510B"/>
    <w:rsid w:val="003C667E"/>
    <w:rsid w:val="003C6998"/>
    <w:rsid w:val="003C6ED1"/>
    <w:rsid w:val="003C7671"/>
    <w:rsid w:val="003C788C"/>
    <w:rsid w:val="003C7E13"/>
    <w:rsid w:val="003D0BD8"/>
    <w:rsid w:val="003D1486"/>
    <w:rsid w:val="003D1B6B"/>
    <w:rsid w:val="003D1BCB"/>
    <w:rsid w:val="003D1CB1"/>
    <w:rsid w:val="003D21BA"/>
    <w:rsid w:val="003D33D0"/>
    <w:rsid w:val="003D3519"/>
    <w:rsid w:val="003D4AD2"/>
    <w:rsid w:val="003D4D5C"/>
    <w:rsid w:val="003D4FB1"/>
    <w:rsid w:val="003D54FF"/>
    <w:rsid w:val="003D63C2"/>
    <w:rsid w:val="003E032F"/>
    <w:rsid w:val="003E0F77"/>
    <w:rsid w:val="003E11DB"/>
    <w:rsid w:val="003E153D"/>
    <w:rsid w:val="003E1AD7"/>
    <w:rsid w:val="003E1B05"/>
    <w:rsid w:val="003E1CEC"/>
    <w:rsid w:val="003E1E3C"/>
    <w:rsid w:val="003E2B27"/>
    <w:rsid w:val="003E41CF"/>
    <w:rsid w:val="003E499E"/>
    <w:rsid w:val="003E4F25"/>
    <w:rsid w:val="003E7262"/>
    <w:rsid w:val="003F0205"/>
    <w:rsid w:val="003F02B9"/>
    <w:rsid w:val="003F1F02"/>
    <w:rsid w:val="003F20C1"/>
    <w:rsid w:val="003F2C9C"/>
    <w:rsid w:val="003F3EAE"/>
    <w:rsid w:val="003F505C"/>
    <w:rsid w:val="003F514E"/>
    <w:rsid w:val="003F66D3"/>
    <w:rsid w:val="003F6B67"/>
    <w:rsid w:val="003F73FD"/>
    <w:rsid w:val="003F7F5A"/>
    <w:rsid w:val="003F7F7B"/>
    <w:rsid w:val="00401EAC"/>
    <w:rsid w:val="00402C9C"/>
    <w:rsid w:val="00402F95"/>
    <w:rsid w:val="0040468A"/>
    <w:rsid w:val="00406333"/>
    <w:rsid w:val="004065DF"/>
    <w:rsid w:val="004075C9"/>
    <w:rsid w:val="00410A60"/>
    <w:rsid w:val="00410BE5"/>
    <w:rsid w:val="00411039"/>
    <w:rsid w:val="00412552"/>
    <w:rsid w:val="00413688"/>
    <w:rsid w:val="00416BF8"/>
    <w:rsid w:val="004173F5"/>
    <w:rsid w:val="00417557"/>
    <w:rsid w:val="00417E9D"/>
    <w:rsid w:val="0042075F"/>
    <w:rsid w:val="0042364B"/>
    <w:rsid w:val="00423974"/>
    <w:rsid w:val="00425577"/>
    <w:rsid w:val="00425B71"/>
    <w:rsid w:val="004263ED"/>
    <w:rsid w:val="00430AD4"/>
    <w:rsid w:val="00431831"/>
    <w:rsid w:val="00432D36"/>
    <w:rsid w:val="00433690"/>
    <w:rsid w:val="004337DA"/>
    <w:rsid w:val="00434B45"/>
    <w:rsid w:val="00434D73"/>
    <w:rsid w:val="00434D81"/>
    <w:rsid w:val="00434E0E"/>
    <w:rsid w:val="00435085"/>
    <w:rsid w:val="0043606C"/>
    <w:rsid w:val="00436E95"/>
    <w:rsid w:val="00437689"/>
    <w:rsid w:val="00437DED"/>
    <w:rsid w:val="0044003A"/>
    <w:rsid w:val="00440630"/>
    <w:rsid w:val="00440E77"/>
    <w:rsid w:val="00443190"/>
    <w:rsid w:val="00443403"/>
    <w:rsid w:val="00443449"/>
    <w:rsid w:val="0044383B"/>
    <w:rsid w:val="00443914"/>
    <w:rsid w:val="00443A10"/>
    <w:rsid w:val="00443A6A"/>
    <w:rsid w:val="0044412F"/>
    <w:rsid w:val="00444390"/>
    <w:rsid w:val="004446F3"/>
    <w:rsid w:val="00446BE3"/>
    <w:rsid w:val="00446DD3"/>
    <w:rsid w:val="00447828"/>
    <w:rsid w:val="004479C6"/>
    <w:rsid w:val="004501B2"/>
    <w:rsid w:val="00450347"/>
    <w:rsid w:val="00450415"/>
    <w:rsid w:val="0045070C"/>
    <w:rsid w:val="00450A85"/>
    <w:rsid w:val="00450E0F"/>
    <w:rsid w:val="004511F8"/>
    <w:rsid w:val="00451256"/>
    <w:rsid w:val="00451299"/>
    <w:rsid w:val="004521A9"/>
    <w:rsid w:val="0045251E"/>
    <w:rsid w:val="00452A8E"/>
    <w:rsid w:val="00452DE1"/>
    <w:rsid w:val="00452FAB"/>
    <w:rsid w:val="004538FD"/>
    <w:rsid w:val="00453A3B"/>
    <w:rsid w:val="00453DC1"/>
    <w:rsid w:val="00453EB1"/>
    <w:rsid w:val="0046107D"/>
    <w:rsid w:val="00462932"/>
    <w:rsid w:val="00462A59"/>
    <w:rsid w:val="00462C66"/>
    <w:rsid w:val="004637F3"/>
    <w:rsid w:val="00463F1E"/>
    <w:rsid w:val="004657BB"/>
    <w:rsid w:val="004664EA"/>
    <w:rsid w:val="00466C95"/>
    <w:rsid w:val="004670E0"/>
    <w:rsid w:val="00470365"/>
    <w:rsid w:val="004705AA"/>
    <w:rsid w:val="004705EC"/>
    <w:rsid w:val="004706E0"/>
    <w:rsid w:val="0047218C"/>
    <w:rsid w:val="004721EB"/>
    <w:rsid w:val="00474233"/>
    <w:rsid w:val="00480612"/>
    <w:rsid w:val="00480F2D"/>
    <w:rsid w:val="00481ADF"/>
    <w:rsid w:val="00483114"/>
    <w:rsid w:val="00483243"/>
    <w:rsid w:val="00483704"/>
    <w:rsid w:val="004838E8"/>
    <w:rsid w:val="00484170"/>
    <w:rsid w:val="00484E79"/>
    <w:rsid w:val="00485113"/>
    <w:rsid w:val="004872F5"/>
    <w:rsid w:val="00487503"/>
    <w:rsid w:val="00490653"/>
    <w:rsid w:val="0049120A"/>
    <w:rsid w:val="00492418"/>
    <w:rsid w:val="00492828"/>
    <w:rsid w:val="00492A0E"/>
    <w:rsid w:val="00493632"/>
    <w:rsid w:val="004953A7"/>
    <w:rsid w:val="00495432"/>
    <w:rsid w:val="00495DDA"/>
    <w:rsid w:val="004973E5"/>
    <w:rsid w:val="00497B28"/>
    <w:rsid w:val="004A0390"/>
    <w:rsid w:val="004A0717"/>
    <w:rsid w:val="004A0720"/>
    <w:rsid w:val="004A0A0A"/>
    <w:rsid w:val="004A2815"/>
    <w:rsid w:val="004A3104"/>
    <w:rsid w:val="004A3310"/>
    <w:rsid w:val="004A343E"/>
    <w:rsid w:val="004A3579"/>
    <w:rsid w:val="004A39F6"/>
    <w:rsid w:val="004A3CD9"/>
    <w:rsid w:val="004A3F40"/>
    <w:rsid w:val="004A449C"/>
    <w:rsid w:val="004A45FB"/>
    <w:rsid w:val="004A515F"/>
    <w:rsid w:val="004A74B1"/>
    <w:rsid w:val="004A7707"/>
    <w:rsid w:val="004B1C34"/>
    <w:rsid w:val="004B2BE8"/>
    <w:rsid w:val="004B37FF"/>
    <w:rsid w:val="004B457E"/>
    <w:rsid w:val="004B53B4"/>
    <w:rsid w:val="004B662B"/>
    <w:rsid w:val="004B6DA9"/>
    <w:rsid w:val="004B72C6"/>
    <w:rsid w:val="004C00D8"/>
    <w:rsid w:val="004C17B5"/>
    <w:rsid w:val="004C46EB"/>
    <w:rsid w:val="004C4E67"/>
    <w:rsid w:val="004C6AFF"/>
    <w:rsid w:val="004C6FA0"/>
    <w:rsid w:val="004C7A41"/>
    <w:rsid w:val="004D1621"/>
    <w:rsid w:val="004D1D53"/>
    <w:rsid w:val="004D256F"/>
    <w:rsid w:val="004D273D"/>
    <w:rsid w:val="004D3EAE"/>
    <w:rsid w:val="004D41A8"/>
    <w:rsid w:val="004D4333"/>
    <w:rsid w:val="004D43FE"/>
    <w:rsid w:val="004D56B9"/>
    <w:rsid w:val="004D70DE"/>
    <w:rsid w:val="004E1142"/>
    <w:rsid w:val="004E3B64"/>
    <w:rsid w:val="004E4624"/>
    <w:rsid w:val="004E4AA5"/>
    <w:rsid w:val="004E4D2A"/>
    <w:rsid w:val="004E50E7"/>
    <w:rsid w:val="004E514E"/>
    <w:rsid w:val="004E52B8"/>
    <w:rsid w:val="004E5575"/>
    <w:rsid w:val="004E60A7"/>
    <w:rsid w:val="004E6F10"/>
    <w:rsid w:val="004E6FC8"/>
    <w:rsid w:val="004E755C"/>
    <w:rsid w:val="004E7795"/>
    <w:rsid w:val="004E77EB"/>
    <w:rsid w:val="004F03ED"/>
    <w:rsid w:val="004F11DD"/>
    <w:rsid w:val="004F1E4E"/>
    <w:rsid w:val="004F1F6C"/>
    <w:rsid w:val="004F285B"/>
    <w:rsid w:val="004F31FC"/>
    <w:rsid w:val="004F3939"/>
    <w:rsid w:val="004F3A2F"/>
    <w:rsid w:val="004F41B2"/>
    <w:rsid w:val="004F54D5"/>
    <w:rsid w:val="004F5654"/>
    <w:rsid w:val="004F5ECD"/>
    <w:rsid w:val="004F628C"/>
    <w:rsid w:val="004F7F96"/>
    <w:rsid w:val="00501D6D"/>
    <w:rsid w:val="00501DF4"/>
    <w:rsid w:val="005029BE"/>
    <w:rsid w:val="00502CB5"/>
    <w:rsid w:val="005053D2"/>
    <w:rsid w:val="0050600F"/>
    <w:rsid w:val="005105A7"/>
    <w:rsid w:val="00510B0C"/>
    <w:rsid w:val="00510D11"/>
    <w:rsid w:val="005121EE"/>
    <w:rsid w:val="00512473"/>
    <w:rsid w:val="005125B2"/>
    <w:rsid w:val="00512F7F"/>
    <w:rsid w:val="005155D4"/>
    <w:rsid w:val="00516930"/>
    <w:rsid w:val="00517886"/>
    <w:rsid w:val="005178A8"/>
    <w:rsid w:val="0051797A"/>
    <w:rsid w:val="005179B0"/>
    <w:rsid w:val="00517AC9"/>
    <w:rsid w:val="00520C05"/>
    <w:rsid w:val="0052127D"/>
    <w:rsid w:val="005212DD"/>
    <w:rsid w:val="005217EF"/>
    <w:rsid w:val="00521B7A"/>
    <w:rsid w:val="005228C4"/>
    <w:rsid w:val="00522F69"/>
    <w:rsid w:val="005231DA"/>
    <w:rsid w:val="00523DF5"/>
    <w:rsid w:val="00524DC8"/>
    <w:rsid w:val="00525581"/>
    <w:rsid w:val="00533E17"/>
    <w:rsid w:val="0053659E"/>
    <w:rsid w:val="005370CE"/>
    <w:rsid w:val="00537C72"/>
    <w:rsid w:val="00540556"/>
    <w:rsid w:val="00541B4E"/>
    <w:rsid w:val="00541D83"/>
    <w:rsid w:val="00542574"/>
    <w:rsid w:val="0054271D"/>
    <w:rsid w:val="00543B8F"/>
    <w:rsid w:val="005453A7"/>
    <w:rsid w:val="00545490"/>
    <w:rsid w:val="00545873"/>
    <w:rsid w:val="00546C68"/>
    <w:rsid w:val="00547554"/>
    <w:rsid w:val="00547BFB"/>
    <w:rsid w:val="0055015C"/>
    <w:rsid w:val="005526FF"/>
    <w:rsid w:val="00552C0D"/>
    <w:rsid w:val="00554594"/>
    <w:rsid w:val="00554BCA"/>
    <w:rsid w:val="0055669F"/>
    <w:rsid w:val="00556922"/>
    <w:rsid w:val="005610DE"/>
    <w:rsid w:val="0056137F"/>
    <w:rsid w:val="00562418"/>
    <w:rsid w:val="00562931"/>
    <w:rsid w:val="00564058"/>
    <w:rsid w:val="00564838"/>
    <w:rsid w:val="00564BD7"/>
    <w:rsid w:val="00564D56"/>
    <w:rsid w:val="005656D7"/>
    <w:rsid w:val="00567455"/>
    <w:rsid w:val="0057156C"/>
    <w:rsid w:val="005715E6"/>
    <w:rsid w:val="005730AA"/>
    <w:rsid w:val="00573344"/>
    <w:rsid w:val="00573FBD"/>
    <w:rsid w:val="005746CE"/>
    <w:rsid w:val="00576B91"/>
    <w:rsid w:val="0057710E"/>
    <w:rsid w:val="00577D30"/>
    <w:rsid w:val="00581432"/>
    <w:rsid w:val="00582125"/>
    <w:rsid w:val="0058246B"/>
    <w:rsid w:val="00582D66"/>
    <w:rsid w:val="00582FE8"/>
    <w:rsid w:val="0058364F"/>
    <w:rsid w:val="00583C12"/>
    <w:rsid w:val="005848A4"/>
    <w:rsid w:val="00584BA9"/>
    <w:rsid w:val="00584CED"/>
    <w:rsid w:val="005868AA"/>
    <w:rsid w:val="00587048"/>
    <w:rsid w:val="005912D9"/>
    <w:rsid w:val="00591E6B"/>
    <w:rsid w:val="00592F29"/>
    <w:rsid w:val="005938BC"/>
    <w:rsid w:val="00593F4F"/>
    <w:rsid w:val="00594138"/>
    <w:rsid w:val="0059509B"/>
    <w:rsid w:val="0059554E"/>
    <w:rsid w:val="005976A9"/>
    <w:rsid w:val="00597E08"/>
    <w:rsid w:val="005A0D7C"/>
    <w:rsid w:val="005A11E8"/>
    <w:rsid w:val="005A13C7"/>
    <w:rsid w:val="005A1BF2"/>
    <w:rsid w:val="005A2581"/>
    <w:rsid w:val="005A463E"/>
    <w:rsid w:val="005A77A0"/>
    <w:rsid w:val="005B1CE1"/>
    <w:rsid w:val="005B2A0D"/>
    <w:rsid w:val="005B2A2E"/>
    <w:rsid w:val="005B3D37"/>
    <w:rsid w:val="005B3E34"/>
    <w:rsid w:val="005B5981"/>
    <w:rsid w:val="005B5AD7"/>
    <w:rsid w:val="005B69ED"/>
    <w:rsid w:val="005B72BD"/>
    <w:rsid w:val="005B757D"/>
    <w:rsid w:val="005B7F20"/>
    <w:rsid w:val="005C00A7"/>
    <w:rsid w:val="005C1436"/>
    <w:rsid w:val="005C1C59"/>
    <w:rsid w:val="005C1DAB"/>
    <w:rsid w:val="005C2303"/>
    <w:rsid w:val="005C2DB4"/>
    <w:rsid w:val="005C34EA"/>
    <w:rsid w:val="005C3AFF"/>
    <w:rsid w:val="005C3E38"/>
    <w:rsid w:val="005C3F15"/>
    <w:rsid w:val="005C4801"/>
    <w:rsid w:val="005C5831"/>
    <w:rsid w:val="005C586D"/>
    <w:rsid w:val="005C6176"/>
    <w:rsid w:val="005C6204"/>
    <w:rsid w:val="005C652B"/>
    <w:rsid w:val="005C6892"/>
    <w:rsid w:val="005C7A9F"/>
    <w:rsid w:val="005C7B94"/>
    <w:rsid w:val="005D0851"/>
    <w:rsid w:val="005D0DDB"/>
    <w:rsid w:val="005D1A53"/>
    <w:rsid w:val="005D1D19"/>
    <w:rsid w:val="005D378A"/>
    <w:rsid w:val="005D3BF1"/>
    <w:rsid w:val="005D41D9"/>
    <w:rsid w:val="005D49CF"/>
    <w:rsid w:val="005D4C6B"/>
    <w:rsid w:val="005D5521"/>
    <w:rsid w:val="005D73CC"/>
    <w:rsid w:val="005D7CDE"/>
    <w:rsid w:val="005D7D81"/>
    <w:rsid w:val="005D7DB4"/>
    <w:rsid w:val="005E121D"/>
    <w:rsid w:val="005E1C5A"/>
    <w:rsid w:val="005E1D24"/>
    <w:rsid w:val="005E2D17"/>
    <w:rsid w:val="005E31BA"/>
    <w:rsid w:val="005E41D2"/>
    <w:rsid w:val="005E609C"/>
    <w:rsid w:val="005E65A6"/>
    <w:rsid w:val="005E6835"/>
    <w:rsid w:val="005E6861"/>
    <w:rsid w:val="005F0D4E"/>
    <w:rsid w:val="005F13E0"/>
    <w:rsid w:val="005F14FE"/>
    <w:rsid w:val="005F2CBD"/>
    <w:rsid w:val="005F2E4A"/>
    <w:rsid w:val="005F35FC"/>
    <w:rsid w:val="005F3A71"/>
    <w:rsid w:val="005F3B1D"/>
    <w:rsid w:val="005F3DBD"/>
    <w:rsid w:val="005F49E3"/>
    <w:rsid w:val="005F4BD1"/>
    <w:rsid w:val="005F5855"/>
    <w:rsid w:val="005F5C67"/>
    <w:rsid w:val="005F68B5"/>
    <w:rsid w:val="005F6D15"/>
    <w:rsid w:val="005F6E08"/>
    <w:rsid w:val="005F75AD"/>
    <w:rsid w:val="0060054F"/>
    <w:rsid w:val="00600886"/>
    <w:rsid w:val="0060118A"/>
    <w:rsid w:val="006014A4"/>
    <w:rsid w:val="00601DE2"/>
    <w:rsid w:val="00602879"/>
    <w:rsid w:val="00602ABD"/>
    <w:rsid w:val="00602AD1"/>
    <w:rsid w:val="00602B15"/>
    <w:rsid w:val="00605533"/>
    <w:rsid w:val="00605CD2"/>
    <w:rsid w:val="0060718B"/>
    <w:rsid w:val="00607E8B"/>
    <w:rsid w:val="00607E99"/>
    <w:rsid w:val="006112E8"/>
    <w:rsid w:val="00611889"/>
    <w:rsid w:val="00611D41"/>
    <w:rsid w:val="00612556"/>
    <w:rsid w:val="00612694"/>
    <w:rsid w:val="0061319F"/>
    <w:rsid w:val="0061323A"/>
    <w:rsid w:val="00613E21"/>
    <w:rsid w:val="00613F53"/>
    <w:rsid w:val="00616E5A"/>
    <w:rsid w:val="0061772E"/>
    <w:rsid w:val="00620279"/>
    <w:rsid w:val="006204B2"/>
    <w:rsid w:val="00621479"/>
    <w:rsid w:val="00621C9C"/>
    <w:rsid w:val="006225AA"/>
    <w:rsid w:val="006229D2"/>
    <w:rsid w:val="00623173"/>
    <w:rsid w:val="0062545A"/>
    <w:rsid w:val="00625825"/>
    <w:rsid w:val="006263F8"/>
    <w:rsid w:val="006263FC"/>
    <w:rsid w:val="006272C2"/>
    <w:rsid w:val="00627365"/>
    <w:rsid w:val="006278B2"/>
    <w:rsid w:val="006304B1"/>
    <w:rsid w:val="00630871"/>
    <w:rsid w:val="0063087F"/>
    <w:rsid w:val="00630C42"/>
    <w:rsid w:val="006311AA"/>
    <w:rsid w:val="00631592"/>
    <w:rsid w:val="00632156"/>
    <w:rsid w:val="00633123"/>
    <w:rsid w:val="0063387B"/>
    <w:rsid w:val="00633C91"/>
    <w:rsid w:val="00634DF5"/>
    <w:rsid w:val="006354B0"/>
    <w:rsid w:val="006358A4"/>
    <w:rsid w:val="00637A66"/>
    <w:rsid w:val="006406E8"/>
    <w:rsid w:val="0064123A"/>
    <w:rsid w:val="006417C4"/>
    <w:rsid w:val="00641C23"/>
    <w:rsid w:val="006429B3"/>
    <w:rsid w:val="006434F0"/>
    <w:rsid w:val="00643C09"/>
    <w:rsid w:val="00645531"/>
    <w:rsid w:val="006468B8"/>
    <w:rsid w:val="00650758"/>
    <w:rsid w:val="00650B82"/>
    <w:rsid w:val="006510B1"/>
    <w:rsid w:val="00651AF2"/>
    <w:rsid w:val="00652039"/>
    <w:rsid w:val="00652629"/>
    <w:rsid w:val="00652AB2"/>
    <w:rsid w:val="00652BD0"/>
    <w:rsid w:val="00652DD6"/>
    <w:rsid w:val="00653395"/>
    <w:rsid w:val="00654606"/>
    <w:rsid w:val="00654B92"/>
    <w:rsid w:val="006550D1"/>
    <w:rsid w:val="00655802"/>
    <w:rsid w:val="00655CDD"/>
    <w:rsid w:val="00657088"/>
    <w:rsid w:val="00657D3F"/>
    <w:rsid w:val="006609D7"/>
    <w:rsid w:val="006622D9"/>
    <w:rsid w:val="006631B2"/>
    <w:rsid w:val="00663F95"/>
    <w:rsid w:val="00664EB2"/>
    <w:rsid w:val="00664FE2"/>
    <w:rsid w:val="00665922"/>
    <w:rsid w:val="00665A76"/>
    <w:rsid w:val="0066695C"/>
    <w:rsid w:val="00667DA3"/>
    <w:rsid w:val="00667EFF"/>
    <w:rsid w:val="00672838"/>
    <w:rsid w:val="00673425"/>
    <w:rsid w:val="00673D71"/>
    <w:rsid w:val="006744D4"/>
    <w:rsid w:val="00674F64"/>
    <w:rsid w:val="00675492"/>
    <w:rsid w:val="00675659"/>
    <w:rsid w:val="00675D6F"/>
    <w:rsid w:val="00676E17"/>
    <w:rsid w:val="006775AF"/>
    <w:rsid w:val="0067761B"/>
    <w:rsid w:val="0067788F"/>
    <w:rsid w:val="006809C8"/>
    <w:rsid w:val="00681880"/>
    <w:rsid w:val="00681D39"/>
    <w:rsid w:val="006824B1"/>
    <w:rsid w:val="00682735"/>
    <w:rsid w:val="00682B62"/>
    <w:rsid w:val="00682C35"/>
    <w:rsid w:val="0068329C"/>
    <w:rsid w:val="00683348"/>
    <w:rsid w:val="00683A99"/>
    <w:rsid w:val="0068537C"/>
    <w:rsid w:val="00685838"/>
    <w:rsid w:val="0068674F"/>
    <w:rsid w:val="00686CB3"/>
    <w:rsid w:val="00687A8C"/>
    <w:rsid w:val="00687BB7"/>
    <w:rsid w:val="0069011D"/>
    <w:rsid w:val="00690366"/>
    <w:rsid w:val="00690480"/>
    <w:rsid w:val="00690488"/>
    <w:rsid w:val="006908EA"/>
    <w:rsid w:val="006910CB"/>
    <w:rsid w:val="00692288"/>
    <w:rsid w:val="00692781"/>
    <w:rsid w:val="006931C0"/>
    <w:rsid w:val="00693239"/>
    <w:rsid w:val="00693F5E"/>
    <w:rsid w:val="00694052"/>
    <w:rsid w:val="006947E3"/>
    <w:rsid w:val="006962A9"/>
    <w:rsid w:val="006A217E"/>
    <w:rsid w:val="006A2B2A"/>
    <w:rsid w:val="006A2B66"/>
    <w:rsid w:val="006A2C04"/>
    <w:rsid w:val="006A2F06"/>
    <w:rsid w:val="006A37BE"/>
    <w:rsid w:val="006A4312"/>
    <w:rsid w:val="006A43B1"/>
    <w:rsid w:val="006A4679"/>
    <w:rsid w:val="006A49E2"/>
    <w:rsid w:val="006A572E"/>
    <w:rsid w:val="006A5F12"/>
    <w:rsid w:val="006A6C04"/>
    <w:rsid w:val="006A6D4A"/>
    <w:rsid w:val="006A7789"/>
    <w:rsid w:val="006A7A0B"/>
    <w:rsid w:val="006B02AD"/>
    <w:rsid w:val="006B0D22"/>
    <w:rsid w:val="006B17F6"/>
    <w:rsid w:val="006B20A4"/>
    <w:rsid w:val="006B3036"/>
    <w:rsid w:val="006B364A"/>
    <w:rsid w:val="006B411E"/>
    <w:rsid w:val="006B439B"/>
    <w:rsid w:val="006B464D"/>
    <w:rsid w:val="006B4752"/>
    <w:rsid w:val="006B5899"/>
    <w:rsid w:val="006B7662"/>
    <w:rsid w:val="006B7A00"/>
    <w:rsid w:val="006C0660"/>
    <w:rsid w:val="006C13A3"/>
    <w:rsid w:val="006C16A3"/>
    <w:rsid w:val="006C1A0B"/>
    <w:rsid w:val="006C2150"/>
    <w:rsid w:val="006C2367"/>
    <w:rsid w:val="006C2628"/>
    <w:rsid w:val="006C2681"/>
    <w:rsid w:val="006C2FED"/>
    <w:rsid w:val="006C3813"/>
    <w:rsid w:val="006C3A8C"/>
    <w:rsid w:val="006C6098"/>
    <w:rsid w:val="006C649E"/>
    <w:rsid w:val="006D1606"/>
    <w:rsid w:val="006D2705"/>
    <w:rsid w:val="006D419C"/>
    <w:rsid w:val="006D4E41"/>
    <w:rsid w:val="006D5D7B"/>
    <w:rsid w:val="006D6AB3"/>
    <w:rsid w:val="006D74A7"/>
    <w:rsid w:val="006D7664"/>
    <w:rsid w:val="006D77F0"/>
    <w:rsid w:val="006D780E"/>
    <w:rsid w:val="006D7A85"/>
    <w:rsid w:val="006E0725"/>
    <w:rsid w:val="006E0AD0"/>
    <w:rsid w:val="006E13E8"/>
    <w:rsid w:val="006E1570"/>
    <w:rsid w:val="006E2B22"/>
    <w:rsid w:val="006E3EAF"/>
    <w:rsid w:val="006E47B7"/>
    <w:rsid w:val="006E5157"/>
    <w:rsid w:val="006E6394"/>
    <w:rsid w:val="006E6E38"/>
    <w:rsid w:val="006E6E96"/>
    <w:rsid w:val="006F02E4"/>
    <w:rsid w:val="006F07B8"/>
    <w:rsid w:val="006F089B"/>
    <w:rsid w:val="006F222F"/>
    <w:rsid w:val="006F2F09"/>
    <w:rsid w:val="006F4296"/>
    <w:rsid w:val="006F53FB"/>
    <w:rsid w:val="006F5D8A"/>
    <w:rsid w:val="006F6C01"/>
    <w:rsid w:val="006F7DC1"/>
    <w:rsid w:val="00700801"/>
    <w:rsid w:val="00700A24"/>
    <w:rsid w:val="0070269F"/>
    <w:rsid w:val="00702DBE"/>
    <w:rsid w:val="00705538"/>
    <w:rsid w:val="00705C57"/>
    <w:rsid w:val="007060E7"/>
    <w:rsid w:val="00706150"/>
    <w:rsid w:val="007063B4"/>
    <w:rsid w:val="0071009C"/>
    <w:rsid w:val="00710744"/>
    <w:rsid w:val="00710A2A"/>
    <w:rsid w:val="00710C2A"/>
    <w:rsid w:val="00711154"/>
    <w:rsid w:val="0071215B"/>
    <w:rsid w:val="007129CF"/>
    <w:rsid w:val="00712B1A"/>
    <w:rsid w:val="0071410D"/>
    <w:rsid w:val="0071446E"/>
    <w:rsid w:val="007151F1"/>
    <w:rsid w:val="00715C09"/>
    <w:rsid w:val="00716231"/>
    <w:rsid w:val="007166F9"/>
    <w:rsid w:val="00717BB4"/>
    <w:rsid w:val="00720571"/>
    <w:rsid w:val="00721D22"/>
    <w:rsid w:val="00724031"/>
    <w:rsid w:val="00724CC7"/>
    <w:rsid w:val="00726003"/>
    <w:rsid w:val="00726234"/>
    <w:rsid w:val="0072691C"/>
    <w:rsid w:val="00726B87"/>
    <w:rsid w:val="00727DEF"/>
    <w:rsid w:val="00730358"/>
    <w:rsid w:val="00730552"/>
    <w:rsid w:val="00730968"/>
    <w:rsid w:val="007318D4"/>
    <w:rsid w:val="00732916"/>
    <w:rsid w:val="00735D3E"/>
    <w:rsid w:val="007370D6"/>
    <w:rsid w:val="00740141"/>
    <w:rsid w:val="00740997"/>
    <w:rsid w:val="00742852"/>
    <w:rsid w:val="00742E91"/>
    <w:rsid w:val="007432CB"/>
    <w:rsid w:val="00743B5D"/>
    <w:rsid w:val="007458EC"/>
    <w:rsid w:val="00745E11"/>
    <w:rsid w:val="007464DC"/>
    <w:rsid w:val="00746AA6"/>
    <w:rsid w:val="00746EAB"/>
    <w:rsid w:val="00747493"/>
    <w:rsid w:val="007475C9"/>
    <w:rsid w:val="007509C5"/>
    <w:rsid w:val="00750C3E"/>
    <w:rsid w:val="007511A9"/>
    <w:rsid w:val="00752E9E"/>
    <w:rsid w:val="00753AB2"/>
    <w:rsid w:val="00754189"/>
    <w:rsid w:val="00755B90"/>
    <w:rsid w:val="00755C4F"/>
    <w:rsid w:val="00756367"/>
    <w:rsid w:val="00756A3E"/>
    <w:rsid w:val="007579F4"/>
    <w:rsid w:val="00757C76"/>
    <w:rsid w:val="00761D4D"/>
    <w:rsid w:val="00764288"/>
    <w:rsid w:val="00764F16"/>
    <w:rsid w:val="007654C1"/>
    <w:rsid w:val="00765C27"/>
    <w:rsid w:val="007664DA"/>
    <w:rsid w:val="00766B3D"/>
    <w:rsid w:val="0076784B"/>
    <w:rsid w:val="00767A51"/>
    <w:rsid w:val="007727DE"/>
    <w:rsid w:val="00773218"/>
    <w:rsid w:val="007737C4"/>
    <w:rsid w:val="007740EA"/>
    <w:rsid w:val="00777563"/>
    <w:rsid w:val="0077767C"/>
    <w:rsid w:val="00777FFB"/>
    <w:rsid w:val="007837E3"/>
    <w:rsid w:val="00786222"/>
    <w:rsid w:val="007867CA"/>
    <w:rsid w:val="00787A92"/>
    <w:rsid w:val="00790BAD"/>
    <w:rsid w:val="007942A0"/>
    <w:rsid w:val="00794B5A"/>
    <w:rsid w:val="00795177"/>
    <w:rsid w:val="007955CC"/>
    <w:rsid w:val="00795690"/>
    <w:rsid w:val="0079667A"/>
    <w:rsid w:val="007A0636"/>
    <w:rsid w:val="007A07D5"/>
    <w:rsid w:val="007A0B8F"/>
    <w:rsid w:val="007A0C16"/>
    <w:rsid w:val="007A14E8"/>
    <w:rsid w:val="007A154F"/>
    <w:rsid w:val="007A1696"/>
    <w:rsid w:val="007A2676"/>
    <w:rsid w:val="007A37F9"/>
    <w:rsid w:val="007A3C81"/>
    <w:rsid w:val="007A48A7"/>
    <w:rsid w:val="007A4999"/>
    <w:rsid w:val="007A5506"/>
    <w:rsid w:val="007A751E"/>
    <w:rsid w:val="007A7FD1"/>
    <w:rsid w:val="007B07C4"/>
    <w:rsid w:val="007B1836"/>
    <w:rsid w:val="007B2845"/>
    <w:rsid w:val="007B2A66"/>
    <w:rsid w:val="007B2BDC"/>
    <w:rsid w:val="007B32CD"/>
    <w:rsid w:val="007B32D6"/>
    <w:rsid w:val="007B4AA3"/>
    <w:rsid w:val="007B6807"/>
    <w:rsid w:val="007B6CE6"/>
    <w:rsid w:val="007C0834"/>
    <w:rsid w:val="007C0D78"/>
    <w:rsid w:val="007C14C2"/>
    <w:rsid w:val="007C1539"/>
    <w:rsid w:val="007C1E04"/>
    <w:rsid w:val="007C2643"/>
    <w:rsid w:val="007C2C86"/>
    <w:rsid w:val="007C302C"/>
    <w:rsid w:val="007C42AE"/>
    <w:rsid w:val="007C4D04"/>
    <w:rsid w:val="007C6485"/>
    <w:rsid w:val="007C76FB"/>
    <w:rsid w:val="007D14BE"/>
    <w:rsid w:val="007D1931"/>
    <w:rsid w:val="007D203C"/>
    <w:rsid w:val="007D26FD"/>
    <w:rsid w:val="007D2E0C"/>
    <w:rsid w:val="007D405B"/>
    <w:rsid w:val="007D4EE8"/>
    <w:rsid w:val="007D602C"/>
    <w:rsid w:val="007D66A0"/>
    <w:rsid w:val="007D7988"/>
    <w:rsid w:val="007E0609"/>
    <w:rsid w:val="007E0D3D"/>
    <w:rsid w:val="007E388A"/>
    <w:rsid w:val="007E47CC"/>
    <w:rsid w:val="007E5DA7"/>
    <w:rsid w:val="007E5ECB"/>
    <w:rsid w:val="007E7902"/>
    <w:rsid w:val="007F06C4"/>
    <w:rsid w:val="007F1A0C"/>
    <w:rsid w:val="007F26E1"/>
    <w:rsid w:val="007F2DA3"/>
    <w:rsid w:val="007F3064"/>
    <w:rsid w:val="007F3851"/>
    <w:rsid w:val="007F3E94"/>
    <w:rsid w:val="007F4973"/>
    <w:rsid w:val="007F5D45"/>
    <w:rsid w:val="007F71AB"/>
    <w:rsid w:val="008008B2"/>
    <w:rsid w:val="00800917"/>
    <w:rsid w:val="00801D90"/>
    <w:rsid w:val="00803E9A"/>
    <w:rsid w:val="00804065"/>
    <w:rsid w:val="008043FA"/>
    <w:rsid w:val="00804A03"/>
    <w:rsid w:val="00805B9D"/>
    <w:rsid w:val="00807D71"/>
    <w:rsid w:val="00811ADD"/>
    <w:rsid w:val="0081290C"/>
    <w:rsid w:val="008136F5"/>
    <w:rsid w:val="00814271"/>
    <w:rsid w:val="00814A7F"/>
    <w:rsid w:val="008163D3"/>
    <w:rsid w:val="00817A74"/>
    <w:rsid w:val="00820FFB"/>
    <w:rsid w:val="0082136B"/>
    <w:rsid w:val="0082226F"/>
    <w:rsid w:val="008224FD"/>
    <w:rsid w:val="00822878"/>
    <w:rsid w:val="00824024"/>
    <w:rsid w:val="0082466B"/>
    <w:rsid w:val="00824773"/>
    <w:rsid w:val="00824806"/>
    <w:rsid w:val="00824BAB"/>
    <w:rsid w:val="00826340"/>
    <w:rsid w:val="00826C32"/>
    <w:rsid w:val="008273FE"/>
    <w:rsid w:val="0082760B"/>
    <w:rsid w:val="008305AF"/>
    <w:rsid w:val="008305DD"/>
    <w:rsid w:val="008308D5"/>
    <w:rsid w:val="0083193E"/>
    <w:rsid w:val="00831BBF"/>
    <w:rsid w:val="0083540D"/>
    <w:rsid w:val="00835532"/>
    <w:rsid w:val="00835A45"/>
    <w:rsid w:val="00835CCC"/>
    <w:rsid w:val="0083699E"/>
    <w:rsid w:val="00836EB6"/>
    <w:rsid w:val="008373C2"/>
    <w:rsid w:val="00840194"/>
    <w:rsid w:val="008405CE"/>
    <w:rsid w:val="00840CB7"/>
    <w:rsid w:val="00841003"/>
    <w:rsid w:val="00842862"/>
    <w:rsid w:val="0084300E"/>
    <w:rsid w:val="008433B1"/>
    <w:rsid w:val="00844893"/>
    <w:rsid w:val="00844A48"/>
    <w:rsid w:val="008458EA"/>
    <w:rsid w:val="008463DF"/>
    <w:rsid w:val="00847E63"/>
    <w:rsid w:val="0085045B"/>
    <w:rsid w:val="0085093D"/>
    <w:rsid w:val="00850988"/>
    <w:rsid w:val="00851528"/>
    <w:rsid w:val="00851DD5"/>
    <w:rsid w:val="00852CB3"/>
    <w:rsid w:val="00852CEC"/>
    <w:rsid w:val="00854A58"/>
    <w:rsid w:val="00854F8B"/>
    <w:rsid w:val="0085686C"/>
    <w:rsid w:val="00857B03"/>
    <w:rsid w:val="00860B8D"/>
    <w:rsid w:val="00860D7D"/>
    <w:rsid w:val="0086205D"/>
    <w:rsid w:val="008649CC"/>
    <w:rsid w:val="00864C34"/>
    <w:rsid w:val="0086537E"/>
    <w:rsid w:val="00870156"/>
    <w:rsid w:val="008710C1"/>
    <w:rsid w:val="0087134E"/>
    <w:rsid w:val="00871D90"/>
    <w:rsid w:val="008725FB"/>
    <w:rsid w:val="008730CF"/>
    <w:rsid w:val="00873C29"/>
    <w:rsid w:val="0087441E"/>
    <w:rsid w:val="00874CC0"/>
    <w:rsid w:val="00875321"/>
    <w:rsid w:val="00875CF1"/>
    <w:rsid w:val="00875ECC"/>
    <w:rsid w:val="00876212"/>
    <w:rsid w:val="00877428"/>
    <w:rsid w:val="008777FC"/>
    <w:rsid w:val="0088049E"/>
    <w:rsid w:val="00881533"/>
    <w:rsid w:val="00881C12"/>
    <w:rsid w:val="008824D7"/>
    <w:rsid w:val="00882B3D"/>
    <w:rsid w:val="00883119"/>
    <w:rsid w:val="00883FBB"/>
    <w:rsid w:val="0088423C"/>
    <w:rsid w:val="008858CB"/>
    <w:rsid w:val="00886111"/>
    <w:rsid w:val="00886494"/>
    <w:rsid w:val="00886B86"/>
    <w:rsid w:val="0088729D"/>
    <w:rsid w:val="008878C3"/>
    <w:rsid w:val="00887E11"/>
    <w:rsid w:val="00890793"/>
    <w:rsid w:val="0089086C"/>
    <w:rsid w:val="00892F4C"/>
    <w:rsid w:val="00893AAB"/>
    <w:rsid w:val="00893AC7"/>
    <w:rsid w:val="00894287"/>
    <w:rsid w:val="0089452A"/>
    <w:rsid w:val="0089490C"/>
    <w:rsid w:val="00894BFD"/>
    <w:rsid w:val="00894C1F"/>
    <w:rsid w:val="00894E7B"/>
    <w:rsid w:val="00894ECD"/>
    <w:rsid w:val="00895053"/>
    <w:rsid w:val="00895093"/>
    <w:rsid w:val="008959F4"/>
    <w:rsid w:val="008960A6"/>
    <w:rsid w:val="00896AA8"/>
    <w:rsid w:val="008A0EB1"/>
    <w:rsid w:val="008A4347"/>
    <w:rsid w:val="008A4769"/>
    <w:rsid w:val="008A5B33"/>
    <w:rsid w:val="008A5DAC"/>
    <w:rsid w:val="008A61F0"/>
    <w:rsid w:val="008A6551"/>
    <w:rsid w:val="008A7177"/>
    <w:rsid w:val="008B034B"/>
    <w:rsid w:val="008B0565"/>
    <w:rsid w:val="008B172F"/>
    <w:rsid w:val="008B173E"/>
    <w:rsid w:val="008B197E"/>
    <w:rsid w:val="008B29C1"/>
    <w:rsid w:val="008B3184"/>
    <w:rsid w:val="008B3312"/>
    <w:rsid w:val="008B363A"/>
    <w:rsid w:val="008B37F0"/>
    <w:rsid w:val="008B428B"/>
    <w:rsid w:val="008B44E3"/>
    <w:rsid w:val="008B4979"/>
    <w:rsid w:val="008B4E4D"/>
    <w:rsid w:val="008B54AE"/>
    <w:rsid w:val="008C19C4"/>
    <w:rsid w:val="008C1FA9"/>
    <w:rsid w:val="008C2737"/>
    <w:rsid w:val="008C3A44"/>
    <w:rsid w:val="008C46C8"/>
    <w:rsid w:val="008C4A0F"/>
    <w:rsid w:val="008C5B4C"/>
    <w:rsid w:val="008C5E72"/>
    <w:rsid w:val="008D041A"/>
    <w:rsid w:val="008D0508"/>
    <w:rsid w:val="008D1A05"/>
    <w:rsid w:val="008D1B0A"/>
    <w:rsid w:val="008D23AD"/>
    <w:rsid w:val="008D33F1"/>
    <w:rsid w:val="008D44B5"/>
    <w:rsid w:val="008D4855"/>
    <w:rsid w:val="008D4B59"/>
    <w:rsid w:val="008D5C8A"/>
    <w:rsid w:val="008E03BD"/>
    <w:rsid w:val="008E0522"/>
    <w:rsid w:val="008E0AE5"/>
    <w:rsid w:val="008E11D2"/>
    <w:rsid w:val="008E1320"/>
    <w:rsid w:val="008E1575"/>
    <w:rsid w:val="008E33BA"/>
    <w:rsid w:val="008E33E1"/>
    <w:rsid w:val="008E59A1"/>
    <w:rsid w:val="008E6865"/>
    <w:rsid w:val="008E69A2"/>
    <w:rsid w:val="008F17E5"/>
    <w:rsid w:val="008F37A3"/>
    <w:rsid w:val="008F4FFE"/>
    <w:rsid w:val="008F506D"/>
    <w:rsid w:val="008F592E"/>
    <w:rsid w:val="008F6178"/>
    <w:rsid w:val="008F625F"/>
    <w:rsid w:val="008F68EB"/>
    <w:rsid w:val="008F69BD"/>
    <w:rsid w:val="00900A57"/>
    <w:rsid w:val="00900DFB"/>
    <w:rsid w:val="00901080"/>
    <w:rsid w:val="009020CE"/>
    <w:rsid w:val="009024AF"/>
    <w:rsid w:val="00904B18"/>
    <w:rsid w:val="00904C65"/>
    <w:rsid w:val="00906B06"/>
    <w:rsid w:val="0091189B"/>
    <w:rsid w:val="00912FF9"/>
    <w:rsid w:val="0091330B"/>
    <w:rsid w:val="009136FA"/>
    <w:rsid w:val="00914476"/>
    <w:rsid w:val="009150B1"/>
    <w:rsid w:val="009151BF"/>
    <w:rsid w:val="009155B0"/>
    <w:rsid w:val="00915826"/>
    <w:rsid w:val="00915B3D"/>
    <w:rsid w:val="00916B60"/>
    <w:rsid w:val="00917882"/>
    <w:rsid w:val="00920806"/>
    <w:rsid w:val="00920E89"/>
    <w:rsid w:val="00920F59"/>
    <w:rsid w:val="0092271B"/>
    <w:rsid w:val="009237B5"/>
    <w:rsid w:val="009242DE"/>
    <w:rsid w:val="009243E0"/>
    <w:rsid w:val="00925134"/>
    <w:rsid w:val="00925B99"/>
    <w:rsid w:val="0092624B"/>
    <w:rsid w:val="009267E5"/>
    <w:rsid w:val="00926C51"/>
    <w:rsid w:val="009276BB"/>
    <w:rsid w:val="00930015"/>
    <w:rsid w:val="00930DCD"/>
    <w:rsid w:val="009322C8"/>
    <w:rsid w:val="00932613"/>
    <w:rsid w:val="009329F1"/>
    <w:rsid w:val="0093342A"/>
    <w:rsid w:val="00933EDA"/>
    <w:rsid w:val="0093434E"/>
    <w:rsid w:val="00935787"/>
    <w:rsid w:val="009366CA"/>
    <w:rsid w:val="00936CED"/>
    <w:rsid w:val="00937978"/>
    <w:rsid w:val="00937B95"/>
    <w:rsid w:val="0094019A"/>
    <w:rsid w:val="0094024B"/>
    <w:rsid w:val="009424AA"/>
    <w:rsid w:val="00943873"/>
    <w:rsid w:val="00945743"/>
    <w:rsid w:val="009461A6"/>
    <w:rsid w:val="009478ED"/>
    <w:rsid w:val="00947AFF"/>
    <w:rsid w:val="009513C6"/>
    <w:rsid w:val="00951A33"/>
    <w:rsid w:val="009530D0"/>
    <w:rsid w:val="00953A0C"/>
    <w:rsid w:val="00954F16"/>
    <w:rsid w:val="009554F5"/>
    <w:rsid w:val="00955505"/>
    <w:rsid w:val="00955C48"/>
    <w:rsid w:val="009560C0"/>
    <w:rsid w:val="009563C7"/>
    <w:rsid w:val="00956575"/>
    <w:rsid w:val="00956C97"/>
    <w:rsid w:val="0095765B"/>
    <w:rsid w:val="00957975"/>
    <w:rsid w:val="009614E1"/>
    <w:rsid w:val="0096163B"/>
    <w:rsid w:val="0096221B"/>
    <w:rsid w:val="00962630"/>
    <w:rsid w:val="009643C5"/>
    <w:rsid w:val="0096465B"/>
    <w:rsid w:val="009649C0"/>
    <w:rsid w:val="00964A81"/>
    <w:rsid w:val="009654B3"/>
    <w:rsid w:val="0096640D"/>
    <w:rsid w:val="00966F16"/>
    <w:rsid w:val="00967FAF"/>
    <w:rsid w:val="00970E84"/>
    <w:rsid w:val="0097141C"/>
    <w:rsid w:val="00972A5B"/>
    <w:rsid w:val="0097319B"/>
    <w:rsid w:val="00973953"/>
    <w:rsid w:val="00974E9E"/>
    <w:rsid w:val="009751A1"/>
    <w:rsid w:val="00975C7F"/>
    <w:rsid w:val="00976A5E"/>
    <w:rsid w:val="00980057"/>
    <w:rsid w:val="00980BCD"/>
    <w:rsid w:val="00981498"/>
    <w:rsid w:val="009817C9"/>
    <w:rsid w:val="0098264A"/>
    <w:rsid w:val="009832A1"/>
    <w:rsid w:val="00984354"/>
    <w:rsid w:val="00984CC3"/>
    <w:rsid w:val="00985637"/>
    <w:rsid w:val="00986852"/>
    <w:rsid w:val="00987C86"/>
    <w:rsid w:val="00987D6A"/>
    <w:rsid w:val="00987E14"/>
    <w:rsid w:val="00990A70"/>
    <w:rsid w:val="00991101"/>
    <w:rsid w:val="00991857"/>
    <w:rsid w:val="00991993"/>
    <w:rsid w:val="00992162"/>
    <w:rsid w:val="009944FD"/>
    <w:rsid w:val="009946C9"/>
    <w:rsid w:val="00994B2D"/>
    <w:rsid w:val="009961D4"/>
    <w:rsid w:val="00996AFD"/>
    <w:rsid w:val="0099718A"/>
    <w:rsid w:val="009A04AE"/>
    <w:rsid w:val="009A1EA0"/>
    <w:rsid w:val="009A2E5F"/>
    <w:rsid w:val="009A30AF"/>
    <w:rsid w:val="009A30B6"/>
    <w:rsid w:val="009A3514"/>
    <w:rsid w:val="009A3B77"/>
    <w:rsid w:val="009A4244"/>
    <w:rsid w:val="009A4BBC"/>
    <w:rsid w:val="009A5D89"/>
    <w:rsid w:val="009A6210"/>
    <w:rsid w:val="009A6402"/>
    <w:rsid w:val="009A6AB4"/>
    <w:rsid w:val="009A6AB7"/>
    <w:rsid w:val="009B00E0"/>
    <w:rsid w:val="009B2234"/>
    <w:rsid w:val="009B420B"/>
    <w:rsid w:val="009B444B"/>
    <w:rsid w:val="009B4BFD"/>
    <w:rsid w:val="009B4DE9"/>
    <w:rsid w:val="009B6E5C"/>
    <w:rsid w:val="009B6FB8"/>
    <w:rsid w:val="009B78EA"/>
    <w:rsid w:val="009B79E6"/>
    <w:rsid w:val="009C03BE"/>
    <w:rsid w:val="009C07A3"/>
    <w:rsid w:val="009C11DE"/>
    <w:rsid w:val="009C1665"/>
    <w:rsid w:val="009C3A0C"/>
    <w:rsid w:val="009C50E8"/>
    <w:rsid w:val="009C56A5"/>
    <w:rsid w:val="009C5C1D"/>
    <w:rsid w:val="009C5FE8"/>
    <w:rsid w:val="009C65D4"/>
    <w:rsid w:val="009C7111"/>
    <w:rsid w:val="009C7FD3"/>
    <w:rsid w:val="009D2458"/>
    <w:rsid w:val="009D25A1"/>
    <w:rsid w:val="009D397A"/>
    <w:rsid w:val="009D3AF4"/>
    <w:rsid w:val="009D5661"/>
    <w:rsid w:val="009D59FD"/>
    <w:rsid w:val="009D5DE9"/>
    <w:rsid w:val="009D5E7C"/>
    <w:rsid w:val="009D605B"/>
    <w:rsid w:val="009D78DA"/>
    <w:rsid w:val="009D7BCD"/>
    <w:rsid w:val="009E00C2"/>
    <w:rsid w:val="009E11E0"/>
    <w:rsid w:val="009E2FC2"/>
    <w:rsid w:val="009E44B3"/>
    <w:rsid w:val="009E4525"/>
    <w:rsid w:val="009E4EA6"/>
    <w:rsid w:val="009E52D7"/>
    <w:rsid w:val="009E532C"/>
    <w:rsid w:val="009E5623"/>
    <w:rsid w:val="009E6D9C"/>
    <w:rsid w:val="009E7692"/>
    <w:rsid w:val="009E79D7"/>
    <w:rsid w:val="009E7AB1"/>
    <w:rsid w:val="009F0C8D"/>
    <w:rsid w:val="009F0EB7"/>
    <w:rsid w:val="009F1A4C"/>
    <w:rsid w:val="009F1ADC"/>
    <w:rsid w:val="009F3209"/>
    <w:rsid w:val="009F4601"/>
    <w:rsid w:val="009F476B"/>
    <w:rsid w:val="009F5950"/>
    <w:rsid w:val="009F6449"/>
    <w:rsid w:val="009F6766"/>
    <w:rsid w:val="009F6D0D"/>
    <w:rsid w:val="00A0234E"/>
    <w:rsid w:val="00A0454E"/>
    <w:rsid w:val="00A062B8"/>
    <w:rsid w:val="00A06650"/>
    <w:rsid w:val="00A07184"/>
    <w:rsid w:val="00A101AC"/>
    <w:rsid w:val="00A1032F"/>
    <w:rsid w:val="00A106AB"/>
    <w:rsid w:val="00A10A83"/>
    <w:rsid w:val="00A10EDB"/>
    <w:rsid w:val="00A11750"/>
    <w:rsid w:val="00A1177E"/>
    <w:rsid w:val="00A11836"/>
    <w:rsid w:val="00A12516"/>
    <w:rsid w:val="00A12EBD"/>
    <w:rsid w:val="00A1393F"/>
    <w:rsid w:val="00A1429D"/>
    <w:rsid w:val="00A14989"/>
    <w:rsid w:val="00A14FFC"/>
    <w:rsid w:val="00A1519F"/>
    <w:rsid w:val="00A1653A"/>
    <w:rsid w:val="00A1685D"/>
    <w:rsid w:val="00A20F52"/>
    <w:rsid w:val="00A212FD"/>
    <w:rsid w:val="00A225CF"/>
    <w:rsid w:val="00A267A6"/>
    <w:rsid w:val="00A26A11"/>
    <w:rsid w:val="00A278AD"/>
    <w:rsid w:val="00A30280"/>
    <w:rsid w:val="00A32127"/>
    <w:rsid w:val="00A3231D"/>
    <w:rsid w:val="00A3234D"/>
    <w:rsid w:val="00A3290D"/>
    <w:rsid w:val="00A33AFE"/>
    <w:rsid w:val="00A33C80"/>
    <w:rsid w:val="00A34131"/>
    <w:rsid w:val="00A35208"/>
    <w:rsid w:val="00A35A0A"/>
    <w:rsid w:val="00A35CD2"/>
    <w:rsid w:val="00A363CD"/>
    <w:rsid w:val="00A371A5"/>
    <w:rsid w:val="00A37725"/>
    <w:rsid w:val="00A37B27"/>
    <w:rsid w:val="00A4081B"/>
    <w:rsid w:val="00A409EE"/>
    <w:rsid w:val="00A40CC7"/>
    <w:rsid w:val="00A412AB"/>
    <w:rsid w:val="00A42C75"/>
    <w:rsid w:val="00A43B19"/>
    <w:rsid w:val="00A450DA"/>
    <w:rsid w:val="00A4696F"/>
    <w:rsid w:val="00A5107E"/>
    <w:rsid w:val="00A511C1"/>
    <w:rsid w:val="00A51253"/>
    <w:rsid w:val="00A51988"/>
    <w:rsid w:val="00A519CC"/>
    <w:rsid w:val="00A51B29"/>
    <w:rsid w:val="00A51C3C"/>
    <w:rsid w:val="00A55E2F"/>
    <w:rsid w:val="00A565AE"/>
    <w:rsid w:val="00A56720"/>
    <w:rsid w:val="00A60BB5"/>
    <w:rsid w:val="00A61326"/>
    <w:rsid w:val="00A62EA0"/>
    <w:rsid w:val="00A6313C"/>
    <w:rsid w:val="00A64A55"/>
    <w:rsid w:val="00A64DDA"/>
    <w:rsid w:val="00A65010"/>
    <w:rsid w:val="00A65031"/>
    <w:rsid w:val="00A65B55"/>
    <w:rsid w:val="00A66BF3"/>
    <w:rsid w:val="00A6779A"/>
    <w:rsid w:val="00A679BF"/>
    <w:rsid w:val="00A7067F"/>
    <w:rsid w:val="00A739FC"/>
    <w:rsid w:val="00A73A5D"/>
    <w:rsid w:val="00A73D0C"/>
    <w:rsid w:val="00A74411"/>
    <w:rsid w:val="00A74589"/>
    <w:rsid w:val="00A75466"/>
    <w:rsid w:val="00A75BF8"/>
    <w:rsid w:val="00A75C20"/>
    <w:rsid w:val="00A76733"/>
    <w:rsid w:val="00A769FB"/>
    <w:rsid w:val="00A76E42"/>
    <w:rsid w:val="00A76F8D"/>
    <w:rsid w:val="00A775FC"/>
    <w:rsid w:val="00A7792A"/>
    <w:rsid w:val="00A77F9A"/>
    <w:rsid w:val="00A806AA"/>
    <w:rsid w:val="00A81528"/>
    <w:rsid w:val="00A81743"/>
    <w:rsid w:val="00A81F2C"/>
    <w:rsid w:val="00A82067"/>
    <w:rsid w:val="00A820CB"/>
    <w:rsid w:val="00A82A83"/>
    <w:rsid w:val="00A83477"/>
    <w:rsid w:val="00A839E6"/>
    <w:rsid w:val="00A8472C"/>
    <w:rsid w:val="00A8542C"/>
    <w:rsid w:val="00A877A7"/>
    <w:rsid w:val="00A8798A"/>
    <w:rsid w:val="00A87EC1"/>
    <w:rsid w:val="00A90CB5"/>
    <w:rsid w:val="00A912EB"/>
    <w:rsid w:val="00A922B8"/>
    <w:rsid w:val="00A927D3"/>
    <w:rsid w:val="00A92B8A"/>
    <w:rsid w:val="00A9314D"/>
    <w:rsid w:val="00A9503F"/>
    <w:rsid w:val="00A95D0A"/>
    <w:rsid w:val="00A96A8C"/>
    <w:rsid w:val="00A970C5"/>
    <w:rsid w:val="00A97365"/>
    <w:rsid w:val="00AA00EA"/>
    <w:rsid w:val="00AA128A"/>
    <w:rsid w:val="00AA15D5"/>
    <w:rsid w:val="00AA16F8"/>
    <w:rsid w:val="00AA23B1"/>
    <w:rsid w:val="00AA2ABA"/>
    <w:rsid w:val="00AA32CE"/>
    <w:rsid w:val="00AA564C"/>
    <w:rsid w:val="00AA616F"/>
    <w:rsid w:val="00AB0CBF"/>
    <w:rsid w:val="00AB1BAE"/>
    <w:rsid w:val="00AB1CEA"/>
    <w:rsid w:val="00AB1F9A"/>
    <w:rsid w:val="00AB2036"/>
    <w:rsid w:val="00AB3C56"/>
    <w:rsid w:val="00AB4736"/>
    <w:rsid w:val="00AB4830"/>
    <w:rsid w:val="00AB4C3D"/>
    <w:rsid w:val="00AB51B3"/>
    <w:rsid w:val="00AB56CB"/>
    <w:rsid w:val="00AB6DC9"/>
    <w:rsid w:val="00AC077F"/>
    <w:rsid w:val="00AC0DD7"/>
    <w:rsid w:val="00AC107A"/>
    <w:rsid w:val="00AC131D"/>
    <w:rsid w:val="00AC3622"/>
    <w:rsid w:val="00AC38A2"/>
    <w:rsid w:val="00AC3A29"/>
    <w:rsid w:val="00AC419A"/>
    <w:rsid w:val="00AC4641"/>
    <w:rsid w:val="00AC5412"/>
    <w:rsid w:val="00AC6BB5"/>
    <w:rsid w:val="00AC6D45"/>
    <w:rsid w:val="00AC715B"/>
    <w:rsid w:val="00AC7D19"/>
    <w:rsid w:val="00AD028A"/>
    <w:rsid w:val="00AD07D0"/>
    <w:rsid w:val="00AD0B98"/>
    <w:rsid w:val="00AD109C"/>
    <w:rsid w:val="00AD1BC4"/>
    <w:rsid w:val="00AD298C"/>
    <w:rsid w:val="00AD2B47"/>
    <w:rsid w:val="00AD3026"/>
    <w:rsid w:val="00AD49B0"/>
    <w:rsid w:val="00AD523C"/>
    <w:rsid w:val="00AD5C68"/>
    <w:rsid w:val="00AD773C"/>
    <w:rsid w:val="00AE06C5"/>
    <w:rsid w:val="00AE1D75"/>
    <w:rsid w:val="00AE2591"/>
    <w:rsid w:val="00AE25B8"/>
    <w:rsid w:val="00AE2997"/>
    <w:rsid w:val="00AE2B04"/>
    <w:rsid w:val="00AE2C5B"/>
    <w:rsid w:val="00AE4AB4"/>
    <w:rsid w:val="00AE517F"/>
    <w:rsid w:val="00AE54C6"/>
    <w:rsid w:val="00AE5885"/>
    <w:rsid w:val="00AE6AB6"/>
    <w:rsid w:val="00AE6C2D"/>
    <w:rsid w:val="00AE74E6"/>
    <w:rsid w:val="00AE78CA"/>
    <w:rsid w:val="00AE79EF"/>
    <w:rsid w:val="00AF0577"/>
    <w:rsid w:val="00AF0A11"/>
    <w:rsid w:val="00AF1749"/>
    <w:rsid w:val="00AF1872"/>
    <w:rsid w:val="00AF1F5B"/>
    <w:rsid w:val="00AF2A2E"/>
    <w:rsid w:val="00AF2D4A"/>
    <w:rsid w:val="00AF64C1"/>
    <w:rsid w:val="00AF6886"/>
    <w:rsid w:val="00AF703F"/>
    <w:rsid w:val="00AF7076"/>
    <w:rsid w:val="00AF7336"/>
    <w:rsid w:val="00AF767A"/>
    <w:rsid w:val="00B002D2"/>
    <w:rsid w:val="00B00A40"/>
    <w:rsid w:val="00B01776"/>
    <w:rsid w:val="00B01802"/>
    <w:rsid w:val="00B019C9"/>
    <w:rsid w:val="00B01E95"/>
    <w:rsid w:val="00B036A8"/>
    <w:rsid w:val="00B03EC0"/>
    <w:rsid w:val="00B04768"/>
    <w:rsid w:val="00B0477F"/>
    <w:rsid w:val="00B06170"/>
    <w:rsid w:val="00B06BA2"/>
    <w:rsid w:val="00B07DA4"/>
    <w:rsid w:val="00B103B4"/>
    <w:rsid w:val="00B11468"/>
    <w:rsid w:val="00B1240B"/>
    <w:rsid w:val="00B12A84"/>
    <w:rsid w:val="00B12AB1"/>
    <w:rsid w:val="00B13CA4"/>
    <w:rsid w:val="00B14F89"/>
    <w:rsid w:val="00B1502E"/>
    <w:rsid w:val="00B15C99"/>
    <w:rsid w:val="00B16E23"/>
    <w:rsid w:val="00B17B2F"/>
    <w:rsid w:val="00B211D8"/>
    <w:rsid w:val="00B21ABD"/>
    <w:rsid w:val="00B25611"/>
    <w:rsid w:val="00B257A1"/>
    <w:rsid w:val="00B2667E"/>
    <w:rsid w:val="00B26D34"/>
    <w:rsid w:val="00B27B7E"/>
    <w:rsid w:val="00B27EAF"/>
    <w:rsid w:val="00B306CB"/>
    <w:rsid w:val="00B30B85"/>
    <w:rsid w:val="00B30D5A"/>
    <w:rsid w:val="00B3166F"/>
    <w:rsid w:val="00B32EB5"/>
    <w:rsid w:val="00B3378B"/>
    <w:rsid w:val="00B33CE0"/>
    <w:rsid w:val="00B35049"/>
    <w:rsid w:val="00B35955"/>
    <w:rsid w:val="00B35B32"/>
    <w:rsid w:val="00B35DC7"/>
    <w:rsid w:val="00B35E0F"/>
    <w:rsid w:val="00B3654B"/>
    <w:rsid w:val="00B379CE"/>
    <w:rsid w:val="00B37CAD"/>
    <w:rsid w:val="00B4058C"/>
    <w:rsid w:val="00B4105A"/>
    <w:rsid w:val="00B412A5"/>
    <w:rsid w:val="00B41679"/>
    <w:rsid w:val="00B41712"/>
    <w:rsid w:val="00B449A7"/>
    <w:rsid w:val="00B45B6A"/>
    <w:rsid w:val="00B463FF"/>
    <w:rsid w:val="00B47F51"/>
    <w:rsid w:val="00B50129"/>
    <w:rsid w:val="00B504E0"/>
    <w:rsid w:val="00B50FC3"/>
    <w:rsid w:val="00B51522"/>
    <w:rsid w:val="00B52493"/>
    <w:rsid w:val="00B5329B"/>
    <w:rsid w:val="00B53431"/>
    <w:rsid w:val="00B55C20"/>
    <w:rsid w:val="00B561CC"/>
    <w:rsid w:val="00B5686C"/>
    <w:rsid w:val="00B56C49"/>
    <w:rsid w:val="00B5778C"/>
    <w:rsid w:val="00B621B7"/>
    <w:rsid w:val="00B6277D"/>
    <w:rsid w:val="00B62857"/>
    <w:rsid w:val="00B63AB2"/>
    <w:rsid w:val="00B63F65"/>
    <w:rsid w:val="00B64DB2"/>
    <w:rsid w:val="00B651C8"/>
    <w:rsid w:val="00B6626D"/>
    <w:rsid w:val="00B66794"/>
    <w:rsid w:val="00B66A7E"/>
    <w:rsid w:val="00B66C1A"/>
    <w:rsid w:val="00B6751E"/>
    <w:rsid w:val="00B70520"/>
    <w:rsid w:val="00B70CBE"/>
    <w:rsid w:val="00B70E06"/>
    <w:rsid w:val="00B74EBF"/>
    <w:rsid w:val="00B7696D"/>
    <w:rsid w:val="00B77760"/>
    <w:rsid w:val="00B8021D"/>
    <w:rsid w:val="00B82129"/>
    <w:rsid w:val="00B82CD1"/>
    <w:rsid w:val="00B8315B"/>
    <w:rsid w:val="00B8529D"/>
    <w:rsid w:val="00B8584F"/>
    <w:rsid w:val="00B86535"/>
    <w:rsid w:val="00B865B3"/>
    <w:rsid w:val="00B873DA"/>
    <w:rsid w:val="00B87875"/>
    <w:rsid w:val="00B90A9B"/>
    <w:rsid w:val="00B912C8"/>
    <w:rsid w:val="00B914AE"/>
    <w:rsid w:val="00B91ACA"/>
    <w:rsid w:val="00B93468"/>
    <w:rsid w:val="00B9376E"/>
    <w:rsid w:val="00B940A4"/>
    <w:rsid w:val="00B94229"/>
    <w:rsid w:val="00B95909"/>
    <w:rsid w:val="00B97483"/>
    <w:rsid w:val="00B977C8"/>
    <w:rsid w:val="00BA08B2"/>
    <w:rsid w:val="00BA0A82"/>
    <w:rsid w:val="00BA109E"/>
    <w:rsid w:val="00BA17B1"/>
    <w:rsid w:val="00BA1AD8"/>
    <w:rsid w:val="00BA1BDA"/>
    <w:rsid w:val="00BA1F1B"/>
    <w:rsid w:val="00BA26F8"/>
    <w:rsid w:val="00BA29A1"/>
    <w:rsid w:val="00BA2F17"/>
    <w:rsid w:val="00BA44B6"/>
    <w:rsid w:val="00BA4DD6"/>
    <w:rsid w:val="00BA55A4"/>
    <w:rsid w:val="00BA7F92"/>
    <w:rsid w:val="00BA7FAB"/>
    <w:rsid w:val="00BB01D1"/>
    <w:rsid w:val="00BB046D"/>
    <w:rsid w:val="00BB0D90"/>
    <w:rsid w:val="00BB1587"/>
    <w:rsid w:val="00BB31BD"/>
    <w:rsid w:val="00BB3ABB"/>
    <w:rsid w:val="00BB3BBE"/>
    <w:rsid w:val="00BB4DAB"/>
    <w:rsid w:val="00BB6A7F"/>
    <w:rsid w:val="00BB7353"/>
    <w:rsid w:val="00BC11EF"/>
    <w:rsid w:val="00BC3345"/>
    <w:rsid w:val="00BC5251"/>
    <w:rsid w:val="00BC55FD"/>
    <w:rsid w:val="00BC6BC0"/>
    <w:rsid w:val="00BC7C0B"/>
    <w:rsid w:val="00BD09D2"/>
    <w:rsid w:val="00BD0E63"/>
    <w:rsid w:val="00BD1853"/>
    <w:rsid w:val="00BD2B1A"/>
    <w:rsid w:val="00BD2C76"/>
    <w:rsid w:val="00BD2CD4"/>
    <w:rsid w:val="00BD3D15"/>
    <w:rsid w:val="00BD5873"/>
    <w:rsid w:val="00BD5EA5"/>
    <w:rsid w:val="00BD759E"/>
    <w:rsid w:val="00BE1368"/>
    <w:rsid w:val="00BE1F15"/>
    <w:rsid w:val="00BE2D39"/>
    <w:rsid w:val="00BE345D"/>
    <w:rsid w:val="00BE38B1"/>
    <w:rsid w:val="00BE41C2"/>
    <w:rsid w:val="00BE44D8"/>
    <w:rsid w:val="00BE44F1"/>
    <w:rsid w:val="00BE4541"/>
    <w:rsid w:val="00BE46E5"/>
    <w:rsid w:val="00BE4E3C"/>
    <w:rsid w:val="00BE57EE"/>
    <w:rsid w:val="00BE6F11"/>
    <w:rsid w:val="00BE7D2C"/>
    <w:rsid w:val="00BF0095"/>
    <w:rsid w:val="00BF043A"/>
    <w:rsid w:val="00BF1498"/>
    <w:rsid w:val="00BF2CC0"/>
    <w:rsid w:val="00BF2DB0"/>
    <w:rsid w:val="00BF3376"/>
    <w:rsid w:val="00BF3530"/>
    <w:rsid w:val="00BF6D1F"/>
    <w:rsid w:val="00C000E6"/>
    <w:rsid w:val="00C017EF"/>
    <w:rsid w:val="00C01FC9"/>
    <w:rsid w:val="00C032F5"/>
    <w:rsid w:val="00C065BC"/>
    <w:rsid w:val="00C07CA5"/>
    <w:rsid w:val="00C10331"/>
    <w:rsid w:val="00C1100D"/>
    <w:rsid w:val="00C121B0"/>
    <w:rsid w:val="00C13A83"/>
    <w:rsid w:val="00C149B6"/>
    <w:rsid w:val="00C16649"/>
    <w:rsid w:val="00C17B83"/>
    <w:rsid w:val="00C2065B"/>
    <w:rsid w:val="00C20CC5"/>
    <w:rsid w:val="00C216ED"/>
    <w:rsid w:val="00C22014"/>
    <w:rsid w:val="00C22657"/>
    <w:rsid w:val="00C230C0"/>
    <w:rsid w:val="00C2325C"/>
    <w:rsid w:val="00C23F05"/>
    <w:rsid w:val="00C24580"/>
    <w:rsid w:val="00C24842"/>
    <w:rsid w:val="00C24C00"/>
    <w:rsid w:val="00C273FA"/>
    <w:rsid w:val="00C278F6"/>
    <w:rsid w:val="00C27FDE"/>
    <w:rsid w:val="00C315A8"/>
    <w:rsid w:val="00C3275B"/>
    <w:rsid w:val="00C335C3"/>
    <w:rsid w:val="00C339AF"/>
    <w:rsid w:val="00C36081"/>
    <w:rsid w:val="00C36192"/>
    <w:rsid w:val="00C368A4"/>
    <w:rsid w:val="00C36C58"/>
    <w:rsid w:val="00C410A7"/>
    <w:rsid w:val="00C413A5"/>
    <w:rsid w:val="00C41B11"/>
    <w:rsid w:val="00C41BB9"/>
    <w:rsid w:val="00C42B68"/>
    <w:rsid w:val="00C443BF"/>
    <w:rsid w:val="00C457C8"/>
    <w:rsid w:val="00C45CDE"/>
    <w:rsid w:val="00C46A0F"/>
    <w:rsid w:val="00C47FC5"/>
    <w:rsid w:val="00C50A51"/>
    <w:rsid w:val="00C50F29"/>
    <w:rsid w:val="00C5352A"/>
    <w:rsid w:val="00C536F4"/>
    <w:rsid w:val="00C53A48"/>
    <w:rsid w:val="00C53C47"/>
    <w:rsid w:val="00C53FAB"/>
    <w:rsid w:val="00C53FEE"/>
    <w:rsid w:val="00C54C67"/>
    <w:rsid w:val="00C56962"/>
    <w:rsid w:val="00C56F8C"/>
    <w:rsid w:val="00C57134"/>
    <w:rsid w:val="00C602AC"/>
    <w:rsid w:val="00C60667"/>
    <w:rsid w:val="00C61FD5"/>
    <w:rsid w:val="00C641F2"/>
    <w:rsid w:val="00C6434F"/>
    <w:rsid w:val="00C644FD"/>
    <w:rsid w:val="00C6493B"/>
    <w:rsid w:val="00C64AA0"/>
    <w:rsid w:val="00C665F0"/>
    <w:rsid w:val="00C67B57"/>
    <w:rsid w:val="00C67ED2"/>
    <w:rsid w:val="00C71C58"/>
    <w:rsid w:val="00C71EAA"/>
    <w:rsid w:val="00C72453"/>
    <w:rsid w:val="00C74B37"/>
    <w:rsid w:val="00C7611E"/>
    <w:rsid w:val="00C773D6"/>
    <w:rsid w:val="00C77EE2"/>
    <w:rsid w:val="00C803E5"/>
    <w:rsid w:val="00C803EA"/>
    <w:rsid w:val="00C819D7"/>
    <w:rsid w:val="00C825F4"/>
    <w:rsid w:val="00C82D5D"/>
    <w:rsid w:val="00C83304"/>
    <w:rsid w:val="00C83708"/>
    <w:rsid w:val="00C83795"/>
    <w:rsid w:val="00C847E7"/>
    <w:rsid w:val="00C84D9F"/>
    <w:rsid w:val="00C856F6"/>
    <w:rsid w:val="00C85D7C"/>
    <w:rsid w:val="00C86294"/>
    <w:rsid w:val="00C87165"/>
    <w:rsid w:val="00C90010"/>
    <w:rsid w:val="00C9098D"/>
    <w:rsid w:val="00C911A5"/>
    <w:rsid w:val="00C914F7"/>
    <w:rsid w:val="00C91770"/>
    <w:rsid w:val="00C92B09"/>
    <w:rsid w:val="00C93480"/>
    <w:rsid w:val="00C9415D"/>
    <w:rsid w:val="00C95647"/>
    <w:rsid w:val="00CA0923"/>
    <w:rsid w:val="00CA0989"/>
    <w:rsid w:val="00CA1EBD"/>
    <w:rsid w:val="00CA2585"/>
    <w:rsid w:val="00CA279F"/>
    <w:rsid w:val="00CA4B1E"/>
    <w:rsid w:val="00CA4D24"/>
    <w:rsid w:val="00CA55E7"/>
    <w:rsid w:val="00CA7FC0"/>
    <w:rsid w:val="00CB09E3"/>
    <w:rsid w:val="00CB0E66"/>
    <w:rsid w:val="00CB13A4"/>
    <w:rsid w:val="00CB3808"/>
    <w:rsid w:val="00CB5813"/>
    <w:rsid w:val="00CB5F95"/>
    <w:rsid w:val="00CB6045"/>
    <w:rsid w:val="00CB62BC"/>
    <w:rsid w:val="00CB62D7"/>
    <w:rsid w:val="00CB662F"/>
    <w:rsid w:val="00CB6F7F"/>
    <w:rsid w:val="00CB7796"/>
    <w:rsid w:val="00CB7908"/>
    <w:rsid w:val="00CB7966"/>
    <w:rsid w:val="00CC084C"/>
    <w:rsid w:val="00CC08EE"/>
    <w:rsid w:val="00CC11B6"/>
    <w:rsid w:val="00CC1ED8"/>
    <w:rsid w:val="00CC23A4"/>
    <w:rsid w:val="00CC43C6"/>
    <w:rsid w:val="00CC4BEA"/>
    <w:rsid w:val="00CC4F04"/>
    <w:rsid w:val="00CC59B0"/>
    <w:rsid w:val="00CC5FAF"/>
    <w:rsid w:val="00CC6CE2"/>
    <w:rsid w:val="00CD05C2"/>
    <w:rsid w:val="00CD0E6A"/>
    <w:rsid w:val="00CD0F9A"/>
    <w:rsid w:val="00CD2562"/>
    <w:rsid w:val="00CD2D89"/>
    <w:rsid w:val="00CD3ADF"/>
    <w:rsid w:val="00CD3F31"/>
    <w:rsid w:val="00CD5474"/>
    <w:rsid w:val="00CD63C9"/>
    <w:rsid w:val="00CD64AB"/>
    <w:rsid w:val="00CD66A5"/>
    <w:rsid w:val="00CD6715"/>
    <w:rsid w:val="00CD6734"/>
    <w:rsid w:val="00CD756D"/>
    <w:rsid w:val="00CE08FE"/>
    <w:rsid w:val="00CE099A"/>
    <w:rsid w:val="00CE0E97"/>
    <w:rsid w:val="00CE22CF"/>
    <w:rsid w:val="00CE47CA"/>
    <w:rsid w:val="00CE5D77"/>
    <w:rsid w:val="00CE683C"/>
    <w:rsid w:val="00CE72E7"/>
    <w:rsid w:val="00CF1278"/>
    <w:rsid w:val="00CF1448"/>
    <w:rsid w:val="00CF1AAE"/>
    <w:rsid w:val="00CF2E14"/>
    <w:rsid w:val="00CF34D7"/>
    <w:rsid w:val="00CF363D"/>
    <w:rsid w:val="00CF3796"/>
    <w:rsid w:val="00CF4315"/>
    <w:rsid w:val="00CF6915"/>
    <w:rsid w:val="00CF6E88"/>
    <w:rsid w:val="00D00D55"/>
    <w:rsid w:val="00D01226"/>
    <w:rsid w:val="00D01C96"/>
    <w:rsid w:val="00D022DE"/>
    <w:rsid w:val="00D024B7"/>
    <w:rsid w:val="00D0482E"/>
    <w:rsid w:val="00D0497A"/>
    <w:rsid w:val="00D05BAF"/>
    <w:rsid w:val="00D0629E"/>
    <w:rsid w:val="00D070C3"/>
    <w:rsid w:val="00D075B3"/>
    <w:rsid w:val="00D07AD7"/>
    <w:rsid w:val="00D10B86"/>
    <w:rsid w:val="00D11257"/>
    <w:rsid w:val="00D1131E"/>
    <w:rsid w:val="00D123DD"/>
    <w:rsid w:val="00D13E4E"/>
    <w:rsid w:val="00D147C8"/>
    <w:rsid w:val="00D14A06"/>
    <w:rsid w:val="00D14AAC"/>
    <w:rsid w:val="00D14BE0"/>
    <w:rsid w:val="00D165E4"/>
    <w:rsid w:val="00D16C59"/>
    <w:rsid w:val="00D1738E"/>
    <w:rsid w:val="00D21B0D"/>
    <w:rsid w:val="00D21BBD"/>
    <w:rsid w:val="00D2244E"/>
    <w:rsid w:val="00D229C3"/>
    <w:rsid w:val="00D22E15"/>
    <w:rsid w:val="00D23BE4"/>
    <w:rsid w:val="00D23C01"/>
    <w:rsid w:val="00D23C05"/>
    <w:rsid w:val="00D23C06"/>
    <w:rsid w:val="00D24340"/>
    <w:rsid w:val="00D269FE"/>
    <w:rsid w:val="00D26C2E"/>
    <w:rsid w:val="00D2742B"/>
    <w:rsid w:val="00D30251"/>
    <w:rsid w:val="00D312F6"/>
    <w:rsid w:val="00D31BC4"/>
    <w:rsid w:val="00D32034"/>
    <w:rsid w:val="00D32268"/>
    <w:rsid w:val="00D32372"/>
    <w:rsid w:val="00D32E7F"/>
    <w:rsid w:val="00D35928"/>
    <w:rsid w:val="00D3779D"/>
    <w:rsid w:val="00D41E48"/>
    <w:rsid w:val="00D41F78"/>
    <w:rsid w:val="00D42E75"/>
    <w:rsid w:val="00D441EA"/>
    <w:rsid w:val="00D45A45"/>
    <w:rsid w:val="00D474AD"/>
    <w:rsid w:val="00D4755C"/>
    <w:rsid w:val="00D5094C"/>
    <w:rsid w:val="00D50AA3"/>
    <w:rsid w:val="00D50ABE"/>
    <w:rsid w:val="00D50C74"/>
    <w:rsid w:val="00D510E3"/>
    <w:rsid w:val="00D51AB7"/>
    <w:rsid w:val="00D51EF2"/>
    <w:rsid w:val="00D522F8"/>
    <w:rsid w:val="00D53C08"/>
    <w:rsid w:val="00D53C3A"/>
    <w:rsid w:val="00D53D61"/>
    <w:rsid w:val="00D5458D"/>
    <w:rsid w:val="00D54FEB"/>
    <w:rsid w:val="00D55C17"/>
    <w:rsid w:val="00D55D05"/>
    <w:rsid w:val="00D55D19"/>
    <w:rsid w:val="00D6013C"/>
    <w:rsid w:val="00D608EA"/>
    <w:rsid w:val="00D60CF3"/>
    <w:rsid w:val="00D620DC"/>
    <w:rsid w:val="00D628AF"/>
    <w:rsid w:val="00D630A2"/>
    <w:rsid w:val="00D632A8"/>
    <w:rsid w:val="00D6427C"/>
    <w:rsid w:val="00D642A4"/>
    <w:rsid w:val="00D64A77"/>
    <w:rsid w:val="00D64D62"/>
    <w:rsid w:val="00D651A2"/>
    <w:rsid w:val="00D65D96"/>
    <w:rsid w:val="00D669FD"/>
    <w:rsid w:val="00D66E93"/>
    <w:rsid w:val="00D67906"/>
    <w:rsid w:val="00D700E5"/>
    <w:rsid w:val="00D70B09"/>
    <w:rsid w:val="00D71113"/>
    <w:rsid w:val="00D71712"/>
    <w:rsid w:val="00D71E5D"/>
    <w:rsid w:val="00D7207D"/>
    <w:rsid w:val="00D724C2"/>
    <w:rsid w:val="00D73336"/>
    <w:rsid w:val="00D7486C"/>
    <w:rsid w:val="00D757D7"/>
    <w:rsid w:val="00D763F3"/>
    <w:rsid w:val="00D77801"/>
    <w:rsid w:val="00D778A5"/>
    <w:rsid w:val="00D810A7"/>
    <w:rsid w:val="00D819F2"/>
    <w:rsid w:val="00D84C9A"/>
    <w:rsid w:val="00D84CFE"/>
    <w:rsid w:val="00D85CCF"/>
    <w:rsid w:val="00D86BAB"/>
    <w:rsid w:val="00D90025"/>
    <w:rsid w:val="00D91E96"/>
    <w:rsid w:val="00D91F9B"/>
    <w:rsid w:val="00D92E60"/>
    <w:rsid w:val="00D949F3"/>
    <w:rsid w:val="00D95499"/>
    <w:rsid w:val="00D978A9"/>
    <w:rsid w:val="00DA0DFD"/>
    <w:rsid w:val="00DA1944"/>
    <w:rsid w:val="00DA37F5"/>
    <w:rsid w:val="00DA3889"/>
    <w:rsid w:val="00DA3D4F"/>
    <w:rsid w:val="00DA42F1"/>
    <w:rsid w:val="00DA5784"/>
    <w:rsid w:val="00DA5AB7"/>
    <w:rsid w:val="00DA5C06"/>
    <w:rsid w:val="00DA67DC"/>
    <w:rsid w:val="00DA7FDF"/>
    <w:rsid w:val="00DB0390"/>
    <w:rsid w:val="00DB1171"/>
    <w:rsid w:val="00DB140C"/>
    <w:rsid w:val="00DB1B2C"/>
    <w:rsid w:val="00DB2965"/>
    <w:rsid w:val="00DB3DF9"/>
    <w:rsid w:val="00DB4969"/>
    <w:rsid w:val="00DB59D4"/>
    <w:rsid w:val="00DB64E0"/>
    <w:rsid w:val="00DB6A86"/>
    <w:rsid w:val="00DB7313"/>
    <w:rsid w:val="00DB7F93"/>
    <w:rsid w:val="00DC16CC"/>
    <w:rsid w:val="00DC1B99"/>
    <w:rsid w:val="00DC3D2B"/>
    <w:rsid w:val="00DC493C"/>
    <w:rsid w:val="00DC578F"/>
    <w:rsid w:val="00DC62B2"/>
    <w:rsid w:val="00DC723D"/>
    <w:rsid w:val="00DD0314"/>
    <w:rsid w:val="00DD035D"/>
    <w:rsid w:val="00DD0381"/>
    <w:rsid w:val="00DD0AC2"/>
    <w:rsid w:val="00DD2BE0"/>
    <w:rsid w:val="00DD3210"/>
    <w:rsid w:val="00DD4692"/>
    <w:rsid w:val="00DD554F"/>
    <w:rsid w:val="00DD5BF1"/>
    <w:rsid w:val="00DD63E3"/>
    <w:rsid w:val="00DD6716"/>
    <w:rsid w:val="00DD7793"/>
    <w:rsid w:val="00DD7BCF"/>
    <w:rsid w:val="00DE1172"/>
    <w:rsid w:val="00DE2017"/>
    <w:rsid w:val="00DE22C6"/>
    <w:rsid w:val="00DE3143"/>
    <w:rsid w:val="00DE3298"/>
    <w:rsid w:val="00DE3F17"/>
    <w:rsid w:val="00DE4D74"/>
    <w:rsid w:val="00DE5417"/>
    <w:rsid w:val="00DE54AB"/>
    <w:rsid w:val="00DE75DC"/>
    <w:rsid w:val="00DE7B1C"/>
    <w:rsid w:val="00DE7C13"/>
    <w:rsid w:val="00DF07B8"/>
    <w:rsid w:val="00DF0FC0"/>
    <w:rsid w:val="00DF1C59"/>
    <w:rsid w:val="00DF1F0B"/>
    <w:rsid w:val="00DF227D"/>
    <w:rsid w:val="00DF3532"/>
    <w:rsid w:val="00DF3A78"/>
    <w:rsid w:val="00DF4B1D"/>
    <w:rsid w:val="00DF5551"/>
    <w:rsid w:val="00DF5FA1"/>
    <w:rsid w:val="00DF67DE"/>
    <w:rsid w:val="00DF7988"/>
    <w:rsid w:val="00E009FE"/>
    <w:rsid w:val="00E00A01"/>
    <w:rsid w:val="00E0107C"/>
    <w:rsid w:val="00E0132B"/>
    <w:rsid w:val="00E03C8F"/>
    <w:rsid w:val="00E03D83"/>
    <w:rsid w:val="00E04446"/>
    <w:rsid w:val="00E05DD3"/>
    <w:rsid w:val="00E074B6"/>
    <w:rsid w:val="00E078B6"/>
    <w:rsid w:val="00E10476"/>
    <w:rsid w:val="00E1194A"/>
    <w:rsid w:val="00E12464"/>
    <w:rsid w:val="00E12853"/>
    <w:rsid w:val="00E12E67"/>
    <w:rsid w:val="00E14800"/>
    <w:rsid w:val="00E14B63"/>
    <w:rsid w:val="00E154CF"/>
    <w:rsid w:val="00E15F2F"/>
    <w:rsid w:val="00E178E1"/>
    <w:rsid w:val="00E201A9"/>
    <w:rsid w:val="00E203D6"/>
    <w:rsid w:val="00E20922"/>
    <w:rsid w:val="00E217E9"/>
    <w:rsid w:val="00E2209B"/>
    <w:rsid w:val="00E23519"/>
    <w:rsid w:val="00E25B0A"/>
    <w:rsid w:val="00E269AC"/>
    <w:rsid w:val="00E306F5"/>
    <w:rsid w:val="00E31618"/>
    <w:rsid w:val="00E31AF9"/>
    <w:rsid w:val="00E31D49"/>
    <w:rsid w:val="00E31E44"/>
    <w:rsid w:val="00E31F10"/>
    <w:rsid w:val="00E35643"/>
    <w:rsid w:val="00E35C0F"/>
    <w:rsid w:val="00E363E9"/>
    <w:rsid w:val="00E36E10"/>
    <w:rsid w:val="00E37E36"/>
    <w:rsid w:val="00E37E9A"/>
    <w:rsid w:val="00E4167B"/>
    <w:rsid w:val="00E420FD"/>
    <w:rsid w:val="00E4212D"/>
    <w:rsid w:val="00E421DE"/>
    <w:rsid w:val="00E435F8"/>
    <w:rsid w:val="00E437F8"/>
    <w:rsid w:val="00E43995"/>
    <w:rsid w:val="00E44332"/>
    <w:rsid w:val="00E45163"/>
    <w:rsid w:val="00E45E8B"/>
    <w:rsid w:val="00E46BFB"/>
    <w:rsid w:val="00E46DD4"/>
    <w:rsid w:val="00E46DFC"/>
    <w:rsid w:val="00E51053"/>
    <w:rsid w:val="00E5127C"/>
    <w:rsid w:val="00E512CD"/>
    <w:rsid w:val="00E51937"/>
    <w:rsid w:val="00E53600"/>
    <w:rsid w:val="00E53722"/>
    <w:rsid w:val="00E55E18"/>
    <w:rsid w:val="00E56A3A"/>
    <w:rsid w:val="00E6043D"/>
    <w:rsid w:val="00E6051A"/>
    <w:rsid w:val="00E62DE4"/>
    <w:rsid w:val="00E63922"/>
    <w:rsid w:val="00E63D6A"/>
    <w:rsid w:val="00E6675F"/>
    <w:rsid w:val="00E6739F"/>
    <w:rsid w:val="00E67473"/>
    <w:rsid w:val="00E677F0"/>
    <w:rsid w:val="00E67E99"/>
    <w:rsid w:val="00E7043A"/>
    <w:rsid w:val="00E70E61"/>
    <w:rsid w:val="00E71099"/>
    <w:rsid w:val="00E73076"/>
    <w:rsid w:val="00E730AD"/>
    <w:rsid w:val="00E7374E"/>
    <w:rsid w:val="00E743E1"/>
    <w:rsid w:val="00E74AAB"/>
    <w:rsid w:val="00E75407"/>
    <w:rsid w:val="00E754CA"/>
    <w:rsid w:val="00E75CC2"/>
    <w:rsid w:val="00E770FB"/>
    <w:rsid w:val="00E77161"/>
    <w:rsid w:val="00E808B3"/>
    <w:rsid w:val="00E82C87"/>
    <w:rsid w:val="00E83342"/>
    <w:rsid w:val="00E83852"/>
    <w:rsid w:val="00E85205"/>
    <w:rsid w:val="00E8674D"/>
    <w:rsid w:val="00E868FA"/>
    <w:rsid w:val="00E8739C"/>
    <w:rsid w:val="00E91621"/>
    <w:rsid w:val="00E91ABE"/>
    <w:rsid w:val="00E91C2E"/>
    <w:rsid w:val="00E92508"/>
    <w:rsid w:val="00E92628"/>
    <w:rsid w:val="00E934A4"/>
    <w:rsid w:val="00E93620"/>
    <w:rsid w:val="00E954B2"/>
    <w:rsid w:val="00E96274"/>
    <w:rsid w:val="00E97769"/>
    <w:rsid w:val="00E977B6"/>
    <w:rsid w:val="00E97825"/>
    <w:rsid w:val="00EA02D6"/>
    <w:rsid w:val="00EA1D06"/>
    <w:rsid w:val="00EA1F09"/>
    <w:rsid w:val="00EA21D8"/>
    <w:rsid w:val="00EA245C"/>
    <w:rsid w:val="00EA25CB"/>
    <w:rsid w:val="00EA2FE5"/>
    <w:rsid w:val="00EA3886"/>
    <w:rsid w:val="00EA47F3"/>
    <w:rsid w:val="00EA5F51"/>
    <w:rsid w:val="00EA6B28"/>
    <w:rsid w:val="00EA7627"/>
    <w:rsid w:val="00EA7E47"/>
    <w:rsid w:val="00EB185F"/>
    <w:rsid w:val="00EB20CF"/>
    <w:rsid w:val="00EB4294"/>
    <w:rsid w:val="00EB433E"/>
    <w:rsid w:val="00EB46E5"/>
    <w:rsid w:val="00EB51A2"/>
    <w:rsid w:val="00EB5345"/>
    <w:rsid w:val="00EB5E12"/>
    <w:rsid w:val="00EB5FFE"/>
    <w:rsid w:val="00EB7996"/>
    <w:rsid w:val="00EC0C06"/>
    <w:rsid w:val="00EC116F"/>
    <w:rsid w:val="00EC1E71"/>
    <w:rsid w:val="00EC1F54"/>
    <w:rsid w:val="00EC2B31"/>
    <w:rsid w:val="00EC3116"/>
    <w:rsid w:val="00EC370B"/>
    <w:rsid w:val="00EC3718"/>
    <w:rsid w:val="00EC4169"/>
    <w:rsid w:val="00EC5A68"/>
    <w:rsid w:val="00EC5B21"/>
    <w:rsid w:val="00EC5BB0"/>
    <w:rsid w:val="00EC7435"/>
    <w:rsid w:val="00EC7ECC"/>
    <w:rsid w:val="00ED06C0"/>
    <w:rsid w:val="00ED1E3B"/>
    <w:rsid w:val="00ED252E"/>
    <w:rsid w:val="00ED35DD"/>
    <w:rsid w:val="00ED5261"/>
    <w:rsid w:val="00ED6745"/>
    <w:rsid w:val="00ED757E"/>
    <w:rsid w:val="00ED7CC3"/>
    <w:rsid w:val="00EE0034"/>
    <w:rsid w:val="00EE1948"/>
    <w:rsid w:val="00EE1DCD"/>
    <w:rsid w:val="00EE2428"/>
    <w:rsid w:val="00EE24EA"/>
    <w:rsid w:val="00EE30DB"/>
    <w:rsid w:val="00EE3745"/>
    <w:rsid w:val="00EE40CD"/>
    <w:rsid w:val="00EE4125"/>
    <w:rsid w:val="00EE445D"/>
    <w:rsid w:val="00EE4797"/>
    <w:rsid w:val="00EE4AD3"/>
    <w:rsid w:val="00EE6D7B"/>
    <w:rsid w:val="00EE7424"/>
    <w:rsid w:val="00EF1792"/>
    <w:rsid w:val="00EF2975"/>
    <w:rsid w:val="00EF29AB"/>
    <w:rsid w:val="00EF33C2"/>
    <w:rsid w:val="00EF4ED7"/>
    <w:rsid w:val="00EF6F8C"/>
    <w:rsid w:val="00EF768C"/>
    <w:rsid w:val="00F0059B"/>
    <w:rsid w:val="00F00648"/>
    <w:rsid w:val="00F0299F"/>
    <w:rsid w:val="00F033AC"/>
    <w:rsid w:val="00F038EC"/>
    <w:rsid w:val="00F03D3F"/>
    <w:rsid w:val="00F03F26"/>
    <w:rsid w:val="00F04644"/>
    <w:rsid w:val="00F04E59"/>
    <w:rsid w:val="00F055B3"/>
    <w:rsid w:val="00F05E81"/>
    <w:rsid w:val="00F06454"/>
    <w:rsid w:val="00F0678E"/>
    <w:rsid w:val="00F067F3"/>
    <w:rsid w:val="00F06AEA"/>
    <w:rsid w:val="00F11450"/>
    <w:rsid w:val="00F12004"/>
    <w:rsid w:val="00F12568"/>
    <w:rsid w:val="00F1339B"/>
    <w:rsid w:val="00F139BA"/>
    <w:rsid w:val="00F13DB8"/>
    <w:rsid w:val="00F1716B"/>
    <w:rsid w:val="00F2009C"/>
    <w:rsid w:val="00F200B1"/>
    <w:rsid w:val="00F2015F"/>
    <w:rsid w:val="00F211B7"/>
    <w:rsid w:val="00F214A9"/>
    <w:rsid w:val="00F222E0"/>
    <w:rsid w:val="00F2258B"/>
    <w:rsid w:val="00F249A0"/>
    <w:rsid w:val="00F24ECD"/>
    <w:rsid w:val="00F2583D"/>
    <w:rsid w:val="00F25BA1"/>
    <w:rsid w:val="00F25F7E"/>
    <w:rsid w:val="00F264B5"/>
    <w:rsid w:val="00F264C5"/>
    <w:rsid w:val="00F26EF6"/>
    <w:rsid w:val="00F27377"/>
    <w:rsid w:val="00F27FAB"/>
    <w:rsid w:val="00F3094B"/>
    <w:rsid w:val="00F3112E"/>
    <w:rsid w:val="00F31B63"/>
    <w:rsid w:val="00F31BF7"/>
    <w:rsid w:val="00F329AE"/>
    <w:rsid w:val="00F361A2"/>
    <w:rsid w:val="00F36E0B"/>
    <w:rsid w:val="00F408C2"/>
    <w:rsid w:val="00F42ADB"/>
    <w:rsid w:val="00F43020"/>
    <w:rsid w:val="00F43579"/>
    <w:rsid w:val="00F43ECA"/>
    <w:rsid w:val="00F44775"/>
    <w:rsid w:val="00F45FF1"/>
    <w:rsid w:val="00F47A4E"/>
    <w:rsid w:val="00F500C2"/>
    <w:rsid w:val="00F514F9"/>
    <w:rsid w:val="00F521F9"/>
    <w:rsid w:val="00F52D7A"/>
    <w:rsid w:val="00F53C06"/>
    <w:rsid w:val="00F54ADB"/>
    <w:rsid w:val="00F54FC2"/>
    <w:rsid w:val="00F5524C"/>
    <w:rsid w:val="00F556FA"/>
    <w:rsid w:val="00F562E7"/>
    <w:rsid w:val="00F57F51"/>
    <w:rsid w:val="00F60841"/>
    <w:rsid w:val="00F62498"/>
    <w:rsid w:val="00F635DD"/>
    <w:rsid w:val="00F63C3B"/>
    <w:rsid w:val="00F63DB9"/>
    <w:rsid w:val="00F6511A"/>
    <w:rsid w:val="00F71565"/>
    <w:rsid w:val="00F71CF6"/>
    <w:rsid w:val="00F72854"/>
    <w:rsid w:val="00F728D2"/>
    <w:rsid w:val="00F72EE8"/>
    <w:rsid w:val="00F732FC"/>
    <w:rsid w:val="00F73F48"/>
    <w:rsid w:val="00F741EF"/>
    <w:rsid w:val="00F74C64"/>
    <w:rsid w:val="00F75823"/>
    <w:rsid w:val="00F77471"/>
    <w:rsid w:val="00F77D3F"/>
    <w:rsid w:val="00F77E4D"/>
    <w:rsid w:val="00F81C12"/>
    <w:rsid w:val="00F820AA"/>
    <w:rsid w:val="00F82C9A"/>
    <w:rsid w:val="00F84E88"/>
    <w:rsid w:val="00F85916"/>
    <w:rsid w:val="00F85C76"/>
    <w:rsid w:val="00F85FC0"/>
    <w:rsid w:val="00F86BDB"/>
    <w:rsid w:val="00F86FFA"/>
    <w:rsid w:val="00F872C2"/>
    <w:rsid w:val="00F91AE8"/>
    <w:rsid w:val="00F9266C"/>
    <w:rsid w:val="00F933FF"/>
    <w:rsid w:val="00F9388E"/>
    <w:rsid w:val="00F95287"/>
    <w:rsid w:val="00F96E46"/>
    <w:rsid w:val="00F97A1B"/>
    <w:rsid w:val="00FA03BA"/>
    <w:rsid w:val="00FA163C"/>
    <w:rsid w:val="00FA2D96"/>
    <w:rsid w:val="00FA404B"/>
    <w:rsid w:val="00FA4EF7"/>
    <w:rsid w:val="00FA55A4"/>
    <w:rsid w:val="00FA55F5"/>
    <w:rsid w:val="00FA5AC3"/>
    <w:rsid w:val="00FA5ACE"/>
    <w:rsid w:val="00FA6073"/>
    <w:rsid w:val="00FA7252"/>
    <w:rsid w:val="00FA74B3"/>
    <w:rsid w:val="00FB00FD"/>
    <w:rsid w:val="00FB053C"/>
    <w:rsid w:val="00FB1F1C"/>
    <w:rsid w:val="00FB3407"/>
    <w:rsid w:val="00FB39E2"/>
    <w:rsid w:val="00FB3CD0"/>
    <w:rsid w:val="00FB4687"/>
    <w:rsid w:val="00FB5206"/>
    <w:rsid w:val="00FB55FF"/>
    <w:rsid w:val="00FB5704"/>
    <w:rsid w:val="00FB5F6B"/>
    <w:rsid w:val="00FB663D"/>
    <w:rsid w:val="00FC0192"/>
    <w:rsid w:val="00FC0F67"/>
    <w:rsid w:val="00FC1FEC"/>
    <w:rsid w:val="00FC20CD"/>
    <w:rsid w:val="00FC444B"/>
    <w:rsid w:val="00FC482A"/>
    <w:rsid w:val="00FC5A11"/>
    <w:rsid w:val="00FC6694"/>
    <w:rsid w:val="00FC6CEB"/>
    <w:rsid w:val="00FD0AA4"/>
    <w:rsid w:val="00FD107E"/>
    <w:rsid w:val="00FD18FC"/>
    <w:rsid w:val="00FD251C"/>
    <w:rsid w:val="00FD2666"/>
    <w:rsid w:val="00FD2E23"/>
    <w:rsid w:val="00FD3553"/>
    <w:rsid w:val="00FD5615"/>
    <w:rsid w:val="00FD57FE"/>
    <w:rsid w:val="00FD79A1"/>
    <w:rsid w:val="00FE040E"/>
    <w:rsid w:val="00FE3AE0"/>
    <w:rsid w:val="00FE3E8D"/>
    <w:rsid w:val="00FE3E91"/>
    <w:rsid w:val="00FE5C00"/>
    <w:rsid w:val="00FE62EC"/>
    <w:rsid w:val="00FE689B"/>
    <w:rsid w:val="00FE71FB"/>
    <w:rsid w:val="00FE74B6"/>
    <w:rsid w:val="00FE7BBE"/>
    <w:rsid w:val="00FF130C"/>
    <w:rsid w:val="00FF2411"/>
    <w:rsid w:val="00FF26E8"/>
    <w:rsid w:val="00FF2D11"/>
    <w:rsid w:val="00FF2D4B"/>
    <w:rsid w:val="00FF39BA"/>
    <w:rsid w:val="00FF47B6"/>
    <w:rsid w:val="00FF4850"/>
    <w:rsid w:val="00FF5529"/>
    <w:rsid w:val="00FF5F3A"/>
    <w:rsid w:val="00FF6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5C9F8"/>
  <w15:docId w15:val="{4168DBFA-9FC2-40A6-A1FB-B3B64436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4C"/>
    <w:pPr>
      <w:jc w:val="both"/>
    </w:pPr>
    <w:rPr>
      <w:rFonts w:asciiTheme="minorHAnsi" w:hAnsiTheme="minorHAnsi"/>
      <w:sz w:val="18"/>
    </w:rPr>
  </w:style>
  <w:style w:type="paragraph" w:styleId="Overskrift1">
    <w:name w:val="heading 1"/>
    <w:basedOn w:val="Normal"/>
    <w:next w:val="Brdtekst"/>
    <w:qFormat/>
    <w:rsid w:val="00C91770"/>
    <w:pPr>
      <w:keepNext/>
      <w:spacing w:before="120" w:after="120" w:line="288" w:lineRule="auto"/>
      <w:outlineLvl w:val="0"/>
    </w:pPr>
    <w:rPr>
      <w:rFonts w:cs="Arial"/>
      <w:b/>
    </w:rPr>
  </w:style>
  <w:style w:type="paragraph" w:styleId="Overskrift2">
    <w:name w:val="heading 2"/>
    <w:basedOn w:val="Normal"/>
    <w:next w:val="Normal"/>
    <w:qFormat/>
    <w:rsid w:val="006406E8"/>
    <w:pPr>
      <w:keepNext/>
      <w:outlineLvl w:val="1"/>
    </w:pPr>
    <w:rPr>
      <w:b/>
      <w:sz w:val="36"/>
    </w:rPr>
  </w:style>
  <w:style w:type="paragraph" w:styleId="Overskrift3">
    <w:name w:val="heading 3"/>
    <w:basedOn w:val="Normal"/>
    <w:next w:val="Normal"/>
    <w:qFormat/>
    <w:rsid w:val="006406E8"/>
    <w:pPr>
      <w:keepNext/>
      <w:outlineLvl w:val="2"/>
    </w:pPr>
    <w:rPr>
      <w:sz w:val="24"/>
    </w:rPr>
  </w:style>
  <w:style w:type="paragraph" w:styleId="Overskrift4">
    <w:name w:val="heading 4"/>
    <w:basedOn w:val="Normal"/>
    <w:next w:val="Normal"/>
    <w:qFormat/>
    <w:rsid w:val="006406E8"/>
    <w:pPr>
      <w:keepNext/>
      <w:outlineLvl w:val="3"/>
    </w:pPr>
    <w:rPr>
      <w:b/>
      <w:bCs/>
      <w:sz w:val="24"/>
      <w:u w:val="single"/>
    </w:rPr>
  </w:style>
  <w:style w:type="paragraph" w:styleId="Overskrift5">
    <w:name w:val="heading 5"/>
    <w:basedOn w:val="Normal"/>
    <w:next w:val="Normal"/>
    <w:qFormat/>
    <w:rsid w:val="006406E8"/>
    <w:pPr>
      <w:keepNext/>
      <w:tabs>
        <w:tab w:val="left" w:pos="6379"/>
        <w:tab w:val="left" w:pos="6804"/>
      </w:tabs>
      <w:outlineLvl w:val="4"/>
    </w:pPr>
    <w:rPr>
      <w:i/>
    </w:rPr>
  </w:style>
  <w:style w:type="paragraph" w:styleId="Overskrift6">
    <w:name w:val="heading 6"/>
    <w:basedOn w:val="Normal"/>
    <w:next w:val="Normal"/>
    <w:qFormat/>
    <w:rsid w:val="006406E8"/>
    <w:pPr>
      <w:keepNext/>
      <w:outlineLvl w:val="5"/>
    </w:pPr>
    <w:rPr>
      <w:sz w:val="24"/>
      <w:u w:val="single"/>
    </w:rPr>
  </w:style>
  <w:style w:type="paragraph" w:styleId="Overskrift7">
    <w:name w:val="heading 7"/>
    <w:basedOn w:val="Normal"/>
    <w:next w:val="Normal"/>
    <w:qFormat/>
    <w:rsid w:val="006406E8"/>
    <w:pPr>
      <w:keepNext/>
      <w:outlineLvl w:val="6"/>
    </w:pPr>
    <w:rPr>
      <w:sz w:val="24"/>
    </w:rPr>
  </w:style>
  <w:style w:type="paragraph" w:styleId="Overskrift8">
    <w:name w:val="heading 8"/>
    <w:basedOn w:val="Normal"/>
    <w:next w:val="Normal"/>
    <w:qFormat/>
    <w:rsid w:val="006406E8"/>
    <w:pPr>
      <w:keepNext/>
      <w:outlineLvl w:val="7"/>
    </w:pPr>
    <w:rPr>
      <w:i/>
      <w:iCs/>
      <w:sz w:val="24"/>
    </w:rPr>
  </w:style>
  <w:style w:type="paragraph" w:styleId="Overskrift9">
    <w:name w:val="heading 9"/>
    <w:basedOn w:val="Normal"/>
    <w:next w:val="Normal"/>
    <w:qFormat/>
    <w:rsid w:val="006406E8"/>
    <w:pPr>
      <w:keepNext/>
      <w:spacing w:before="60"/>
      <w:jc w:val="center"/>
      <w:outlineLvl w:val="8"/>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6406E8"/>
    <w:pPr>
      <w:jc w:val="center"/>
    </w:pPr>
    <w:rPr>
      <w:b/>
      <w:sz w:val="24"/>
      <w:u w:val="single"/>
    </w:rPr>
  </w:style>
  <w:style w:type="paragraph" w:styleId="Brdtekst">
    <w:name w:val="Body Text"/>
    <w:basedOn w:val="Normal"/>
    <w:rsid w:val="00371F4C"/>
    <w:pPr>
      <w:spacing w:before="120" w:after="120" w:line="288" w:lineRule="auto"/>
    </w:pPr>
    <w:rPr>
      <w:rFonts w:cs="Arial"/>
    </w:rPr>
  </w:style>
  <w:style w:type="paragraph" w:customStyle="1" w:styleId="Corpsdetexte21">
    <w:name w:val="Corps de texte 21"/>
    <w:basedOn w:val="Normal"/>
    <w:rsid w:val="006406E8"/>
    <w:pPr>
      <w:ind w:left="360"/>
    </w:pPr>
    <w:rPr>
      <w:sz w:val="24"/>
    </w:rPr>
  </w:style>
  <w:style w:type="paragraph" w:customStyle="1" w:styleId="Retraitcorpsdetexte21">
    <w:name w:val="Retrait corps de texte 21"/>
    <w:basedOn w:val="Normal"/>
    <w:rsid w:val="006406E8"/>
    <w:pPr>
      <w:spacing w:before="120"/>
      <w:ind w:left="357"/>
    </w:pPr>
    <w:rPr>
      <w:sz w:val="24"/>
    </w:rPr>
  </w:style>
  <w:style w:type="paragraph" w:styleId="Dokumentkart">
    <w:name w:val="Document Map"/>
    <w:basedOn w:val="Normal"/>
    <w:semiHidden/>
    <w:rsid w:val="006406E8"/>
    <w:pPr>
      <w:shd w:val="clear" w:color="auto" w:fill="000080"/>
    </w:pPr>
    <w:rPr>
      <w:rFonts w:ascii="Tahoma" w:hAnsi="Tahoma"/>
    </w:rPr>
  </w:style>
  <w:style w:type="paragraph" w:styleId="Brdtekst2">
    <w:name w:val="Body Text 2"/>
    <w:basedOn w:val="Normal"/>
    <w:link w:val="Brdtekst2Tegn"/>
    <w:rsid w:val="006406E8"/>
    <w:rPr>
      <w:sz w:val="24"/>
    </w:rPr>
  </w:style>
  <w:style w:type="paragraph" w:styleId="Brdtekst3">
    <w:name w:val="Body Text 3"/>
    <w:basedOn w:val="Normal"/>
    <w:rsid w:val="006406E8"/>
    <w:pPr>
      <w:ind w:right="-567"/>
    </w:pPr>
    <w:rPr>
      <w:sz w:val="24"/>
    </w:rPr>
  </w:style>
  <w:style w:type="paragraph" w:styleId="Brdtekstinnrykk">
    <w:name w:val="Body Text Indent"/>
    <w:basedOn w:val="Normal"/>
    <w:rsid w:val="006406E8"/>
    <w:pPr>
      <w:ind w:left="1416"/>
    </w:pPr>
    <w:rPr>
      <w:sz w:val="24"/>
    </w:rPr>
  </w:style>
  <w:style w:type="paragraph" w:styleId="Brdtekstinnrykk2">
    <w:name w:val="Body Text Indent 2"/>
    <w:basedOn w:val="Normal"/>
    <w:rsid w:val="006406E8"/>
    <w:pPr>
      <w:ind w:left="360"/>
    </w:pPr>
    <w:rPr>
      <w:sz w:val="24"/>
    </w:rPr>
  </w:style>
  <w:style w:type="paragraph" w:styleId="Blokktekst">
    <w:name w:val="Block Text"/>
    <w:basedOn w:val="Normal"/>
    <w:rsid w:val="006406E8"/>
    <w:pPr>
      <w:ind w:left="1140" w:right="142"/>
    </w:pPr>
    <w:rPr>
      <w:sz w:val="24"/>
    </w:rPr>
  </w:style>
  <w:style w:type="paragraph" w:styleId="Bunntekst">
    <w:name w:val="footer"/>
    <w:basedOn w:val="Normal"/>
    <w:link w:val="BunntekstTegn"/>
    <w:uiPriority w:val="99"/>
    <w:rsid w:val="006406E8"/>
    <w:pPr>
      <w:tabs>
        <w:tab w:val="center" w:pos="4536"/>
        <w:tab w:val="right" w:pos="9072"/>
      </w:tabs>
    </w:pPr>
  </w:style>
  <w:style w:type="character" w:styleId="Sidetall">
    <w:name w:val="page number"/>
    <w:basedOn w:val="Standardskriftforavsnitt"/>
    <w:rsid w:val="006406E8"/>
  </w:style>
  <w:style w:type="paragraph" w:styleId="Brdtekstinnrykk3">
    <w:name w:val="Body Text Indent 3"/>
    <w:basedOn w:val="Normal"/>
    <w:rsid w:val="006406E8"/>
    <w:pPr>
      <w:ind w:left="567"/>
    </w:pPr>
    <w:rPr>
      <w:sz w:val="24"/>
    </w:rPr>
  </w:style>
  <w:style w:type="paragraph" w:styleId="Fotnotetekst">
    <w:name w:val="footnote text"/>
    <w:basedOn w:val="Normal"/>
    <w:link w:val="FotnotetekstTegn"/>
    <w:uiPriority w:val="99"/>
    <w:rsid w:val="009B78EA"/>
    <w:rPr>
      <w:sz w:val="14"/>
      <w:szCs w:val="14"/>
    </w:rPr>
  </w:style>
  <w:style w:type="character" w:styleId="Fotnotereferanse">
    <w:name w:val="footnote reference"/>
    <w:uiPriority w:val="99"/>
    <w:semiHidden/>
    <w:rsid w:val="006406E8"/>
    <w:rPr>
      <w:vertAlign w:val="superscript"/>
    </w:rPr>
  </w:style>
  <w:style w:type="paragraph" w:styleId="Topptekst">
    <w:name w:val="header"/>
    <w:basedOn w:val="Normal"/>
    <w:rsid w:val="006406E8"/>
    <w:pPr>
      <w:tabs>
        <w:tab w:val="center" w:pos="4536"/>
        <w:tab w:val="right" w:pos="9072"/>
      </w:tabs>
    </w:pPr>
  </w:style>
  <w:style w:type="paragraph" w:styleId="Bobletekst">
    <w:name w:val="Balloon Text"/>
    <w:basedOn w:val="Normal"/>
    <w:semiHidden/>
    <w:rsid w:val="006406E8"/>
    <w:rPr>
      <w:rFonts w:ascii="Tahoma" w:hAnsi="Tahoma" w:cs="Tahoma"/>
      <w:sz w:val="16"/>
      <w:szCs w:val="16"/>
    </w:rPr>
  </w:style>
  <w:style w:type="paragraph" w:styleId="Listeavsnitt">
    <w:name w:val="List Paragraph"/>
    <w:basedOn w:val="Normal"/>
    <w:uiPriority w:val="34"/>
    <w:qFormat/>
    <w:rsid w:val="00A450DA"/>
    <w:pPr>
      <w:ind w:left="708"/>
    </w:pPr>
  </w:style>
  <w:style w:type="character" w:styleId="Hyperkobling">
    <w:name w:val="Hyperlink"/>
    <w:rsid w:val="000266E7"/>
    <w:rPr>
      <w:color w:val="0000FF"/>
      <w:u w:val="single"/>
    </w:rPr>
  </w:style>
  <w:style w:type="character" w:styleId="Fulgthyperkobling">
    <w:name w:val="FollowedHyperlink"/>
    <w:rsid w:val="000266E7"/>
    <w:rPr>
      <w:color w:val="800080"/>
      <w:u w:val="single"/>
    </w:rPr>
  </w:style>
  <w:style w:type="character" w:customStyle="1" w:styleId="Brdtekst2Tegn">
    <w:name w:val="Brødtekst 2 Tegn"/>
    <w:link w:val="Brdtekst2"/>
    <w:rsid w:val="00667DA3"/>
    <w:rPr>
      <w:sz w:val="24"/>
    </w:rPr>
  </w:style>
  <w:style w:type="character" w:customStyle="1" w:styleId="FotnotetekstTegn">
    <w:name w:val="Fotnotetekst Tegn"/>
    <w:basedOn w:val="Standardskriftforavsnitt"/>
    <w:link w:val="Fotnotetekst"/>
    <w:uiPriority w:val="99"/>
    <w:rsid w:val="009B78EA"/>
    <w:rPr>
      <w:rFonts w:asciiTheme="minorHAnsi" w:hAnsiTheme="minorHAnsi"/>
      <w:sz w:val="14"/>
      <w:szCs w:val="14"/>
    </w:rPr>
  </w:style>
  <w:style w:type="character" w:styleId="Merknadsreferanse">
    <w:name w:val="annotation reference"/>
    <w:rsid w:val="003869B3"/>
    <w:rPr>
      <w:sz w:val="16"/>
      <w:szCs w:val="16"/>
    </w:rPr>
  </w:style>
  <w:style w:type="paragraph" w:styleId="Merknadstekst">
    <w:name w:val="annotation text"/>
    <w:basedOn w:val="Normal"/>
    <w:link w:val="MerknadstekstTegn"/>
    <w:rsid w:val="003869B3"/>
  </w:style>
  <w:style w:type="character" w:customStyle="1" w:styleId="MerknadstekstTegn">
    <w:name w:val="Merknadstekst Tegn"/>
    <w:basedOn w:val="Standardskriftforavsnitt"/>
    <w:link w:val="Merknadstekst"/>
    <w:rsid w:val="003869B3"/>
  </w:style>
  <w:style w:type="paragraph" w:styleId="Kommentaremne">
    <w:name w:val="annotation subject"/>
    <w:basedOn w:val="Merknadstekst"/>
    <w:next w:val="Merknadstekst"/>
    <w:link w:val="KommentaremneTegn"/>
    <w:rsid w:val="003869B3"/>
    <w:rPr>
      <w:b/>
      <w:bCs/>
    </w:rPr>
  </w:style>
  <w:style w:type="character" w:customStyle="1" w:styleId="KommentaremneTegn">
    <w:name w:val="Kommentaremne Tegn"/>
    <w:link w:val="Kommentaremne"/>
    <w:rsid w:val="003869B3"/>
    <w:rPr>
      <w:b/>
      <w:bCs/>
    </w:rPr>
  </w:style>
  <w:style w:type="table" w:styleId="Tabellrutenett">
    <w:name w:val="Table Grid"/>
    <w:basedOn w:val="Vanligtabell"/>
    <w:rsid w:val="00CD63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nntekstTegn">
    <w:name w:val="Bunntekst Tegn"/>
    <w:basedOn w:val="Standardskriftforavsnitt"/>
    <w:link w:val="Bunntekst"/>
    <w:uiPriority w:val="99"/>
    <w:rsid w:val="00914476"/>
  </w:style>
  <w:style w:type="paragraph" w:styleId="Sluttnotetekst">
    <w:name w:val="endnote text"/>
    <w:basedOn w:val="Normal"/>
    <w:link w:val="SluttnotetekstTegn"/>
    <w:rsid w:val="00914476"/>
  </w:style>
  <w:style w:type="character" w:customStyle="1" w:styleId="SluttnotetekstTegn">
    <w:name w:val="Sluttnotetekst Tegn"/>
    <w:basedOn w:val="Standardskriftforavsnitt"/>
    <w:link w:val="Sluttnotetekst"/>
    <w:rsid w:val="00914476"/>
  </w:style>
  <w:style w:type="character" w:styleId="Sluttnotereferanse">
    <w:name w:val="endnote reference"/>
    <w:rsid w:val="00914476"/>
    <w:rPr>
      <w:vertAlign w:val="superscript"/>
    </w:rPr>
  </w:style>
  <w:style w:type="character" w:customStyle="1" w:styleId="apple-converted-space">
    <w:name w:val="apple-converted-space"/>
    <w:basedOn w:val="Standardskriftforavsnitt"/>
    <w:rsid w:val="00264F0A"/>
  </w:style>
  <w:style w:type="paragraph" w:customStyle="1" w:styleId="Default">
    <w:name w:val="Default"/>
    <w:rsid w:val="009D245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4A0720"/>
    <w:pPr>
      <w:widowControl w:val="0"/>
    </w:pPr>
    <w:rPr>
      <w:rFonts w:eastAsiaTheme="minorHAnsi" w:cstheme="minorBidi"/>
      <w:sz w:val="22"/>
      <w:szCs w:val="22"/>
      <w:lang w:val="en-US" w:eastAsia="en-US"/>
    </w:rPr>
  </w:style>
  <w:style w:type="table" w:styleId="Lysskyggelegging-uthevingsfarge1">
    <w:name w:val="Light Shading Accent 1"/>
    <w:basedOn w:val="Vanligtabell"/>
    <w:uiPriority w:val="60"/>
    <w:rsid w:val="00365AA1"/>
    <w:rPr>
      <w:color w:val="005381" w:themeColor="accent1" w:themeShade="BF"/>
    </w:rPr>
    <w:tblPr>
      <w:tblStyleRowBandSize w:val="1"/>
      <w:tblStyleColBandSize w:val="1"/>
      <w:tblBorders>
        <w:top w:val="single" w:sz="8" w:space="0" w:color="0070AD" w:themeColor="accent1"/>
        <w:bottom w:val="single" w:sz="8" w:space="0" w:color="0070AD" w:themeColor="accent1"/>
      </w:tblBorders>
    </w:tblPr>
    <w:tblStylePr w:type="firstRow">
      <w:pPr>
        <w:spacing w:before="0" w:after="0" w:line="240" w:lineRule="auto"/>
      </w:pPr>
      <w:rPr>
        <w:b/>
        <w:bCs/>
      </w:rPr>
      <w:tblPr/>
      <w:tcPr>
        <w:tcBorders>
          <w:top w:val="single" w:sz="8" w:space="0" w:color="0070AD" w:themeColor="accent1"/>
          <w:left w:val="nil"/>
          <w:bottom w:val="single" w:sz="8" w:space="0" w:color="0070AD" w:themeColor="accent1"/>
          <w:right w:val="nil"/>
          <w:insideH w:val="nil"/>
          <w:insideV w:val="nil"/>
        </w:tcBorders>
      </w:tcPr>
    </w:tblStylePr>
    <w:tblStylePr w:type="lastRow">
      <w:pPr>
        <w:spacing w:before="0" w:after="0" w:line="240" w:lineRule="auto"/>
      </w:pPr>
      <w:rPr>
        <w:b/>
        <w:bCs/>
      </w:rPr>
      <w:tblPr/>
      <w:tcPr>
        <w:tcBorders>
          <w:top w:val="single" w:sz="8" w:space="0" w:color="0070AD" w:themeColor="accent1"/>
          <w:left w:val="nil"/>
          <w:bottom w:val="single" w:sz="8" w:space="0" w:color="0070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1FF" w:themeFill="accent1" w:themeFillTint="3F"/>
      </w:tcPr>
    </w:tblStylePr>
    <w:tblStylePr w:type="band1Horz">
      <w:tblPr/>
      <w:tcPr>
        <w:tcBorders>
          <w:left w:val="nil"/>
          <w:right w:val="nil"/>
          <w:insideH w:val="nil"/>
          <w:insideV w:val="nil"/>
        </w:tcBorders>
        <w:shd w:val="clear" w:color="auto" w:fill="ABE1FF" w:themeFill="accent1" w:themeFillTint="3F"/>
      </w:tcPr>
    </w:tblStylePr>
  </w:style>
  <w:style w:type="paragraph" w:styleId="Revisjon">
    <w:name w:val="Revision"/>
    <w:hidden/>
    <w:uiPriority w:val="99"/>
    <w:semiHidden/>
    <w:rsid w:val="009614E1"/>
  </w:style>
  <w:style w:type="paragraph" w:customStyle="1" w:styleId="section">
    <w:name w:val="section"/>
    <w:basedOn w:val="Normal"/>
    <w:link w:val="sectionChar"/>
    <w:qFormat/>
    <w:rsid w:val="00CD0E6A"/>
    <w:pPr>
      <w:keepNext/>
      <w:spacing w:before="360" w:after="120" w:line="288" w:lineRule="auto"/>
    </w:pPr>
    <w:rPr>
      <w:rFonts w:ascii="Arial" w:hAnsi="Arial" w:cs="Arial"/>
      <w:b/>
    </w:rPr>
  </w:style>
  <w:style w:type="character" w:customStyle="1" w:styleId="sectionChar">
    <w:name w:val="section Char"/>
    <w:basedOn w:val="Standardskriftforavsnitt"/>
    <w:link w:val="section"/>
    <w:rsid w:val="00CD0E6A"/>
    <w:rPr>
      <w:rFonts w:ascii="Arial" w:hAnsi="Arial" w:cs="Arial"/>
      <w:b/>
    </w:rPr>
  </w:style>
  <w:style w:type="character" w:customStyle="1" w:styleId="Style">
    <w:name w:val="Style"/>
    <w:basedOn w:val="Fotnotereferanse"/>
    <w:rsid w:val="009B78EA"/>
    <w:rPr>
      <w:rFonts w:asciiTheme="minorHAnsi" w:hAnsiTheme="minorHAnsi"/>
      <w:b w:val="0"/>
      <w:bCs/>
      <w:sz w:val="18"/>
      <w:vertAlign w:val="superscript"/>
    </w:rPr>
  </w:style>
  <w:style w:type="paragraph" w:customStyle="1" w:styleId="ChapitrePR">
    <w:name w:val="Chapitre PR"/>
    <w:basedOn w:val="Normal"/>
    <w:link w:val="ChapitrePRChar"/>
    <w:qFormat/>
    <w:rsid w:val="00C91770"/>
    <w:pPr>
      <w:keepNext/>
      <w:spacing w:before="120" w:after="120"/>
    </w:pPr>
    <w:rPr>
      <w:rFonts w:ascii="Arial" w:hAnsi="Arial" w:cs="Arial"/>
      <w:b/>
      <w:sz w:val="20"/>
    </w:rPr>
  </w:style>
  <w:style w:type="character" w:customStyle="1" w:styleId="ChapitrePRChar">
    <w:name w:val="Chapitre PR Char"/>
    <w:basedOn w:val="Standardskriftforavsnitt"/>
    <w:link w:val="ChapitrePR"/>
    <w:rsid w:val="00C91770"/>
    <w:rPr>
      <w:rFonts w:ascii="Arial" w:hAnsi="Arial" w:cs="Arial"/>
      <w:b/>
    </w:rPr>
  </w:style>
  <w:style w:type="character" w:customStyle="1" w:styleId="UnresolvedMention1">
    <w:name w:val="Unresolved Mention1"/>
    <w:basedOn w:val="Standardskriftforavsnitt"/>
    <w:uiPriority w:val="99"/>
    <w:semiHidden/>
    <w:unhideWhenUsed/>
    <w:rsid w:val="009B4DE9"/>
    <w:rPr>
      <w:color w:val="808080"/>
      <w:shd w:val="clear" w:color="auto" w:fill="E6E6E6"/>
    </w:rPr>
  </w:style>
  <w:style w:type="paragraph" w:customStyle="1" w:styleId="AnnexePR">
    <w:name w:val="Annexe PR"/>
    <w:basedOn w:val="Normal"/>
    <w:link w:val="AnnexePRChar"/>
    <w:qFormat/>
    <w:rsid w:val="003E11DB"/>
    <w:pPr>
      <w:spacing w:before="120" w:after="120"/>
    </w:pPr>
    <w:rPr>
      <w:rFonts w:ascii="Arial" w:hAnsi="Arial" w:cs="Arial"/>
      <w:b/>
    </w:rPr>
  </w:style>
  <w:style w:type="character" w:customStyle="1" w:styleId="AnnexePRChar">
    <w:name w:val="Annexe PR Char"/>
    <w:basedOn w:val="Standardskriftforavsnitt"/>
    <w:link w:val="AnnexePR"/>
    <w:rsid w:val="003E11DB"/>
    <w:rPr>
      <w:rFonts w:ascii="Arial" w:hAnsi="Arial" w:cs="Arial"/>
      <w:b/>
      <w:sz w:val="18"/>
    </w:rPr>
  </w:style>
  <w:style w:type="character" w:customStyle="1" w:styleId="UnresolvedMention">
    <w:name w:val="Unresolved Mention"/>
    <w:basedOn w:val="Standardskriftforavsnitt"/>
    <w:uiPriority w:val="99"/>
    <w:semiHidden/>
    <w:unhideWhenUsed/>
    <w:rsid w:val="00735D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383">
      <w:bodyDiv w:val="1"/>
      <w:marLeft w:val="0"/>
      <w:marRight w:val="0"/>
      <w:marTop w:val="0"/>
      <w:marBottom w:val="0"/>
      <w:divBdr>
        <w:top w:val="none" w:sz="0" w:space="0" w:color="auto"/>
        <w:left w:val="none" w:sz="0" w:space="0" w:color="auto"/>
        <w:bottom w:val="none" w:sz="0" w:space="0" w:color="auto"/>
        <w:right w:val="none" w:sz="0" w:space="0" w:color="auto"/>
      </w:divBdr>
    </w:div>
    <w:div w:id="116607035">
      <w:bodyDiv w:val="1"/>
      <w:marLeft w:val="0"/>
      <w:marRight w:val="0"/>
      <w:marTop w:val="0"/>
      <w:marBottom w:val="0"/>
      <w:divBdr>
        <w:top w:val="none" w:sz="0" w:space="0" w:color="auto"/>
        <w:left w:val="none" w:sz="0" w:space="0" w:color="auto"/>
        <w:bottom w:val="none" w:sz="0" w:space="0" w:color="auto"/>
        <w:right w:val="none" w:sz="0" w:space="0" w:color="auto"/>
      </w:divBdr>
    </w:div>
    <w:div w:id="127431030">
      <w:bodyDiv w:val="1"/>
      <w:marLeft w:val="0"/>
      <w:marRight w:val="0"/>
      <w:marTop w:val="0"/>
      <w:marBottom w:val="0"/>
      <w:divBdr>
        <w:top w:val="none" w:sz="0" w:space="0" w:color="auto"/>
        <w:left w:val="none" w:sz="0" w:space="0" w:color="auto"/>
        <w:bottom w:val="none" w:sz="0" w:space="0" w:color="auto"/>
        <w:right w:val="none" w:sz="0" w:space="0" w:color="auto"/>
      </w:divBdr>
    </w:div>
    <w:div w:id="145586774">
      <w:bodyDiv w:val="1"/>
      <w:marLeft w:val="0"/>
      <w:marRight w:val="0"/>
      <w:marTop w:val="0"/>
      <w:marBottom w:val="0"/>
      <w:divBdr>
        <w:top w:val="none" w:sz="0" w:space="0" w:color="auto"/>
        <w:left w:val="none" w:sz="0" w:space="0" w:color="auto"/>
        <w:bottom w:val="none" w:sz="0" w:space="0" w:color="auto"/>
        <w:right w:val="none" w:sz="0" w:space="0" w:color="auto"/>
      </w:divBdr>
    </w:div>
    <w:div w:id="225144753">
      <w:bodyDiv w:val="1"/>
      <w:marLeft w:val="0"/>
      <w:marRight w:val="0"/>
      <w:marTop w:val="0"/>
      <w:marBottom w:val="0"/>
      <w:divBdr>
        <w:top w:val="none" w:sz="0" w:space="0" w:color="auto"/>
        <w:left w:val="none" w:sz="0" w:space="0" w:color="auto"/>
        <w:bottom w:val="none" w:sz="0" w:space="0" w:color="auto"/>
        <w:right w:val="none" w:sz="0" w:space="0" w:color="auto"/>
      </w:divBdr>
    </w:div>
    <w:div w:id="239952436">
      <w:bodyDiv w:val="1"/>
      <w:marLeft w:val="0"/>
      <w:marRight w:val="0"/>
      <w:marTop w:val="0"/>
      <w:marBottom w:val="0"/>
      <w:divBdr>
        <w:top w:val="none" w:sz="0" w:space="0" w:color="auto"/>
        <w:left w:val="none" w:sz="0" w:space="0" w:color="auto"/>
        <w:bottom w:val="none" w:sz="0" w:space="0" w:color="auto"/>
        <w:right w:val="none" w:sz="0" w:space="0" w:color="auto"/>
      </w:divBdr>
    </w:div>
    <w:div w:id="443498099">
      <w:bodyDiv w:val="1"/>
      <w:marLeft w:val="0"/>
      <w:marRight w:val="0"/>
      <w:marTop w:val="0"/>
      <w:marBottom w:val="0"/>
      <w:divBdr>
        <w:top w:val="none" w:sz="0" w:space="0" w:color="auto"/>
        <w:left w:val="none" w:sz="0" w:space="0" w:color="auto"/>
        <w:bottom w:val="none" w:sz="0" w:space="0" w:color="auto"/>
        <w:right w:val="none" w:sz="0" w:space="0" w:color="auto"/>
      </w:divBdr>
    </w:div>
    <w:div w:id="560487218">
      <w:bodyDiv w:val="1"/>
      <w:marLeft w:val="0"/>
      <w:marRight w:val="0"/>
      <w:marTop w:val="0"/>
      <w:marBottom w:val="0"/>
      <w:divBdr>
        <w:top w:val="none" w:sz="0" w:space="0" w:color="auto"/>
        <w:left w:val="none" w:sz="0" w:space="0" w:color="auto"/>
        <w:bottom w:val="none" w:sz="0" w:space="0" w:color="auto"/>
        <w:right w:val="none" w:sz="0" w:space="0" w:color="auto"/>
      </w:divBdr>
    </w:div>
    <w:div w:id="666903068">
      <w:bodyDiv w:val="1"/>
      <w:marLeft w:val="0"/>
      <w:marRight w:val="0"/>
      <w:marTop w:val="0"/>
      <w:marBottom w:val="0"/>
      <w:divBdr>
        <w:top w:val="none" w:sz="0" w:space="0" w:color="auto"/>
        <w:left w:val="none" w:sz="0" w:space="0" w:color="auto"/>
        <w:bottom w:val="none" w:sz="0" w:space="0" w:color="auto"/>
        <w:right w:val="none" w:sz="0" w:space="0" w:color="auto"/>
      </w:divBdr>
    </w:div>
    <w:div w:id="725448705">
      <w:bodyDiv w:val="1"/>
      <w:marLeft w:val="0"/>
      <w:marRight w:val="0"/>
      <w:marTop w:val="0"/>
      <w:marBottom w:val="0"/>
      <w:divBdr>
        <w:top w:val="none" w:sz="0" w:space="0" w:color="auto"/>
        <w:left w:val="none" w:sz="0" w:space="0" w:color="auto"/>
        <w:bottom w:val="none" w:sz="0" w:space="0" w:color="auto"/>
        <w:right w:val="none" w:sz="0" w:space="0" w:color="auto"/>
      </w:divBdr>
    </w:div>
    <w:div w:id="757100603">
      <w:bodyDiv w:val="1"/>
      <w:marLeft w:val="0"/>
      <w:marRight w:val="0"/>
      <w:marTop w:val="0"/>
      <w:marBottom w:val="0"/>
      <w:divBdr>
        <w:top w:val="none" w:sz="0" w:space="0" w:color="auto"/>
        <w:left w:val="none" w:sz="0" w:space="0" w:color="auto"/>
        <w:bottom w:val="none" w:sz="0" w:space="0" w:color="auto"/>
        <w:right w:val="none" w:sz="0" w:space="0" w:color="auto"/>
      </w:divBdr>
    </w:div>
    <w:div w:id="808330190">
      <w:bodyDiv w:val="1"/>
      <w:marLeft w:val="0"/>
      <w:marRight w:val="0"/>
      <w:marTop w:val="0"/>
      <w:marBottom w:val="0"/>
      <w:divBdr>
        <w:top w:val="none" w:sz="0" w:space="0" w:color="auto"/>
        <w:left w:val="none" w:sz="0" w:space="0" w:color="auto"/>
        <w:bottom w:val="none" w:sz="0" w:space="0" w:color="auto"/>
        <w:right w:val="none" w:sz="0" w:space="0" w:color="auto"/>
      </w:divBdr>
    </w:div>
    <w:div w:id="927157205">
      <w:bodyDiv w:val="1"/>
      <w:marLeft w:val="0"/>
      <w:marRight w:val="0"/>
      <w:marTop w:val="0"/>
      <w:marBottom w:val="0"/>
      <w:divBdr>
        <w:top w:val="none" w:sz="0" w:space="0" w:color="auto"/>
        <w:left w:val="none" w:sz="0" w:space="0" w:color="auto"/>
        <w:bottom w:val="none" w:sz="0" w:space="0" w:color="auto"/>
        <w:right w:val="none" w:sz="0" w:space="0" w:color="auto"/>
      </w:divBdr>
    </w:div>
    <w:div w:id="970792990">
      <w:bodyDiv w:val="1"/>
      <w:marLeft w:val="0"/>
      <w:marRight w:val="0"/>
      <w:marTop w:val="0"/>
      <w:marBottom w:val="0"/>
      <w:divBdr>
        <w:top w:val="none" w:sz="0" w:space="0" w:color="auto"/>
        <w:left w:val="none" w:sz="0" w:space="0" w:color="auto"/>
        <w:bottom w:val="none" w:sz="0" w:space="0" w:color="auto"/>
        <w:right w:val="none" w:sz="0" w:space="0" w:color="auto"/>
      </w:divBdr>
    </w:div>
    <w:div w:id="972324830">
      <w:bodyDiv w:val="1"/>
      <w:marLeft w:val="0"/>
      <w:marRight w:val="0"/>
      <w:marTop w:val="0"/>
      <w:marBottom w:val="0"/>
      <w:divBdr>
        <w:top w:val="none" w:sz="0" w:space="0" w:color="auto"/>
        <w:left w:val="none" w:sz="0" w:space="0" w:color="auto"/>
        <w:bottom w:val="none" w:sz="0" w:space="0" w:color="auto"/>
        <w:right w:val="none" w:sz="0" w:space="0" w:color="auto"/>
      </w:divBdr>
    </w:div>
    <w:div w:id="986275660">
      <w:bodyDiv w:val="1"/>
      <w:marLeft w:val="0"/>
      <w:marRight w:val="0"/>
      <w:marTop w:val="0"/>
      <w:marBottom w:val="0"/>
      <w:divBdr>
        <w:top w:val="none" w:sz="0" w:space="0" w:color="auto"/>
        <w:left w:val="none" w:sz="0" w:space="0" w:color="auto"/>
        <w:bottom w:val="none" w:sz="0" w:space="0" w:color="auto"/>
        <w:right w:val="none" w:sz="0" w:space="0" w:color="auto"/>
      </w:divBdr>
    </w:div>
    <w:div w:id="1025787417">
      <w:bodyDiv w:val="1"/>
      <w:marLeft w:val="0"/>
      <w:marRight w:val="0"/>
      <w:marTop w:val="0"/>
      <w:marBottom w:val="0"/>
      <w:divBdr>
        <w:top w:val="none" w:sz="0" w:space="0" w:color="auto"/>
        <w:left w:val="none" w:sz="0" w:space="0" w:color="auto"/>
        <w:bottom w:val="none" w:sz="0" w:space="0" w:color="auto"/>
        <w:right w:val="none" w:sz="0" w:space="0" w:color="auto"/>
      </w:divBdr>
    </w:div>
    <w:div w:id="1065445724">
      <w:bodyDiv w:val="1"/>
      <w:marLeft w:val="0"/>
      <w:marRight w:val="0"/>
      <w:marTop w:val="0"/>
      <w:marBottom w:val="0"/>
      <w:divBdr>
        <w:top w:val="none" w:sz="0" w:space="0" w:color="auto"/>
        <w:left w:val="none" w:sz="0" w:space="0" w:color="auto"/>
        <w:bottom w:val="none" w:sz="0" w:space="0" w:color="auto"/>
        <w:right w:val="none" w:sz="0" w:space="0" w:color="auto"/>
      </w:divBdr>
    </w:div>
    <w:div w:id="1175803170">
      <w:bodyDiv w:val="1"/>
      <w:marLeft w:val="0"/>
      <w:marRight w:val="0"/>
      <w:marTop w:val="0"/>
      <w:marBottom w:val="0"/>
      <w:divBdr>
        <w:top w:val="none" w:sz="0" w:space="0" w:color="auto"/>
        <w:left w:val="none" w:sz="0" w:space="0" w:color="auto"/>
        <w:bottom w:val="none" w:sz="0" w:space="0" w:color="auto"/>
        <w:right w:val="none" w:sz="0" w:space="0" w:color="auto"/>
      </w:divBdr>
    </w:div>
    <w:div w:id="1192458702">
      <w:bodyDiv w:val="1"/>
      <w:marLeft w:val="0"/>
      <w:marRight w:val="0"/>
      <w:marTop w:val="0"/>
      <w:marBottom w:val="0"/>
      <w:divBdr>
        <w:top w:val="none" w:sz="0" w:space="0" w:color="auto"/>
        <w:left w:val="none" w:sz="0" w:space="0" w:color="auto"/>
        <w:bottom w:val="none" w:sz="0" w:space="0" w:color="auto"/>
        <w:right w:val="none" w:sz="0" w:space="0" w:color="auto"/>
      </w:divBdr>
    </w:div>
    <w:div w:id="1392120437">
      <w:bodyDiv w:val="1"/>
      <w:marLeft w:val="0"/>
      <w:marRight w:val="0"/>
      <w:marTop w:val="0"/>
      <w:marBottom w:val="0"/>
      <w:divBdr>
        <w:top w:val="none" w:sz="0" w:space="0" w:color="auto"/>
        <w:left w:val="none" w:sz="0" w:space="0" w:color="auto"/>
        <w:bottom w:val="none" w:sz="0" w:space="0" w:color="auto"/>
        <w:right w:val="none" w:sz="0" w:space="0" w:color="auto"/>
      </w:divBdr>
    </w:div>
    <w:div w:id="1725987332">
      <w:bodyDiv w:val="1"/>
      <w:marLeft w:val="0"/>
      <w:marRight w:val="0"/>
      <w:marTop w:val="0"/>
      <w:marBottom w:val="0"/>
      <w:divBdr>
        <w:top w:val="none" w:sz="0" w:space="0" w:color="auto"/>
        <w:left w:val="none" w:sz="0" w:space="0" w:color="auto"/>
        <w:bottom w:val="none" w:sz="0" w:space="0" w:color="auto"/>
        <w:right w:val="none" w:sz="0" w:space="0" w:color="auto"/>
      </w:divBdr>
    </w:div>
    <w:div w:id="1755012846">
      <w:bodyDiv w:val="1"/>
      <w:marLeft w:val="0"/>
      <w:marRight w:val="0"/>
      <w:marTop w:val="0"/>
      <w:marBottom w:val="0"/>
      <w:divBdr>
        <w:top w:val="none" w:sz="0" w:space="0" w:color="auto"/>
        <w:left w:val="none" w:sz="0" w:space="0" w:color="auto"/>
        <w:bottom w:val="none" w:sz="0" w:space="0" w:color="auto"/>
        <w:right w:val="none" w:sz="0" w:space="0" w:color="auto"/>
      </w:divBdr>
    </w:div>
    <w:div w:id="1768236276">
      <w:bodyDiv w:val="1"/>
      <w:marLeft w:val="0"/>
      <w:marRight w:val="0"/>
      <w:marTop w:val="0"/>
      <w:marBottom w:val="0"/>
      <w:divBdr>
        <w:top w:val="none" w:sz="0" w:space="0" w:color="auto"/>
        <w:left w:val="none" w:sz="0" w:space="0" w:color="auto"/>
        <w:bottom w:val="none" w:sz="0" w:space="0" w:color="auto"/>
        <w:right w:val="none" w:sz="0" w:space="0" w:color="auto"/>
      </w:divBdr>
    </w:div>
    <w:div w:id="1773743039">
      <w:bodyDiv w:val="1"/>
      <w:marLeft w:val="0"/>
      <w:marRight w:val="0"/>
      <w:marTop w:val="0"/>
      <w:marBottom w:val="0"/>
      <w:divBdr>
        <w:top w:val="none" w:sz="0" w:space="0" w:color="auto"/>
        <w:left w:val="none" w:sz="0" w:space="0" w:color="auto"/>
        <w:bottom w:val="none" w:sz="0" w:space="0" w:color="auto"/>
        <w:right w:val="none" w:sz="0" w:space="0" w:color="auto"/>
      </w:divBdr>
    </w:div>
    <w:div w:id="1796213095">
      <w:bodyDiv w:val="1"/>
      <w:marLeft w:val="0"/>
      <w:marRight w:val="0"/>
      <w:marTop w:val="0"/>
      <w:marBottom w:val="0"/>
      <w:divBdr>
        <w:top w:val="none" w:sz="0" w:space="0" w:color="auto"/>
        <w:left w:val="none" w:sz="0" w:space="0" w:color="auto"/>
        <w:bottom w:val="none" w:sz="0" w:space="0" w:color="auto"/>
        <w:right w:val="none" w:sz="0" w:space="0" w:color="auto"/>
      </w:divBdr>
    </w:div>
    <w:div w:id="1855073647">
      <w:bodyDiv w:val="1"/>
      <w:marLeft w:val="0"/>
      <w:marRight w:val="0"/>
      <w:marTop w:val="0"/>
      <w:marBottom w:val="0"/>
      <w:divBdr>
        <w:top w:val="none" w:sz="0" w:space="0" w:color="auto"/>
        <w:left w:val="none" w:sz="0" w:space="0" w:color="auto"/>
        <w:bottom w:val="none" w:sz="0" w:space="0" w:color="auto"/>
        <w:right w:val="none" w:sz="0" w:space="0" w:color="auto"/>
      </w:divBdr>
    </w:div>
    <w:div w:id="20404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pgemini.com/resul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ge.media-server.com/m6/p/fg6zmmfj"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pgemini 2017_Cover slides">
  <a:themeElements>
    <a:clrScheme name="Custom 1">
      <a:dk1>
        <a:srgbClr val="000000"/>
      </a:dk1>
      <a:lt1>
        <a:sysClr val="window" lastClr="FFFFFF"/>
      </a:lt1>
      <a:dk2>
        <a:srgbClr val="12ABDB"/>
      </a:dk2>
      <a:lt2>
        <a:srgbClr val="EDEDED"/>
      </a:lt2>
      <a:accent1>
        <a:srgbClr val="0070AD"/>
      </a:accent1>
      <a:accent2>
        <a:srgbClr val="12ABDB"/>
      </a:accent2>
      <a:accent3>
        <a:srgbClr val="2B0A3D"/>
      </a:accent3>
      <a:accent4>
        <a:srgbClr val="FF304C"/>
      </a:accent4>
      <a:accent5>
        <a:srgbClr val="95E616"/>
      </a:accent5>
      <a:accent6>
        <a:srgbClr val="C2CF00"/>
      </a:accent6>
      <a:hlink>
        <a:srgbClr val="005481"/>
      </a:hlink>
      <a:folHlink>
        <a:srgbClr val="861763"/>
      </a:folHlink>
    </a:clrScheme>
    <a:fontScheme name="Capgemin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ésentation1" id="{F4EDDD86-B8A8-46E1-81BA-C40220CF151C}" vid="{D76BB8BF-901C-4709-A70B-B9D859909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9A98FA4374042BE717D8826DCA6D8" ma:contentTypeVersion="0" ma:contentTypeDescription="Create a new document." ma:contentTypeScope="" ma:versionID="5772b44c21148d054db6019d1d2796b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B595-998E-4568-8CB1-1731CF44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A5087C-2D39-4C65-8E5F-97414933F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38B34-2B0C-459D-A54D-3A42D5BB5A27}">
  <ds:schemaRefs>
    <ds:schemaRef ds:uri="http://schemas.microsoft.com/sharepoint/v3/contenttype/forms"/>
  </ds:schemaRefs>
</ds:datastoreItem>
</file>

<file path=customXml/itemProps4.xml><?xml version="1.0" encoding="utf-8"?>
<ds:datastoreItem xmlns:ds="http://schemas.openxmlformats.org/officeDocument/2006/customXml" ds:itemID="{989969C7-75E4-4526-993F-8651DFDB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3866</Words>
  <Characters>20493</Characters>
  <Application>Microsoft Office Word</Application>
  <DocSecurity>0</DocSecurity>
  <Lines>170</Lines>
  <Paragraphs>48</Paragraphs>
  <ScaleCrop>false</ScaleCrop>
  <HeadingPairs>
    <vt:vector size="6" baseType="variant">
      <vt:variant>
        <vt:lpstr>Tittel</vt:lpstr>
      </vt:variant>
      <vt:variant>
        <vt:i4>1</vt:i4>
      </vt:variant>
      <vt:variant>
        <vt:lpstr>Title</vt:lpstr>
      </vt:variant>
      <vt:variant>
        <vt:i4>1</vt:i4>
      </vt:variant>
      <vt:variant>
        <vt:lpstr>Titre</vt:lpstr>
      </vt:variant>
      <vt:variant>
        <vt:i4>1</vt:i4>
      </vt:variant>
    </vt:vector>
  </HeadingPairs>
  <TitlesOfParts>
    <vt:vector size="3" baseType="lpstr">
      <vt:lpstr>FY08</vt:lpstr>
      <vt:lpstr>FY08</vt:lpstr>
      <vt:lpstr>FY08</vt:lpstr>
    </vt:vector>
  </TitlesOfParts>
  <Company>CAPGEMINI</Company>
  <LinksUpToDate>false</LinksUpToDate>
  <CharactersWithSpaces>24311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FY08</dc:title>
  <dc:creator>CAPGEMINI</dc:creator>
  <cp:lastModifiedBy>Resare, Gunilla</cp:lastModifiedBy>
  <cp:revision>2</cp:revision>
  <cp:lastPrinted>2018-02-09T07:25:00Z</cp:lastPrinted>
  <dcterms:created xsi:type="dcterms:W3CDTF">2018-02-15T09:25:00Z</dcterms:created>
  <dcterms:modified xsi:type="dcterms:W3CDTF">2018-02-15T09:25:00Z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0x0101008489A98FA4374042BE717D8826DCA6D8</vt:lpwstr>
  </property>
</Properties>
</file>